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89D0A" w14:textId="64881FCE" w:rsidR="00060727" w:rsidRPr="0024145B" w:rsidRDefault="00E03A46" w:rsidP="00214A73">
      <w:pPr>
        <w:jc w:val="center"/>
        <w:rPr>
          <w:b/>
          <w:sz w:val="28"/>
          <w:szCs w:val="28"/>
        </w:rPr>
      </w:pPr>
      <w:r w:rsidRPr="0024145B">
        <w:rPr>
          <w:b/>
          <w:sz w:val="28"/>
          <w:szCs w:val="28"/>
        </w:rPr>
        <w:t>Reforestation</w:t>
      </w:r>
      <w:r w:rsidR="00214A73" w:rsidRPr="0024145B">
        <w:rPr>
          <w:b/>
          <w:sz w:val="28"/>
          <w:szCs w:val="28"/>
        </w:rPr>
        <w:t xml:space="preserve"> </w:t>
      </w:r>
      <w:r w:rsidR="00C14B67" w:rsidRPr="0024145B">
        <w:rPr>
          <w:b/>
          <w:sz w:val="28"/>
          <w:szCs w:val="28"/>
        </w:rPr>
        <w:t>practice manual</w:t>
      </w:r>
    </w:p>
    <w:p w14:paraId="38834FF5" w14:textId="25507FBC" w:rsidR="00060727" w:rsidRPr="0024145B" w:rsidRDefault="005C3EC2" w:rsidP="1C563C89">
      <w:pPr>
        <w:jc w:val="center"/>
        <w:rPr>
          <w:b/>
          <w:bCs/>
        </w:rPr>
      </w:pPr>
      <w:r w:rsidRPr="0024145B">
        <w:rPr>
          <w:b/>
          <w:bCs/>
        </w:rPr>
        <w:t>DRAFT</w:t>
      </w:r>
      <w:r w:rsidR="00E665C9" w:rsidRPr="0024145B">
        <w:rPr>
          <w:b/>
          <w:bCs/>
        </w:rPr>
        <w:t xml:space="preserve"> </w:t>
      </w:r>
      <w:r w:rsidR="001E74E5">
        <w:rPr>
          <w:b/>
          <w:bCs/>
        </w:rPr>
        <w:t>4</w:t>
      </w:r>
      <w:r w:rsidR="00E665C9" w:rsidRPr="0024145B">
        <w:rPr>
          <w:b/>
          <w:bCs/>
        </w:rPr>
        <w:t>/</w:t>
      </w:r>
      <w:r w:rsidR="00EF05BA">
        <w:rPr>
          <w:b/>
          <w:bCs/>
        </w:rPr>
        <w:t>26</w:t>
      </w:r>
      <w:r w:rsidR="00E665C9" w:rsidRPr="0024145B">
        <w:rPr>
          <w:b/>
          <w:bCs/>
        </w:rPr>
        <w:t>/2020</w:t>
      </w:r>
    </w:p>
    <w:p w14:paraId="2D04AF0B" w14:textId="77777777" w:rsidR="004A73CC" w:rsidRPr="0024145B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24145B">
        <w:rPr>
          <w:b/>
          <w:lang w:val="en-US"/>
        </w:rPr>
        <w:t>ELIGIBILITY CONDITIONS</w:t>
      </w:r>
    </w:p>
    <w:p w14:paraId="76A3159A" w14:textId="53E47024" w:rsidR="009B22C5" w:rsidRPr="0024145B" w:rsidRDefault="1C563C89" w:rsidP="007205F2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The property is within the eligible </w:t>
      </w:r>
      <w:r w:rsidR="00C14B67" w:rsidRPr="0024145B">
        <w:rPr>
          <w:lang w:val="en-US"/>
        </w:rPr>
        <w:t>geography</w:t>
      </w:r>
      <w:r w:rsidRPr="0024145B">
        <w:rPr>
          <w:lang w:val="en-US"/>
        </w:rPr>
        <w:t xml:space="preserve"> (see map below)</w:t>
      </w:r>
      <w:r w:rsidR="00EF05BA">
        <w:rPr>
          <w:lang w:val="en-US"/>
        </w:rPr>
        <w:t>.</w:t>
      </w:r>
    </w:p>
    <w:p w14:paraId="6CF47814" w14:textId="4EC76E6F" w:rsidR="00C14B67" w:rsidRPr="0024145B" w:rsidRDefault="00C14B67" w:rsidP="00C14B6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Eligible land tenure and ownership type: Land in private ownership of greater than or equal to </w:t>
      </w:r>
      <w:r w:rsidRPr="00EF05BA">
        <w:rPr>
          <w:lang w:val="en-US"/>
        </w:rPr>
        <w:t>30 acres</w:t>
      </w:r>
      <w:r w:rsidRPr="0024145B">
        <w:rPr>
          <w:lang w:val="en-US"/>
        </w:rPr>
        <w:t xml:space="preserve"> and less than or </w:t>
      </w:r>
      <w:r w:rsidRPr="001E74E5">
        <w:rPr>
          <w:lang w:val="en-US"/>
        </w:rPr>
        <w:t xml:space="preserve">equal to </w:t>
      </w:r>
      <w:r w:rsidR="00EF05BA">
        <w:rPr>
          <w:lang w:val="en-US"/>
        </w:rPr>
        <w:t xml:space="preserve">2,400 </w:t>
      </w:r>
      <w:r w:rsidRPr="001E74E5">
        <w:rPr>
          <w:lang w:val="en-US"/>
        </w:rPr>
        <w:t>acres</w:t>
      </w:r>
      <w:r w:rsidR="00EF05BA">
        <w:rPr>
          <w:lang w:val="en-US"/>
        </w:rPr>
        <w:t>.</w:t>
      </w:r>
    </w:p>
    <w:p w14:paraId="75C26295" w14:textId="6B0D1104" w:rsidR="00E03A46" w:rsidRPr="0024145B" w:rsidRDefault="00E03A46" w:rsidP="57391814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Land must not be forest</w:t>
      </w:r>
      <w:r w:rsidR="00EF55F8" w:rsidRPr="0024145B">
        <w:rPr>
          <w:lang w:val="en-US"/>
        </w:rPr>
        <w:t xml:space="preserve"> (must have less than 25% tree cover)</w:t>
      </w:r>
      <w:r w:rsidRPr="0024145B">
        <w:rPr>
          <w:lang w:val="en-US"/>
        </w:rPr>
        <w:t xml:space="preserve"> and must not have been forest for at least 10 years.</w:t>
      </w:r>
    </w:p>
    <w:p w14:paraId="4D87481F" w14:textId="75771DE2" w:rsidR="00CF3724" w:rsidRPr="0024145B" w:rsidRDefault="1C563C89" w:rsidP="57391814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Eligible condition status at the time of contract signing: </w:t>
      </w:r>
    </w:p>
    <w:p w14:paraId="4CC6E2CF" w14:textId="66550EA9" w:rsidR="004144D8" w:rsidRPr="0024145B" w:rsidRDefault="00E03A46" w:rsidP="00E03A4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Land </w:t>
      </w:r>
      <w:r w:rsidR="00F825BF" w:rsidRPr="0024145B">
        <w:rPr>
          <w:lang w:val="en-US"/>
        </w:rPr>
        <w:t>in the</w:t>
      </w:r>
      <w:r w:rsidRPr="0024145B">
        <w:rPr>
          <w:lang w:val="en-US"/>
        </w:rPr>
        <w:t xml:space="preserve"> most highly productive agricultural soils</w:t>
      </w:r>
      <w:r w:rsidR="00F825BF" w:rsidRPr="0024145B">
        <w:rPr>
          <w:lang w:val="en-US"/>
        </w:rPr>
        <w:t xml:space="preserve"> is not eligible for this practice</w:t>
      </w:r>
      <w:r w:rsidRPr="0024145B">
        <w:rPr>
          <w:lang w:val="en-US"/>
        </w:rPr>
        <w:t xml:space="preserve">; land must be in soil capability classes 5-8 </w:t>
      </w:r>
      <w:r w:rsidRPr="001E74E5">
        <w:rPr>
          <w:lang w:val="en-US"/>
        </w:rPr>
        <w:t>(</w:t>
      </w:r>
      <w:hyperlink r:id="rId11" w:history="1">
        <w:r w:rsidR="001E74E5" w:rsidRPr="004A4BDC">
          <w:rPr>
            <w:rStyle w:val="Hyperlink"/>
            <w:lang w:val="en-US"/>
          </w:rPr>
          <w:t>https://casoilresource.lawr.ucdavis.edu/gmap/</w:t>
        </w:r>
      </w:hyperlink>
      <w:r w:rsidR="001E74E5">
        <w:rPr>
          <w:lang w:val="en-US"/>
        </w:rPr>
        <w:t xml:space="preserve"> ).</w:t>
      </w:r>
      <w:r w:rsidR="00F825BF" w:rsidRPr="0024145B">
        <w:rPr>
          <w:lang w:val="en-US"/>
        </w:rPr>
        <w:t xml:space="preserve"> </w:t>
      </w:r>
    </w:p>
    <w:p w14:paraId="0056F2C4" w14:textId="482AACF6" w:rsidR="0098484C" w:rsidRPr="0024145B" w:rsidRDefault="00E03A46" w:rsidP="0098484C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Land</w:t>
      </w:r>
      <w:r w:rsidR="00EF05BA">
        <w:rPr>
          <w:lang w:val="en-US"/>
        </w:rPr>
        <w:t>owners</w:t>
      </w:r>
      <w:r w:rsidRPr="0024145B">
        <w:rPr>
          <w:lang w:val="en-US"/>
        </w:rPr>
        <w:t xml:space="preserve"> </w:t>
      </w:r>
      <w:r w:rsidR="00F825BF" w:rsidRPr="0024145B">
        <w:rPr>
          <w:lang w:val="en-US"/>
        </w:rPr>
        <w:t xml:space="preserve">within 100 feet (or </w:t>
      </w:r>
      <w:r w:rsidRPr="0024145B">
        <w:rPr>
          <w:lang w:val="en-US"/>
        </w:rPr>
        <w:t xml:space="preserve">in the 1-year </w:t>
      </w:r>
      <w:r w:rsidR="00F825BF" w:rsidRPr="0024145B">
        <w:rPr>
          <w:lang w:val="en-US"/>
        </w:rPr>
        <w:t>f</w:t>
      </w:r>
      <w:r w:rsidRPr="0024145B">
        <w:rPr>
          <w:lang w:val="en-US"/>
        </w:rPr>
        <w:t>lood zone</w:t>
      </w:r>
      <w:r w:rsidR="00F825BF" w:rsidRPr="0024145B">
        <w:rPr>
          <w:lang w:val="en-US"/>
        </w:rPr>
        <w:t>)</w:t>
      </w:r>
      <w:r w:rsidRPr="0024145B">
        <w:rPr>
          <w:lang w:val="en-US"/>
        </w:rPr>
        <w:t xml:space="preserve"> of any nearby rivers or water bodies</w:t>
      </w:r>
      <w:r w:rsidR="00F825BF" w:rsidRPr="0024145B">
        <w:rPr>
          <w:lang w:val="en-US"/>
        </w:rPr>
        <w:t xml:space="preserve"> </w:t>
      </w:r>
      <w:r w:rsidR="00EF05BA">
        <w:rPr>
          <w:lang w:val="en-US"/>
        </w:rPr>
        <w:t>are especially encouraged to apply</w:t>
      </w:r>
      <w:r w:rsidR="00F825BF" w:rsidRPr="0024145B">
        <w:rPr>
          <w:lang w:val="en-US"/>
        </w:rPr>
        <w:t>.</w:t>
      </w:r>
    </w:p>
    <w:p w14:paraId="0CF35796" w14:textId="2AF32452" w:rsidR="00F825BF" w:rsidRPr="0024145B" w:rsidRDefault="00F825BF" w:rsidP="0098484C">
      <w:pPr>
        <w:pStyle w:val="ListParagraph"/>
        <w:spacing w:after="160" w:line="259" w:lineRule="auto"/>
        <w:ind w:left="2160"/>
        <w:contextualSpacing/>
        <w:rPr>
          <w:lang w:val="en-US"/>
        </w:rPr>
      </w:pPr>
    </w:p>
    <w:p w14:paraId="1F0E8259" w14:textId="77777777" w:rsidR="004A73CC" w:rsidRPr="0024145B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24145B">
        <w:rPr>
          <w:b/>
          <w:lang w:val="en-US"/>
        </w:rPr>
        <w:t>PRACTICE DESCRIPTION AND SPECIFICATIONS</w:t>
      </w:r>
    </w:p>
    <w:p w14:paraId="51788F4E" w14:textId="4CE4C98D" w:rsidR="0000217F" w:rsidRPr="0024145B" w:rsidRDefault="00C14B67" w:rsidP="0000217F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General description --</w:t>
      </w:r>
      <w:r w:rsidR="0000217F" w:rsidRPr="0024145B">
        <w:rPr>
          <w:lang w:val="en-US"/>
        </w:rPr>
        <w:t xml:space="preserve"> This practice produces carbon benefits through </w:t>
      </w:r>
      <w:r w:rsidR="00F825BF" w:rsidRPr="0024145B">
        <w:rPr>
          <w:lang w:val="en-US"/>
        </w:rPr>
        <w:t xml:space="preserve">the reforestation of lands that are not currently </w:t>
      </w:r>
      <w:proofErr w:type="gramStart"/>
      <w:r w:rsidR="00F825BF" w:rsidRPr="0024145B">
        <w:rPr>
          <w:lang w:val="en-US"/>
        </w:rPr>
        <w:t>forest, but</w:t>
      </w:r>
      <w:proofErr w:type="gramEnd"/>
      <w:r w:rsidR="00F825BF" w:rsidRPr="0024145B">
        <w:rPr>
          <w:lang w:val="en-US"/>
        </w:rPr>
        <w:t xml:space="preserve"> </w:t>
      </w:r>
      <w:r w:rsidR="0098484C" w:rsidRPr="0024145B">
        <w:rPr>
          <w:lang w:val="en-US"/>
        </w:rPr>
        <w:t xml:space="preserve">were historically forested and </w:t>
      </w:r>
      <w:r w:rsidR="00F825BF" w:rsidRPr="0024145B">
        <w:rPr>
          <w:lang w:val="en-US"/>
        </w:rPr>
        <w:t xml:space="preserve">have the potential to be forest in the future. Multiple techniques including stopping mowing or other clearing practices, seeding, and planting may be successful in creating new forests. </w:t>
      </w:r>
      <w:r w:rsidR="0098484C" w:rsidRPr="0024145B">
        <w:rPr>
          <w:lang w:val="en-US"/>
        </w:rPr>
        <w:t>Successful reforestation is measured using the performance standard below.</w:t>
      </w:r>
    </w:p>
    <w:p w14:paraId="00150CA7" w14:textId="65326E66" w:rsidR="00C14B67" w:rsidRPr="0024145B" w:rsidRDefault="00C14B67" w:rsidP="0000217F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Specifications</w:t>
      </w:r>
    </w:p>
    <w:p w14:paraId="5B8864DC" w14:textId="77777777" w:rsidR="00C14B67" w:rsidRPr="0024145B" w:rsidRDefault="0000217F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The participating family forest owner will </w:t>
      </w:r>
      <w:r w:rsidR="0098484C" w:rsidRPr="0024145B">
        <w:rPr>
          <w:lang w:val="en-US"/>
        </w:rPr>
        <w:t>define the area that will be enrolled in this practice, and will work with a licensed forester to determine whether the area for reforestation has the potential to become a forest, meets the eligibility criteria, and to decide what reforestation technique (stopping mowing/clearing, seeding, or planting) is most likely to be successful.</w:t>
      </w:r>
    </w:p>
    <w:p w14:paraId="5FCBB8B1" w14:textId="724EDFA6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The landowner will commit to a 10-year contract period for the reforestation practice and </w:t>
      </w:r>
      <w:proofErr w:type="gramStart"/>
      <w:r w:rsidRPr="0024145B">
        <w:rPr>
          <w:lang w:val="en-US"/>
        </w:rPr>
        <w:t>verification</w:t>
      </w:r>
      <w:r w:rsidR="00EF05BA">
        <w:rPr>
          <w:lang w:val="en-US"/>
        </w:rPr>
        <w:t>, and</w:t>
      </w:r>
      <w:proofErr w:type="gramEnd"/>
      <w:r w:rsidR="00EF05BA">
        <w:rPr>
          <w:lang w:val="en-US"/>
        </w:rPr>
        <w:t xml:space="preserve"> assign carbon rights to the FFCP for an additional 20 years</w:t>
      </w:r>
      <w:r w:rsidRPr="0024145B">
        <w:rPr>
          <w:lang w:val="en-US"/>
        </w:rPr>
        <w:t>.</w:t>
      </w:r>
    </w:p>
    <w:p w14:paraId="43D44094" w14:textId="63E192DB" w:rsidR="0000217F" w:rsidRPr="0024145B" w:rsidRDefault="0000217F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During the course of the contract period, this practice:</w:t>
      </w:r>
    </w:p>
    <w:p w14:paraId="40BE3B8B" w14:textId="444424C4" w:rsidR="0000217F" w:rsidRPr="0024145B" w:rsidRDefault="0098484C" w:rsidP="00C14B67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limits any forest harvest </w:t>
      </w:r>
      <w:r w:rsidR="001467CA" w:rsidRPr="0024145B">
        <w:rPr>
          <w:lang w:val="en-US"/>
        </w:rPr>
        <w:t>within the enrolled area;</w:t>
      </w:r>
    </w:p>
    <w:p w14:paraId="05435271" w14:textId="777DC01E" w:rsidR="001467CA" w:rsidRPr="0024145B" w:rsidRDefault="001467CA" w:rsidP="00C14B67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allows for treatment of invasive plants, and of native competing vegetation such as </w:t>
      </w:r>
      <w:proofErr w:type="spellStart"/>
      <w:r w:rsidRPr="0024145B">
        <w:rPr>
          <w:lang w:val="en-US"/>
        </w:rPr>
        <w:t>hayscented</w:t>
      </w:r>
      <w:proofErr w:type="spellEnd"/>
      <w:r w:rsidRPr="0024145B">
        <w:rPr>
          <w:lang w:val="en-US"/>
        </w:rPr>
        <w:t xml:space="preserve"> fern that limits the ability of new seedlings or saplings to grow;</w:t>
      </w:r>
    </w:p>
    <w:p w14:paraId="56E48EBC" w14:textId="77777777" w:rsidR="001467CA" w:rsidRPr="0024145B" w:rsidRDefault="001467CA" w:rsidP="00C14B67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requires the retention of any downed wood on site;</w:t>
      </w:r>
    </w:p>
    <w:p w14:paraId="1412BF50" w14:textId="77777777" w:rsidR="00C14B67" w:rsidRPr="0024145B" w:rsidRDefault="001467CA" w:rsidP="00C14B67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allows for the use of fencing, tree shelters, or other techniques to control deer and moose browse.</w:t>
      </w:r>
    </w:p>
    <w:p w14:paraId="72EF1218" w14:textId="2782CDC9" w:rsidR="00C14B67" w:rsidRPr="0024145B" w:rsidRDefault="001467CA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Payments are based on a performance standard </w:t>
      </w:r>
      <w:r w:rsidRPr="0024145B">
        <w:rPr>
          <w:highlight w:val="yellow"/>
          <w:lang w:val="en-US"/>
        </w:rPr>
        <w:t>of 350 stems per acre, well-distributed across the stand (taken from VT Use Value Appraisal Program), after 5 years</w:t>
      </w:r>
      <w:r w:rsidR="001E74E5">
        <w:rPr>
          <w:lang w:val="en-US"/>
        </w:rPr>
        <w:t>.</w:t>
      </w:r>
    </w:p>
    <w:p w14:paraId="5CFF0BCD" w14:textId="0B330619" w:rsidR="0000217F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A final payment will be paid in year 10 if the</w:t>
      </w:r>
      <w:r w:rsidR="001467CA" w:rsidRPr="0024145B">
        <w:rPr>
          <w:lang w:val="en-US"/>
        </w:rPr>
        <w:t xml:space="preserve"> site </w:t>
      </w:r>
      <w:r w:rsidRPr="0024145B">
        <w:rPr>
          <w:lang w:val="en-US"/>
        </w:rPr>
        <w:t>has</w:t>
      </w:r>
      <w:r w:rsidR="001467CA" w:rsidRPr="0024145B">
        <w:rPr>
          <w:lang w:val="en-US"/>
        </w:rPr>
        <w:t xml:space="preserve"> at least </w:t>
      </w:r>
      <w:r w:rsidR="001E74E5">
        <w:rPr>
          <w:highlight w:val="yellow"/>
          <w:lang w:val="en-US"/>
        </w:rPr>
        <w:t>350</w:t>
      </w:r>
      <w:r w:rsidR="001467CA" w:rsidRPr="0024145B">
        <w:rPr>
          <w:highlight w:val="yellow"/>
          <w:lang w:val="en-US"/>
        </w:rPr>
        <w:t xml:space="preserve"> stems</w:t>
      </w:r>
      <w:r w:rsidR="00902BD8" w:rsidRPr="0024145B">
        <w:rPr>
          <w:highlight w:val="yellow"/>
          <w:lang w:val="en-US"/>
        </w:rPr>
        <w:t xml:space="preserve"> per acre of native tree species</w:t>
      </w:r>
      <w:r w:rsidR="001467CA" w:rsidRPr="0024145B">
        <w:rPr>
          <w:highlight w:val="yellow"/>
          <w:lang w:val="en-US"/>
        </w:rPr>
        <w:t xml:space="preserve"> greater than 6 feet in height</w:t>
      </w:r>
      <w:r w:rsidR="00902BD8" w:rsidRPr="0024145B">
        <w:rPr>
          <w:highlight w:val="yellow"/>
          <w:lang w:val="en-US"/>
        </w:rPr>
        <w:t>.</w:t>
      </w:r>
      <w:r w:rsidRPr="0024145B">
        <w:rPr>
          <w:lang w:val="en-US"/>
        </w:rPr>
        <w:t xml:space="preserve"> This performance standard </w:t>
      </w:r>
      <w:r w:rsidRPr="0024145B">
        <w:rPr>
          <w:lang w:val="en-US"/>
        </w:rPr>
        <w:lastRenderedPageBreak/>
        <w:t>may not be met in all cases, and landowners should consider this final payment as a possibility, not as a given.</w:t>
      </w:r>
    </w:p>
    <w:p w14:paraId="1AB0BD39" w14:textId="77777777" w:rsidR="005D2E90" w:rsidRPr="0024145B" w:rsidRDefault="005D2E90" w:rsidP="005D2E90">
      <w:pPr>
        <w:pStyle w:val="ListParagraph"/>
        <w:spacing w:after="160" w:line="259" w:lineRule="auto"/>
        <w:ind w:left="2160"/>
        <w:contextualSpacing/>
        <w:rPr>
          <w:lang w:val="en-US"/>
        </w:rPr>
      </w:pPr>
    </w:p>
    <w:p w14:paraId="694F8342" w14:textId="6B5E9D96" w:rsidR="004A73CC" w:rsidRPr="0024145B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24145B">
        <w:rPr>
          <w:b/>
          <w:lang w:val="en-US"/>
        </w:rPr>
        <w:t>CONTRACT PERIOD AND PAYMENT SCHEDULE</w:t>
      </w:r>
    </w:p>
    <w:p w14:paraId="2A6B648D" w14:textId="5A8118A7" w:rsidR="004A73CC" w:rsidRPr="0024145B" w:rsidRDefault="004A73CC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Timeline to implement practice and commitm</w:t>
      </w:r>
      <w:r w:rsidR="00597D71" w:rsidRPr="0024145B">
        <w:rPr>
          <w:lang w:val="en-US"/>
        </w:rPr>
        <w:t xml:space="preserve">ent period to maintain practice: </w:t>
      </w:r>
      <w:r w:rsidR="00902BD8" w:rsidRPr="0024145B">
        <w:rPr>
          <w:lang w:val="en-US"/>
        </w:rPr>
        <w:t>1</w:t>
      </w:r>
      <w:r w:rsidR="001643A1" w:rsidRPr="0024145B">
        <w:rPr>
          <w:lang w:val="en-US"/>
        </w:rPr>
        <w:t>0 years</w:t>
      </w:r>
      <w:r w:rsidR="00902BD8" w:rsidRPr="0024145B">
        <w:rPr>
          <w:lang w:val="en-US"/>
        </w:rPr>
        <w:t>.</w:t>
      </w:r>
    </w:p>
    <w:p w14:paraId="422B8B1B" w14:textId="61737FC7" w:rsidR="0035505A" w:rsidRPr="0024145B" w:rsidRDefault="0035505A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Total per acre payment rates based on timber volumes</w:t>
      </w:r>
      <w:r w:rsidR="00B65A04" w:rsidRPr="0024145B">
        <w:rPr>
          <w:lang w:val="en-US"/>
        </w:rPr>
        <w:t xml:space="preserve"> (International ¼ inch) </w:t>
      </w:r>
      <w:r w:rsidRPr="0024145B">
        <w:rPr>
          <w:lang w:val="en-US"/>
        </w:rPr>
        <w:t>at time of contract</w:t>
      </w:r>
      <w:r w:rsidR="00B65A04" w:rsidRPr="0024145B">
        <w:rPr>
          <w:lang w:val="en-US"/>
        </w:rPr>
        <w:t xml:space="preserve"> based on the most recent forest inventory</w:t>
      </w:r>
      <w:r w:rsidRPr="0024145B">
        <w:rPr>
          <w:lang w:val="en-US"/>
        </w:rPr>
        <w:t>:</w:t>
      </w:r>
    </w:p>
    <w:tbl>
      <w:tblPr>
        <w:tblW w:w="2240" w:type="dxa"/>
        <w:tblInd w:w="1380" w:type="dxa"/>
        <w:tblLook w:val="04A0" w:firstRow="1" w:lastRow="0" w:firstColumn="1" w:lastColumn="0" w:noHBand="0" w:noVBand="1"/>
      </w:tblPr>
      <w:tblGrid>
        <w:gridCol w:w="2240"/>
      </w:tblGrid>
      <w:tr w:rsidR="00902BD8" w:rsidRPr="0024145B" w14:paraId="59AECB20" w14:textId="77777777" w:rsidTr="00902BD8">
        <w:trPr>
          <w:trHeight w:val="290"/>
        </w:trPr>
        <w:tc>
          <w:tcPr>
            <w:tcW w:w="2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2A" w14:textId="11543F29" w:rsidR="00902BD8" w:rsidRPr="0024145B" w:rsidRDefault="00902BD8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145B">
              <w:rPr>
                <w:rFonts w:ascii="Calibri" w:eastAsia="Times New Roman" w:hAnsi="Calibri" w:cs="Calibri"/>
                <w:color w:val="000000"/>
              </w:rPr>
              <w:t>Payment per acre</w:t>
            </w:r>
          </w:p>
        </w:tc>
      </w:tr>
      <w:tr w:rsidR="00902BD8" w:rsidRPr="0024145B" w14:paraId="3CAC27B8" w14:textId="38A3AC11" w:rsidTr="00902BD8">
        <w:trPr>
          <w:trHeight w:val="290"/>
        </w:trPr>
        <w:tc>
          <w:tcPr>
            <w:tcW w:w="2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25B7" w14:textId="7E1C0767" w:rsidR="00902BD8" w:rsidRPr="0024145B" w:rsidRDefault="00902BD8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145B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902BD8" w:rsidRPr="0024145B" w14:paraId="395D3C50" w14:textId="5AC62AF1" w:rsidTr="00902BD8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A2A0" w14:textId="1454EE2F" w:rsidR="00902BD8" w:rsidRPr="0024145B" w:rsidRDefault="00902BD8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BD8" w:rsidRPr="0024145B" w14:paraId="595D0E5B" w14:textId="2DE58C6D" w:rsidTr="00902BD8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A79F" w14:textId="19424CFB" w:rsidR="00902BD8" w:rsidRPr="0024145B" w:rsidRDefault="00902BD8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BD8" w:rsidRPr="0024145B" w14:paraId="4133DFF7" w14:textId="3D4EB01F" w:rsidTr="00902BD8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9EE2" w14:textId="774D8244" w:rsidR="00902BD8" w:rsidRPr="0024145B" w:rsidRDefault="00902BD8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74049CE" w14:textId="77777777" w:rsidR="0035505A" w:rsidRPr="0024145B" w:rsidRDefault="0035505A" w:rsidP="00CE7779">
      <w:pPr>
        <w:pStyle w:val="ListParagraph"/>
        <w:spacing w:after="160" w:line="259" w:lineRule="auto"/>
        <w:ind w:left="1440"/>
        <w:contextualSpacing/>
        <w:rPr>
          <w:lang w:val="en-US"/>
        </w:rPr>
      </w:pPr>
    </w:p>
    <w:p w14:paraId="19D97D01" w14:textId="50C21EFC" w:rsidR="009D2EA8" w:rsidRPr="0024145B" w:rsidRDefault="004A73CC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Incentive/cost-sharing payment amount and schedule</w:t>
      </w:r>
      <w:r w:rsidR="00597D71" w:rsidRPr="0024145B">
        <w:rPr>
          <w:lang w:val="en-US"/>
        </w:rPr>
        <w:t xml:space="preserve">: </w:t>
      </w:r>
    </w:p>
    <w:p w14:paraId="280CFDB9" w14:textId="77777777" w:rsidR="00CE7779" w:rsidRPr="0024145B" w:rsidRDefault="00EA35E5" w:rsidP="00A45963">
      <w:pPr>
        <w:contextualSpacing/>
      </w:pPr>
      <w:r w:rsidRPr="0024145B">
        <w:t xml:space="preserve"> </w:t>
      </w:r>
    </w:p>
    <w:tbl>
      <w:tblPr>
        <w:tblStyle w:val="TableGrid"/>
        <w:tblpPr w:leftFromText="180" w:rightFromText="180" w:vertAnchor="text" w:tblpX="720" w:tblpY="1"/>
        <w:tblOverlap w:val="never"/>
        <w:tblW w:w="8635" w:type="dxa"/>
        <w:tblLook w:val="04A0" w:firstRow="1" w:lastRow="0" w:firstColumn="1" w:lastColumn="0" w:noHBand="0" w:noVBand="1"/>
      </w:tblPr>
      <w:tblGrid>
        <w:gridCol w:w="1615"/>
        <w:gridCol w:w="7020"/>
      </w:tblGrid>
      <w:tr w:rsidR="00CE7779" w:rsidRPr="0024145B" w14:paraId="3C3206EE" w14:textId="77777777" w:rsidTr="00CE7779">
        <w:trPr>
          <w:trHeight w:val="348"/>
        </w:trPr>
        <w:tc>
          <w:tcPr>
            <w:tcW w:w="1615" w:type="dxa"/>
          </w:tcPr>
          <w:p w14:paraId="156E5E27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24145B">
              <w:rPr>
                <w:rFonts w:eastAsia="Times New Roman" w:cstheme="minorHAnsi"/>
                <w:b/>
                <w:bCs/>
              </w:rPr>
              <w:t>Project Year</w:t>
            </w:r>
          </w:p>
        </w:tc>
        <w:tc>
          <w:tcPr>
            <w:tcW w:w="7020" w:type="dxa"/>
          </w:tcPr>
          <w:p w14:paraId="245DC3EC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24145B">
              <w:rPr>
                <w:rFonts w:eastAsia="Times New Roman" w:cstheme="minorHAnsi"/>
                <w:b/>
                <w:bCs/>
              </w:rPr>
              <w:t>Payment</w:t>
            </w:r>
          </w:p>
        </w:tc>
      </w:tr>
      <w:tr w:rsidR="00CE7779" w:rsidRPr="0024145B" w14:paraId="28CBD64F" w14:textId="77777777" w:rsidTr="00CE7779">
        <w:trPr>
          <w:trHeight w:val="335"/>
        </w:trPr>
        <w:tc>
          <w:tcPr>
            <w:tcW w:w="1615" w:type="dxa"/>
          </w:tcPr>
          <w:p w14:paraId="6640BC43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1</w:t>
            </w:r>
          </w:p>
        </w:tc>
        <w:tc>
          <w:tcPr>
            <w:tcW w:w="7020" w:type="dxa"/>
          </w:tcPr>
          <w:p w14:paraId="64A854D8" w14:textId="65C6CFE3" w:rsidR="00CE7779" w:rsidRPr="0024145B" w:rsidRDefault="00902BD8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  <w:r w:rsidRPr="0024145B">
              <w:rPr>
                <w:rFonts w:eastAsia="Times New Roman" w:cstheme="minorHAnsi"/>
                <w:highlight w:val="yellow"/>
              </w:rPr>
              <w:t>25</w:t>
            </w:r>
            <w:r w:rsidR="00CE7779" w:rsidRPr="0024145B">
              <w:rPr>
                <w:rFonts w:eastAsia="Times New Roman" w:cstheme="minorHAnsi"/>
                <w:highlight w:val="yellow"/>
              </w:rPr>
              <w:t xml:space="preserve">% of implementation agreement value </w:t>
            </w:r>
          </w:p>
        </w:tc>
      </w:tr>
      <w:tr w:rsidR="00CE7779" w:rsidRPr="0024145B" w14:paraId="6F91FEAC" w14:textId="77777777" w:rsidTr="00CE7779">
        <w:trPr>
          <w:trHeight w:val="335"/>
        </w:trPr>
        <w:tc>
          <w:tcPr>
            <w:tcW w:w="1615" w:type="dxa"/>
          </w:tcPr>
          <w:p w14:paraId="2EE9677F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2</w:t>
            </w:r>
          </w:p>
        </w:tc>
        <w:tc>
          <w:tcPr>
            <w:tcW w:w="7020" w:type="dxa"/>
          </w:tcPr>
          <w:p w14:paraId="7CD0C13B" w14:textId="53B9BBD2" w:rsidR="00CE7779" w:rsidRPr="0024145B" w:rsidRDefault="00CE7779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</w:p>
        </w:tc>
      </w:tr>
      <w:tr w:rsidR="00CE7779" w:rsidRPr="0024145B" w14:paraId="70615104" w14:textId="77777777" w:rsidTr="00CE7779">
        <w:trPr>
          <w:trHeight w:val="335"/>
        </w:trPr>
        <w:tc>
          <w:tcPr>
            <w:tcW w:w="1615" w:type="dxa"/>
          </w:tcPr>
          <w:p w14:paraId="4EE411A2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3</w:t>
            </w:r>
          </w:p>
        </w:tc>
        <w:tc>
          <w:tcPr>
            <w:tcW w:w="7020" w:type="dxa"/>
          </w:tcPr>
          <w:p w14:paraId="078E1251" w14:textId="17673FA2" w:rsidR="00CE7779" w:rsidRPr="0024145B" w:rsidRDefault="00CE7779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</w:p>
        </w:tc>
      </w:tr>
      <w:tr w:rsidR="00CE7779" w:rsidRPr="0024145B" w14:paraId="009D46D9" w14:textId="77777777" w:rsidTr="00CE7779">
        <w:trPr>
          <w:trHeight w:val="335"/>
        </w:trPr>
        <w:tc>
          <w:tcPr>
            <w:tcW w:w="1615" w:type="dxa"/>
          </w:tcPr>
          <w:p w14:paraId="606DEB01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4</w:t>
            </w:r>
          </w:p>
        </w:tc>
        <w:tc>
          <w:tcPr>
            <w:tcW w:w="7020" w:type="dxa"/>
          </w:tcPr>
          <w:p w14:paraId="258BD5FE" w14:textId="6F00E33E" w:rsidR="00CE7779" w:rsidRPr="0024145B" w:rsidRDefault="00CE7779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</w:p>
        </w:tc>
      </w:tr>
      <w:tr w:rsidR="00CE7779" w:rsidRPr="0024145B" w14:paraId="5D51B335" w14:textId="77777777" w:rsidTr="00CE7779">
        <w:trPr>
          <w:trHeight w:val="335"/>
        </w:trPr>
        <w:tc>
          <w:tcPr>
            <w:tcW w:w="1615" w:type="dxa"/>
          </w:tcPr>
          <w:p w14:paraId="2CB39094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5</w:t>
            </w:r>
          </w:p>
        </w:tc>
        <w:tc>
          <w:tcPr>
            <w:tcW w:w="7020" w:type="dxa"/>
          </w:tcPr>
          <w:p w14:paraId="1C00949B" w14:textId="6E65D56D" w:rsidR="00CE7779" w:rsidRPr="0024145B" w:rsidRDefault="00C14B67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  <w:r w:rsidRPr="0024145B">
              <w:rPr>
                <w:rFonts w:eastAsia="Times New Roman" w:cstheme="minorHAnsi"/>
                <w:highlight w:val="yellow"/>
              </w:rPr>
              <w:t>3</w:t>
            </w:r>
            <w:r w:rsidR="00EF05BA">
              <w:rPr>
                <w:rFonts w:eastAsia="Times New Roman" w:cstheme="minorHAnsi"/>
                <w:highlight w:val="yellow"/>
              </w:rPr>
              <w:t>5</w:t>
            </w:r>
            <w:r w:rsidR="00CE7779" w:rsidRPr="0024145B">
              <w:rPr>
                <w:rFonts w:eastAsia="Times New Roman" w:cstheme="minorHAnsi"/>
                <w:highlight w:val="yellow"/>
              </w:rPr>
              <w:t>% of implementation agreement value</w:t>
            </w:r>
            <w:r w:rsidR="00902BD8" w:rsidRPr="0024145B">
              <w:rPr>
                <w:rFonts w:eastAsia="Times New Roman" w:cstheme="minorHAnsi"/>
                <w:highlight w:val="yellow"/>
              </w:rPr>
              <w:t>, if meet performance standard</w:t>
            </w:r>
          </w:p>
        </w:tc>
      </w:tr>
      <w:tr w:rsidR="00CE7779" w:rsidRPr="0024145B" w14:paraId="7FC21F4E" w14:textId="77777777" w:rsidTr="00CE7779">
        <w:trPr>
          <w:trHeight w:val="335"/>
        </w:trPr>
        <w:tc>
          <w:tcPr>
            <w:tcW w:w="1615" w:type="dxa"/>
          </w:tcPr>
          <w:p w14:paraId="2254DB3C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6</w:t>
            </w:r>
          </w:p>
        </w:tc>
        <w:tc>
          <w:tcPr>
            <w:tcW w:w="7020" w:type="dxa"/>
          </w:tcPr>
          <w:p w14:paraId="221E4ECF" w14:textId="101AC6F9" w:rsidR="00CE7779" w:rsidRPr="0024145B" w:rsidRDefault="00CE7779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</w:p>
        </w:tc>
      </w:tr>
      <w:tr w:rsidR="00CE7779" w:rsidRPr="0024145B" w14:paraId="560E9C65" w14:textId="77777777" w:rsidTr="00CE7779">
        <w:trPr>
          <w:trHeight w:val="335"/>
        </w:trPr>
        <w:tc>
          <w:tcPr>
            <w:tcW w:w="1615" w:type="dxa"/>
          </w:tcPr>
          <w:p w14:paraId="5537F7CF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7</w:t>
            </w:r>
          </w:p>
        </w:tc>
        <w:tc>
          <w:tcPr>
            <w:tcW w:w="7020" w:type="dxa"/>
          </w:tcPr>
          <w:p w14:paraId="2544A8DB" w14:textId="6E500543" w:rsidR="00CE7779" w:rsidRPr="0024145B" w:rsidRDefault="00CE7779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  <w:bookmarkStart w:id="0" w:name="_GoBack"/>
            <w:bookmarkEnd w:id="0"/>
          </w:p>
        </w:tc>
      </w:tr>
      <w:tr w:rsidR="00CE7779" w:rsidRPr="0024145B" w14:paraId="12800167" w14:textId="77777777" w:rsidTr="00CE7779">
        <w:trPr>
          <w:trHeight w:val="335"/>
        </w:trPr>
        <w:tc>
          <w:tcPr>
            <w:tcW w:w="1615" w:type="dxa"/>
          </w:tcPr>
          <w:p w14:paraId="0992B4EF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8</w:t>
            </w:r>
          </w:p>
        </w:tc>
        <w:tc>
          <w:tcPr>
            <w:tcW w:w="7020" w:type="dxa"/>
          </w:tcPr>
          <w:p w14:paraId="7AC5D4C2" w14:textId="0EE6CE22" w:rsidR="00CE7779" w:rsidRPr="0024145B" w:rsidRDefault="00CE7779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</w:p>
        </w:tc>
      </w:tr>
      <w:tr w:rsidR="00CE7779" w:rsidRPr="0024145B" w14:paraId="5C0B5A07" w14:textId="77777777" w:rsidTr="00CE7779">
        <w:trPr>
          <w:trHeight w:val="335"/>
        </w:trPr>
        <w:tc>
          <w:tcPr>
            <w:tcW w:w="1615" w:type="dxa"/>
          </w:tcPr>
          <w:p w14:paraId="53C287AF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9</w:t>
            </w:r>
          </w:p>
        </w:tc>
        <w:tc>
          <w:tcPr>
            <w:tcW w:w="7020" w:type="dxa"/>
          </w:tcPr>
          <w:p w14:paraId="69A43829" w14:textId="477EAC51" w:rsidR="00CE7779" w:rsidRPr="0024145B" w:rsidRDefault="00CE7779" w:rsidP="00CE7779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</w:p>
        </w:tc>
      </w:tr>
      <w:tr w:rsidR="00CE7779" w:rsidRPr="0024145B" w14:paraId="47540772" w14:textId="77777777" w:rsidTr="00CE7779">
        <w:trPr>
          <w:trHeight w:val="335"/>
        </w:trPr>
        <w:tc>
          <w:tcPr>
            <w:tcW w:w="1615" w:type="dxa"/>
          </w:tcPr>
          <w:p w14:paraId="3A89B647" w14:textId="77777777" w:rsidR="00CE7779" w:rsidRPr="0024145B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24145B">
              <w:rPr>
                <w:rFonts w:eastAsia="Times New Roman" w:cstheme="minorHAnsi"/>
              </w:rPr>
              <w:t>10</w:t>
            </w:r>
          </w:p>
        </w:tc>
        <w:tc>
          <w:tcPr>
            <w:tcW w:w="7020" w:type="dxa"/>
          </w:tcPr>
          <w:p w14:paraId="66A44766" w14:textId="5D2A2B92" w:rsidR="00CE7779" w:rsidRPr="0024145B" w:rsidRDefault="00EF05BA" w:rsidP="00902BD8">
            <w:pPr>
              <w:ind w:left="-710" w:right="-650"/>
              <w:jc w:val="center"/>
              <w:rPr>
                <w:rFonts w:eastAsia="Times New Roman" w:cstheme="minorHAnsi"/>
                <w:highlight w:val="yellow"/>
              </w:rPr>
            </w:pPr>
            <w:r>
              <w:rPr>
                <w:rFonts w:eastAsia="Times New Roman" w:cstheme="minorHAnsi"/>
                <w:highlight w:val="yellow"/>
              </w:rPr>
              <w:t>40</w:t>
            </w:r>
            <w:r w:rsidR="00CE7779" w:rsidRPr="0024145B">
              <w:rPr>
                <w:rFonts w:eastAsia="Times New Roman" w:cstheme="minorHAnsi"/>
                <w:highlight w:val="yellow"/>
              </w:rPr>
              <w:t>% of implementation agreement value</w:t>
            </w:r>
            <w:r w:rsidR="00902BD8" w:rsidRPr="0024145B">
              <w:rPr>
                <w:rFonts w:eastAsia="Times New Roman" w:cstheme="minorHAnsi"/>
                <w:highlight w:val="yellow"/>
              </w:rPr>
              <w:t>, if meet performance standard</w:t>
            </w:r>
          </w:p>
        </w:tc>
      </w:tr>
    </w:tbl>
    <w:p w14:paraId="16707C32" w14:textId="0A3B8293" w:rsidR="00A45963" w:rsidRPr="0024145B" w:rsidRDefault="00A45963" w:rsidP="00A45963">
      <w:pPr>
        <w:contextualSpacing/>
      </w:pPr>
    </w:p>
    <w:p w14:paraId="4A06668B" w14:textId="6F472928" w:rsidR="001B18DF" w:rsidRPr="0024145B" w:rsidRDefault="001B18DF" w:rsidP="004A73CC"/>
    <w:p w14:paraId="1802C564" w14:textId="3D5B497F" w:rsidR="00902BD8" w:rsidRPr="0024145B" w:rsidRDefault="00902BD8" w:rsidP="004A73CC"/>
    <w:p w14:paraId="721F6181" w14:textId="38EC7FEF" w:rsidR="00902BD8" w:rsidRPr="0024145B" w:rsidRDefault="00902BD8" w:rsidP="004A73CC"/>
    <w:p w14:paraId="63F4C738" w14:textId="408B8F8D" w:rsidR="00902BD8" w:rsidRPr="0024145B" w:rsidRDefault="00902BD8" w:rsidP="004A73CC"/>
    <w:p w14:paraId="450EF6C1" w14:textId="6A1D1E7B" w:rsidR="00902BD8" w:rsidRPr="0024145B" w:rsidRDefault="00902BD8" w:rsidP="004A73CC"/>
    <w:p w14:paraId="7A2742C0" w14:textId="4F38B96F" w:rsidR="00902BD8" w:rsidRPr="0024145B" w:rsidRDefault="00902BD8" w:rsidP="004A73CC"/>
    <w:p w14:paraId="4E2EB090" w14:textId="70386AF6" w:rsidR="00902BD8" w:rsidRPr="0024145B" w:rsidRDefault="00902BD8" w:rsidP="004A73CC"/>
    <w:p w14:paraId="3F6C59BA" w14:textId="3ABAFFE0" w:rsidR="00902BD8" w:rsidRPr="0024145B" w:rsidRDefault="00902BD8" w:rsidP="004A73CC"/>
    <w:p w14:paraId="6BCCC450" w14:textId="77777777" w:rsidR="00902BD8" w:rsidRPr="0024145B" w:rsidRDefault="00902BD8" w:rsidP="004A73CC"/>
    <w:p w14:paraId="6D65F656" w14:textId="77777777" w:rsidR="004A73CC" w:rsidRPr="0024145B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24145B">
        <w:rPr>
          <w:b/>
          <w:lang w:val="en-US"/>
        </w:rPr>
        <w:t>MONITORING AND VERIFICATION</w:t>
      </w:r>
    </w:p>
    <w:p w14:paraId="5D7D28B6" w14:textId="77777777" w:rsidR="00C14B67" w:rsidRPr="0024145B" w:rsidRDefault="00C14B67" w:rsidP="00C14B6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bookmarkStart w:id="1" w:name="_Hlk36358716"/>
      <w:r w:rsidRPr="0024145B">
        <w:rPr>
          <w:lang w:val="en-US"/>
        </w:rPr>
        <w:t>Landowner will ensure specific monitoring actions:</w:t>
      </w:r>
    </w:p>
    <w:p w14:paraId="258FB7FE" w14:textId="22288304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Initial (prior to contract signing) attestation that all eligibility criteria are met</w:t>
      </w:r>
    </w:p>
    <w:p w14:paraId="5A441FD2" w14:textId="77F45691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Receipts for any tree seeds or seedlings purchased. </w:t>
      </w:r>
    </w:p>
    <w:p w14:paraId="0285A325" w14:textId="60988416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rFonts w:eastAsia="Times New Roman" w:cstheme="minorHAnsi"/>
          <w:lang w:val="en-US"/>
        </w:rPr>
        <w:t>Year-5 submission of attestation that all practice requirements were met, including</w:t>
      </w:r>
      <w:r w:rsidRPr="0024145B">
        <w:rPr>
          <w:rFonts w:eastAsia="Times New Roman" w:cstheme="minorHAnsi"/>
          <w:highlight w:val="yellow"/>
          <w:lang w:val="en-US"/>
        </w:rPr>
        <w:t xml:space="preserve"> 350 living stems of appropriate species (native, commercially viable tree species found in the surrounding forest type) per acre</w:t>
      </w:r>
      <w:r w:rsidRPr="0024145B">
        <w:rPr>
          <w:rFonts w:eastAsia="Times New Roman" w:cstheme="minorHAnsi"/>
          <w:lang w:val="en-US"/>
        </w:rPr>
        <w:t>.</w:t>
      </w:r>
    </w:p>
    <w:p w14:paraId="5BD06C7A" w14:textId="77777777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Year-10 submission of attestation that all practice requirements were met, including presence </w:t>
      </w:r>
      <w:r w:rsidRPr="0024145B">
        <w:rPr>
          <w:highlight w:val="yellow"/>
          <w:lang w:val="en-US"/>
        </w:rPr>
        <w:t>of 350 stems per acre of appropriate species at least 6-8 feet in height.</w:t>
      </w:r>
    </w:p>
    <w:p w14:paraId="0736F551" w14:textId="33858274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Potential site-level verification by FFCP representatives (at any time during the contract period) </w:t>
      </w:r>
    </w:p>
    <w:p w14:paraId="79ECF6C6" w14:textId="77777777" w:rsidR="00C14B67" w:rsidRPr="0024145B" w:rsidRDefault="00C14B67" w:rsidP="00C14B6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Monitoring actions that shall be undertaken by program staff or representatives: </w:t>
      </w:r>
    </w:p>
    <w:p w14:paraId="12C409AF" w14:textId="77777777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lastRenderedPageBreak/>
        <w:t>Initial (prior to contract signing) verification that all eligibility criteria are met.</w:t>
      </w:r>
    </w:p>
    <w:p w14:paraId="70F60018" w14:textId="2F4728B7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Year 5 and year 10: Review of performance criteria</w:t>
      </w:r>
    </w:p>
    <w:p w14:paraId="286E86F1" w14:textId="77777777" w:rsidR="00C14B67" w:rsidRPr="0024145B" w:rsidRDefault="00C14B67" w:rsidP="00C14B67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 xml:space="preserve">Potential periodic remote sensing and site-level verification of compliance with approved management plan in effect </w:t>
      </w:r>
    </w:p>
    <w:p w14:paraId="333B8685" w14:textId="77777777" w:rsidR="00C14B67" w:rsidRPr="0024145B" w:rsidRDefault="00C14B67" w:rsidP="00C14B6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24145B">
        <w:rPr>
          <w:lang w:val="en-US"/>
        </w:rPr>
        <w:t>Commitment to ongoing program level validation: The landowner will reserve to FFCP staff and representatives the right to access the property to carry out the site level monitoring actions specified above, and to establish long-term monitoring plots on enrolled stands to directly measure and monitor the impacts of the practice to improve FFCP program-level reporting.</w:t>
      </w:r>
    </w:p>
    <w:bookmarkEnd w:id="1"/>
    <w:p w14:paraId="59D7DA7B" w14:textId="77777777" w:rsidR="00247B91" w:rsidRPr="0024145B" w:rsidRDefault="00247B91" w:rsidP="004A73CC"/>
    <w:p w14:paraId="72E67B8E" w14:textId="70094CA7" w:rsidR="1C563C89" w:rsidRPr="0024145B" w:rsidRDefault="1C563C89" w:rsidP="1C563C89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24145B">
        <w:rPr>
          <w:b/>
          <w:bCs/>
          <w:lang w:val="en-US"/>
        </w:rPr>
        <w:t>Eligible Project Areas</w:t>
      </w:r>
    </w:p>
    <w:p w14:paraId="05CE15DC" w14:textId="4E227115" w:rsidR="1C563C89" w:rsidRDefault="1C563C89" w:rsidP="1C563C89">
      <w:pPr>
        <w:rPr>
          <w:b/>
          <w:bCs/>
        </w:rPr>
      </w:pPr>
    </w:p>
    <w:p w14:paraId="7820C012" w14:textId="712C00FA" w:rsidR="1C563C89" w:rsidRDefault="00C14B67" w:rsidP="1C563C89">
      <w:pPr>
        <w:jc w:val="center"/>
      </w:pPr>
      <w:r>
        <w:rPr>
          <w:noProof/>
        </w:rPr>
        <w:drawing>
          <wp:inline distT="0" distB="0" distL="0" distR="0" wp14:anchorId="402E7261" wp14:editId="488F4129">
            <wp:extent cx="5943600" cy="3343275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 county eligibilit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C663" w14:textId="5EC17C63" w:rsidR="1C563C89" w:rsidRDefault="1C563C89" w:rsidP="1C563C89"/>
    <w:p w14:paraId="2AB89D4B" w14:textId="656A29BC" w:rsidR="1C563C89" w:rsidRDefault="1C563C89" w:rsidP="1C563C89">
      <w:pPr>
        <w:jc w:val="center"/>
      </w:pPr>
    </w:p>
    <w:p w14:paraId="3CF1876E" w14:textId="75B7FB47" w:rsidR="1C563C89" w:rsidRDefault="1C563C89" w:rsidP="1C563C89">
      <w:pPr>
        <w:jc w:val="center"/>
      </w:pPr>
    </w:p>
    <w:p w14:paraId="599BEA06" w14:textId="34D00031" w:rsidR="1C563C89" w:rsidRDefault="1C563C89" w:rsidP="1C563C89">
      <w:pPr>
        <w:jc w:val="center"/>
      </w:pPr>
    </w:p>
    <w:sectPr w:rsidR="1C563C89" w:rsidSect="0049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00A1" w14:textId="77777777" w:rsidR="00CE7FD1" w:rsidRDefault="00CE7FD1" w:rsidP="00902324">
      <w:pPr>
        <w:spacing w:after="0" w:line="240" w:lineRule="auto"/>
      </w:pPr>
      <w:r>
        <w:separator/>
      </w:r>
    </w:p>
  </w:endnote>
  <w:endnote w:type="continuationSeparator" w:id="0">
    <w:p w14:paraId="5D81925B" w14:textId="77777777" w:rsidR="00CE7FD1" w:rsidRDefault="00CE7FD1" w:rsidP="0090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0E3C" w14:textId="77777777" w:rsidR="00CE7FD1" w:rsidRDefault="00CE7FD1" w:rsidP="00902324">
      <w:pPr>
        <w:spacing w:after="0" w:line="240" w:lineRule="auto"/>
      </w:pPr>
      <w:r>
        <w:separator/>
      </w:r>
    </w:p>
  </w:footnote>
  <w:footnote w:type="continuationSeparator" w:id="0">
    <w:p w14:paraId="32CE7B10" w14:textId="77777777" w:rsidR="00CE7FD1" w:rsidRDefault="00CE7FD1" w:rsidP="0090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498"/>
    <w:multiLevelType w:val="hybridMultilevel"/>
    <w:tmpl w:val="DCC2B8B0"/>
    <w:lvl w:ilvl="0" w:tplc="9CC854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581C"/>
    <w:multiLevelType w:val="hybridMultilevel"/>
    <w:tmpl w:val="C8A60A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14FC"/>
    <w:multiLevelType w:val="hybridMultilevel"/>
    <w:tmpl w:val="54CED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D57"/>
    <w:multiLevelType w:val="hybridMultilevel"/>
    <w:tmpl w:val="336C3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7418"/>
    <w:multiLevelType w:val="hybridMultilevel"/>
    <w:tmpl w:val="E71CA7DE"/>
    <w:lvl w:ilvl="0" w:tplc="6C7C3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4DB"/>
    <w:multiLevelType w:val="hybridMultilevel"/>
    <w:tmpl w:val="AEFA5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F2EE1"/>
    <w:multiLevelType w:val="hybridMultilevel"/>
    <w:tmpl w:val="6AD4C100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A162CB7"/>
    <w:multiLevelType w:val="hybridMultilevel"/>
    <w:tmpl w:val="6C7A0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F0923"/>
    <w:multiLevelType w:val="hybridMultilevel"/>
    <w:tmpl w:val="5A025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26AE8"/>
    <w:multiLevelType w:val="hybridMultilevel"/>
    <w:tmpl w:val="54CED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A41DB"/>
    <w:multiLevelType w:val="hybridMultilevel"/>
    <w:tmpl w:val="770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7532"/>
    <w:multiLevelType w:val="hybridMultilevel"/>
    <w:tmpl w:val="A14A2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6556E"/>
    <w:multiLevelType w:val="hybridMultilevel"/>
    <w:tmpl w:val="F462E522"/>
    <w:lvl w:ilvl="0" w:tplc="EE34C2AC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448F0"/>
    <w:multiLevelType w:val="hybridMultilevel"/>
    <w:tmpl w:val="D234941C"/>
    <w:lvl w:ilvl="0" w:tplc="6C7C3E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D5550"/>
    <w:multiLevelType w:val="hybridMultilevel"/>
    <w:tmpl w:val="2C4EFE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2A2D9C"/>
    <w:multiLevelType w:val="hybridMultilevel"/>
    <w:tmpl w:val="7EE8EF2E"/>
    <w:lvl w:ilvl="0" w:tplc="6C7C3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7"/>
  </w:num>
  <w:num w:numId="10">
    <w:abstractNumId w:val="15"/>
  </w:num>
  <w:num w:numId="11">
    <w:abstractNumId w:val="14"/>
  </w:num>
  <w:num w:numId="12">
    <w:abstractNumId w:val="5"/>
  </w:num>
  <w:num w:numId="13">
    <w:abstractNumId w:val="12"/>
  </w:num>
  <w:num w:numId="14">
    <w:abstractNumId w:val="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WwMDYzNjcwtgAyjJV0lIJTi4sz8/NACoxrAf5pUSAsAAAA"/>
  </w:docVars>
  <w:rsids>
    <w:rsidRoot w:val="00A00D2A"/>
    <w:rsid w:val="0000217F"/>
    <w:rsid w:val="00003DCB"/>
    <w:rsid w:val="00004F70"/>
    <w:rsid w:val="0002047C"/>
    <w:rsid w:val="000216C4"/>
    <w:rsid w:val="000337BA"/>
    <w:rsid w:val="0003477E"/>
    <w:rsid w:val="0003561D"/>
    <w:rsid w:val="00037FAA"/>
    <w:rsid w:val="00040A21"/>
    <w:rsid w:val="00047FAC"/>
    <w:rsid w:val="00057475"/>
    <w:rsid w:val="00060727"/>
    <w:rsid w:val="000632C1"/>
    <w:rsid w:val="000649E7"/>
    <w:rsid w:val="00076631"/>
    <w:rsid w:val="00082629"/>
    <w:rsid w:val="00082AB3"/>
    <w:rsid w:val="000853B2"/>
    <w:rsid w:val="0009452C"/>
    <w:rsid w:val="000B70B2"/>
    <w:rsid w:val="000B7633"/>
    <w:rsid w:val="000C5FD1"/>
    <w:rsid w:val="000E4D64"/>
    <w:rsid w:val="000E64D4"/>
    <w:rsid w:val="000F0387"/>
    <w:rsid w:val="000F620E"/>
    <w:rsid w:val="00102A6F"/>
    <w:rsid w:val="001068DE"/>
    <w:rsid w:val="0011090E"/>
    <w:rsid w:val="00111B50"/>
    <w:rsid w:val="0011323D"/>
    <w:rsid w:val="00123FDA"/>
    <w:rsid w:val="00131EDA"/>
    <w:rsid w:val="001467CA"/>
    <w:rsid w:val="00152913"/>
    <w:rsid w:val="001643A1"/>
    <w:rsid w:val="00165F3F"/>
    <w:rsid w:val="00172362"/>
    <w:rsid w:val="001726E3"/>
    <w:rsid w:val="001762A7"/>
    <w:rsid w:val="00184259"/>
    <w:rsid w:val="00187E87"/>
    <w:rsid w:val="001916B1"/>
    <w:rsid w:val="001957F6"/>
    <w:rsid w:val="00197166"/>
    <w:rsid w:val="001A6DE4"/>
    <w:rsid w:val="001B18DF"/>
    <w:rsid w:val="001B399E"/>
    <w:rsid w:val="001B73A0"/>
    <w:rsid w:val="001C2527"/>
    <w:rsid w:val="001C2E77"/>
    <w:rsid w:val="001D72A5"/>
    <w:rsid w:val="001E3C6A"/>
    <w:rsid w:val="001E4D13"/>
    <w:rsid w:val="001E74E5"/>
    <w:rsid w:val="001E7A3A"/>
    <w:rsid w:val="00214A73"/>
    <w:rsid w:val="002306F7"/>
    <w:rsid w:val="00240DC4"/>
    <w:rsid w:val="0024145B"/>
    <w:rsid w:val="00247B91"/>
    <w:rsid w:val="00260CC5"/>
    <w:rsid w:val="00260E40"/>
    <w:rsid w:val="00263B42"/>
    <w:rsid w:val="00264116"/>
    <w:rsid w:val="00274E12"/>
    <w:rsid w:val="0028050A"/>
    <w:rsid w:val="00282FC5"/>
    <w:rsid w:val="0028446C"/>
    <w:rsid w:val="00284ED3"/>
    <w:rsid w:val="00284FF7"/>
    <w:rsid w:val="002A4495"/>
    <w:rsid w:val="002B2A8E"/>
    <w:rsid w:val="002B6AB6"/>
    <w:rsid w:val="002C0024"/>
    <w:rsid w:val="002C3278"/>
    <w:rsid w:val="002D2965"/>
    <w:rsid w:val="002D66DE"/>
    <w:rsid w:val="002F5AFF"/>
    <w:rsid w:val="002F6410"/>
    <w:rsid w:val="002F6732"/>
    <w:rsid w:val="002F72C7"/>
    <w:rsid w:val="0030686B"/>
    <w:rsid w:val="00317E1D"/>
    <w:rsid w:val="00322B59"/>
    <w:rsid w:val="00323639"/>
    <w:rsid w:val="00324276"/>
    <w:rsid w:val="00331C64"/>
    <w:rsid w:val="00336B96"/>
    <w:rsid w:val="0035505A"/>
    <w:rsid w:val="003576AE"/>
    <w:rsid w:val="003607E2"/>
    <w:rsid w:val="00361271"/>
    <w:rsid w:val="0036287A"/>
    <w:rsid w:val="00363255"/>
    <w:rsid w:val="0037651E"/>
    <w:rsid w:val="00386718"/>
    <w:rsid w:val="00387A9F"/>
    <w:rsid w:val="003A70E0"/>
    <w:rsid w:val="003C1E1C"/>
    <w:rsid w:val="003C26B2"/>
    <w:rsid w:val="003E5933"/>
    <w:rsid w:val="003F2560"/>
    <w:rsid w:val="003F46F7"/>
    <w:rsid w:val="003F5891"/>
    <w:rsid w:val="00404BF3"/>
    <w:rsid w:val="004144D8"/>
    <w:rsid w:val="004228C6"/>
    <w:rsid w:val="00445144"/>
    <w:rsid w:val="00452B83"/>
    <w:rsid w:val="00453F68"/>
    <w:rsid w:val="0045687A"/>
    <w:rsid w:val="0046370B"/>
    <w:rsid w:val="004652C9"/>
    <w:rsid w:val="00467320"/>
    <w:rsid w:val="00467CDD"/>
    <w:rsid w:val="0047278C"/>
    <w:rsid w:val="00484144"/>
    <w:rsid w:val="00490164"/>
    <w:rsid w:val="00492CB9"/>
    <w:rsid w:val="00493EAC"/>
    <w:rsid w:val="00494E8F"/>
    <w:rsid w:val="00496D1F"/>
    <w:rsid w:val="004A73CC"/>
    <w:rsid w:val="004C3B4E"/>
    <w:rsid w:val="004D3718"/>
    <w:rsid w:val="004E3936"/>
    <w:rsid w:val="004F6145"/>
    <w:rsid w:val="00516A6D"/>
    <w:rsid w:val="00524DF7"/>
    <w:rsid w:val="005250CB"/>
    <w:rsid w:val="00527CD9"/>
    <w:rsid w:val="00527CF6"/>
    <w:rsid w:val="0053356D"/>
    <w:rsid w:val="00537BE5"/>
    <w:rsid w:val="005402DB"/>
    <w:rsid w:val="00541FAB"/>
    <w:rsid w:val="00546E6D"/>
    <w:rsid w:val="00547E84"/>
    <w:rsid w:val="00550013"/>
    <w:rsid w:val="005516BD"/>
    <w:rsid w:val="00556951"/>
    <w:rsid w:val="0056019D"/>
    <w:rsid w:val="005725EB"/>
    <w:rsid w:val="00574AF7"/>
    <w:rsid w:val="00574D71"/>
    <w:rsid w:val="00575C8B"/>
    <w:rsid w:val="005828CD"/>
    <w:rsid w:val="00591CEA"/>
    <w:rsid w:val="00597D71"/>
    <w:rsid w:val="005A022B"/>
    <w:rsid w:val="005A0CFA"/>
    <w:rsid w:val="005A1266"/>
    <w:rsid w:val="005C3EC2"/>
    <w:rsid w:val="005C78F8"/>
    <w:rsid w:val="005D0C91"/>
    <w:rsid w:val="005D27E5"/>
    <w:rsid w:val="005D2E90"/>
    <w:rsid w:val="005D7F3E"/>
    <w:rsid w:val="005E550C"/>
    <w:rsid w:val="005F26F6"/>
    <w:rsid w:val="005F4304"/>
    <w:rsid w:val="0060361C"/>
    <w:rsid w:val="00615917"/>
    <w:rsid w:val="006172B1"/>
    <w:rsid w:val="00630DB2"/>
    <w:rsid w:val="0063407A"/>
    <w:rsid w:val="006370A0"/>
    <w:rsid w:val="00650C2B"/>
    <w:rsid w:val="00655D6C"/>
    <w:rsid w:val="00673D19"/>
    <w:rsid w:val="006769E8"/>
    <w:rsid w:val="00683951"/>
    <w:rsid w:val="006B0214"/>
    <w:rsid w:val="006B1C88"/>
    <w:rsid w:val="006B267F"/>
    <w:rsid w:val="006B3DF5"/>
    <w:rsid w:val="006C5669"/>
    <w:rsid w:val="006D2426"/>
    <w:rsid w:val="006E0407"/>
    <w:rsid w:val="006E133F"/>
    <w:rsid w:val="006E6B4E"/>
    <w:rsid w:val="006F284C"/>
    <w:rsid w:val="006F4A2E"/>
    <w:rsid w:val="00706AC8"/>
    <w:rsid w:val="0071366D"/>
    <w:rsid w:val="00713A87"/>
    <w:rsid w:val="007176DA"/>
    <w:rsid w:val="00721FA0"/>
    <w:rsid w:val="007221DB"/>
    <w:rsid w:val="007368D2"/>
    <w:rsid w:val="00740388"/>
    <w:rsid w:val="00743165"/>
    <w:rsid w:val="00743CF8"/>
    <w:rsid w:val="0074582B"/>
    <w:rsid w:val="0074737E"/>
    <w:rsid w:val="007511AB"/>
    <w:rsid w:val="00751C4E"/>
    <w:rsid w:val="0075207E"/>
    <w:rsid w:val="00762230"/>
    <w:rsid w:val="00763CB8"/>
    <w:rsid w:val="007745EF"/>
    <w:rsid w:val="00774D6F"/>
    <w:rsid w:val="00782BEE"/>
    <w:rsid w:val="007862BE"/>
    <w:rsid w:val="00786AFF"/>
    <w:rsid w:val="007932E4"/>
    <w:rsid w:val="007B4299"/>
    <w:rsid w:val="007C06CC"/>
    <w:rsid w:val="007C6345"/>
    <w:rsid w:val="007C7AC0"/>
    <w:rsid w:val="007F01A6"/>
    <w:rsid w:val="007F2F3F"/>
    <w:rsid w:val="007F3EE4"/>
    <w:rsid w:val="007F73DF"/>
    <w:rsid w:val="00800169"/>
    <w:rsid w:val="00803A54"/>
    <w:rsid w:val="00804923"/>
    <w:rsid w:val="0082742B"/>
    <w:rsid w:val="008323E7"/>
    <w:rsid w:val="00837463"/>
    <w:rsid w:val="0084318B"/>
    <w:rsid w:val="008473DC"/>
    <w:rsid w:val="00857220"/>
    <w:rsid w:val="00860A45"/>
    <w:rsid w:val="008634D0"/>
    <w:rsid w:val="00866656"/>
    <w:rsid w:val="008730F8"/>
    <w:rsid w:val="008743E4"/>
    <w:rsid w:val="0087580E"/>
    <w:rsid w:val="00891F5A"/>
    <w:rsid w:val="008B5F10"/>
    <w:rsid w:val="008B6298"/>
    <w:rsid w:val="008C3601"/>
    <w:rsid w:val="008C5853"/>
    <w:rsid w:val="008C5CEB"/>
    <w:rsid w:val="008C7939"/>
    <w:rsid w:val="008D358E"/>
    <w:rsid w:val="008D4635"/>
    <w:rsid w:val="008D76C5"/>
    <w:rsid w:val="008E28E4"/>
    <w:rsid w:val="008F5266"/>
    <w:rsid w:val="008F7B5B"/>
    <w:rsid w:val="00902324"/>
    <w:rsid w:val="00902BD8"/>
    <w:rsid w:val="00903FC4"/>
    <w:rsid w:val="00906D26"/>
    <w:rsid w:val="00917F94"/>
    <w:rsid w:val="00925FE5"/>
    <w:rsid w:val="0092651F"/>
    <w:rsid w:val="0093151F"/>
    <w:rsid w:val="0096612D"/>
    <w:rsid w:val="009661E5"/>
    <w:rsid w:val="009668E1"/>
    <w:rsid w:val="00972E05"/>
    <w:rsid w:val="00974173"/>
    <w:rsid w:val="00982992"/>
    <w:rsid w:val="0098484C"/>
    <w:rsid w:val="009930DB"/>
    <w:rsid w:val="009A0727"/>
    <w:rsid w:val="009A2B86"/>
    <w:rsid w:val="009A3593"/>
    <w:rsid w:val="009B22C5"/>
    <w:rsid w:val="009C115D"/>
    <w:rsid w:val="009C208C"/>
    <w:rsid w:val="009C796E"/>
    <w:rsid w:val="009D2EA8"/>
    <w:rsid w:val="009D3AF8"/>
    <w:rsid w:val="009F0AE5"/>
    <w:rsid w:val="009F1DCC"/>
    <w:rsid w:val="009F696D"/>
    <w:rsid w:val="00A0034C"/>
    <w:rsid w:val="00A00D2A"/>
    <w:rsid w:val="00A01302"/>
    <w:rsid w:val="00A118FF"/>
    <w:rsid w:val="00A11E12"/>
    <w:rsid w:val="00A165AE"/>
    <w:rsid w:val="00A21897"/>
    <w:rsid w:val="00A33E67"/>
    <w:rsid w:val="00A34418"/>
    <w:rsid w:val="00A407FE"/>
    <w:rsid w:val="00A45963"/>
    <w:rsid w:val="00A544C9"/>
    <w:rsid w:val="00A56CA0"/>
    <w:rsid w:val="00A63484"/>
    <w:rsid w:val="00A677C6"/>
    <w:rsid w:val="00A7114C"/>
    <w:rsid w:val="00A71C3B"/>
    <w:rsid w:val="00A76451"/>
    <w:rsid w:val="00A76627"/>
    <w:rsid w:val="00A778F7"/>
    <w:rsid w:val="00A8316C"/>
    <w:rsid w:val="00AA714D"/>
    <w:rsid w:val="00AB2880"/>
    <w:rsid w:val="00AB6701"/>
    <w:rsid w:val="00AB70EF"/>
    <w:rsid w:val="00AB77DD"/>
    <w:rsid w:val="00AC1244"/>
    <w:rsid w:val="00AD5731"/>
    <w:rsid w:val="00AE0A15"/>
    <w:rsid w:val="00AE0D5C"/>
    <w:rsid w:val="00AE7AE1"/>
    <w:rsid w:val="00AF307D"/>
    <w:rsid w:val="00AF433A"/>
    <w:rsid w:val="00B12F72"/>
    <w:rsid w:val="00B32C5D"/>
    <w:rsid w:val="00B3315E"/>
    <w:rsid w:val="00B341C5"/>
    <w:rsid w:val="00B65A04"/>
    <w:rsid w:val="00B67942"/>
    <w:rsid w:val="00B73405"/>
    <w:rsid w:val="00B73749"/>
    <w:rsid w:val="00B770F7"/>
    <w:rsid w:val="00B8321E"/>
    <w:rsid w:val="00B847EF"/>
    <w:rsid w:val="00B84AF9"/>
    <w:rsid w:val="00B90840"/>
    <w:rsid w:val="00BA1385"/>
    <w:rsid w:val="00BA2DE1"/>
    <w:rsid w:val="00BB6C3F"/>
    <w:rsid w:val="00BB7A07"/>
    <w:rsid w:val="00BD3733"/>
    <w:rsid w:val="00BD4330"/>
    <w:rsid w:val="00BE383B"/>
    <w:rsid w:val="00BE6D0B"/>
    <w:rsid w:val="00BF4AE3"/>
    <w:rsid w:val="00BF4CF0"/>
    <w:rsid w:val="00C01BB5"/>
    <w:rsid w:val="00C03B37"/>
    <w:rsid w:val="00C04813"/>
    <w:rsid w:val="00C056C9"/>
    <w:rsid w:val="00C11E9F"/>
    <w:rsid w:val="00C120CC"/>
    <w:rsid w:val="00C14B67"/>
    <w:rsid w:val="00C16A6F"/>
    <w:rsid w:val="00C23534"/>
    <w:rsid w:val="00C24FCE"/>
    <w:rsid w:val="00C25BA0"/>
    <w:rsid w:val="00C337DF"/>
    <w:rsid w:val="00C37D00"/>
    <w:rsid w:val="00C449DB"/>
    <w:rsid w:val="00C463B5"/>
    <w:rsid w:val="00C47A04"/>
    <w:rsid w:val="00C56680"/>
    <w:rsid w:val="00C60FB0"/>
    <w:rsid w:val="00C64105"/>
    <w:rsid w:val="00C82CF3"/>
    <w:rsid w:val="00C86831"/>
    <w:rsid w:val="00C967EC"/>
    <w:rsid w:val="00CA021A"/>
    <w:rsid w:val="00CA632F"/>
    <w:rsid w:val="00CA76A2"/>
    <w:rsid w:val="00CA7814"/>
    <w:rsid w:val="00CB4B97"/>
    <w:rsid w:val="00CC36E4"/>
    <w:rsid w:val="00CC5B1F"/>
    <w:rsid w:val="00CC5E0C"/>
    <w:rsid w:val="00CD15A3"/>
    <w:rsid w:val="00CE0895"/>
    <w:rsid w:val="00CE3B78"/>
    <w:rsid w:val="00CE7779"/>
    <w:rsid w:val="00CE7FD1"/>
    <w:rsid w:val="00CF1ADE"/>
    <w:rsid w:val="00CF2387"/>
    <w:rsid w:val="00CF3724"/>
    <w:rsid w:val="00D00BC7"/>
    <w:rsid w:val="00D044F4"/>
    <w:rsid w:val="00D05C72"/>
    <w:rsid w:val="00D21054"/>
    <w:rsid w:val="00D23056"/>
    <w:rsid w:val="00D53D0A"/>
    <w:rsid w:val="00D55D78"/>
    <w:rsid w:val="00D62139"/>
    <w:rsid w:val="00D66A90"/>
    <w:rsid w:val="00D67EA8"/>
    <w:rsid w:val="00D72708"/>
    <w:rsid w:val="00D80ADC"/>
    <w:rsid w:val="00DA39A0"/>
    <w:rsid w:val="00DA7556"/>
    <w:rsid w:val="00DB7A81"/>
    <w:rsid w:val="00DD2A7A"/>
    <w:rsid w:val="00DD4BF7"/>
    <w:rsid w:val="00DD5925"/>
    <w:rsid w:val="00DD6AE1"/>
    <w:rsid w:val="00DD74DD"/>
    <w:rsid w:val="00DE3B48"/>
    <w:rsid w:val="00DE3EA0"/>
    <w:rsid w:val="00DE69C4"/>
    <w:rsid w:val="00DE7039"/>
    <w:rsid w:val="00DF1796"/>
    <w:rsid w:val="00E00D2F"/>
    <w:rsid w:val="00E0160F"/>
    <w:rsid w:val="00E03A46"/>
    <w:rsid w:val="00E21CA1"/>
    <w:rsid w:val="00E44C9D"/>
    <w:rsid w:val="00E5196B"/>
    <w:rsid w:val="00E5232B"/>
    <w:rsid w:val="00E56F6A"/>
    <w:rsid w:val="00E57D8B"/>
    <w:rsid w:val="00E620F9"/>
    <w:rsid w:val="00E64782"/>
    <w:rsid w:val="00E665C9"/>
    <w:rsid w:val="00E6670F"/>
    <w:rsid w:val="00E737C8"/>
    <w:rsid w:val="00E73CA3"/>
    <w:rsid w:val="00EA204A"/>
    <w:rsid w:val="00EA35E5"/>
    <w:rsid w:val="00EB3967"/>
    <w:rsid w:val="00EB55AF"/>
    <w:rsid w:val="00EB6912"/>
    <w:rsid w:val="00ED1A56"/>
    <w:rsid w:val="00EE44CF"/>
    <w:rsid w:val="00EF05BA"/>
    <w:rsid w:val="00EF0790"/>
    <w:rsid w:val="00EF5320"/>
    <w:rsid w:val="00EF55F8"/>
    <w:rsid w:val="00EF5DE9"/>
    <w:rsid w:val="00EF7CA5"/>
    <w:rsid w:val="00F01DFB"/>
    <w:rsid w:val="00F048AF"/>
    <w:rsid w:val="00F13024"/>
    <w:rsid w:val="00F1602C"/>
    <w:rsid w:val="00F24F4D"/>
    <w:rsid w:val="00F258EC"/>
    <w:rsid w:val="00F34E95"/>
    <w:rsid w:val="00F37195"/>
    <w:rsid w:val="00F403C5"/>
    <w:rsid w:val="00F4465F"/>
    <w:rsid w:val="00F600D3"/>
    <w:rsid w:val="00F64973"/>
    <w:rsid w:val="00F64E9B"/>
    <w:rsid w:val="00F825BF"/>
    <w:rsid w:val="00F912E0"/>
    <w:rsid w:val="00F92F8F"/>
    <w:rsid w:val="00FA241F"/>
    <w:rsid w:val="00FA2C29"/>
    <w:rsid w:val="00FA717C"/>
    <w:rsid w:val="00FB14C5"/>
    <w:rsid w:val="00FB39B7"/>
    <w:rsid w:val="00FC5883"/>
    <w:rsid w:val="00FC644E"/>
    <w:rsid w:val="00FC7EA2"/>
    <w:rsid w:val="00FD1E07"/>
    <w:rsid w:val="00FD480E"/>
    <w:rsid w:val="00FE32AB"/>
    <w:rsid w:val="00FF1873"/>
    <w:rsid w:val="00FF238D"/>
    <w:rsid w:val="1C563C89"/>
    <w:rsid w:val="3D290785"/>
    <w:rsid w:val="57391814"/>
    <w:rsid w:val="658A3CAB"/>
    <w:rsid w:val="6A54A1E7"/>
    <w:rsid w:val="7176E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CBEE7C"/>
  <w15:chartTrackingRefBased/>
  <w15:docId w15:val="{604F7907-BB0A-4469-B0E5-3EB891F5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83"/>
    <w:pPr>
      <w:spacing w:after="0" w:line="240" w:lineRule="auto"/>
      <w:ind w:left="720"/>
    </w:pPr>
    <w:rPr>
      <w:rFonts w:ascii="Calibri" w:hAnsi="Calibri" w:cs="Calibri"/>
      <w:lang w:val="es-MX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2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3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3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1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B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soilresource.lawr.ucdavis.edu/gmap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61BCAC43E974A98868FF5F1C5F28A" ma:contentTypeVersion="11" ma:contentTypeDescription="Create a new document." ma:contentTypeScope="" ma:versionID="79bfd1c3e9091d863ccc899d9977a1b5">
  <xsd:schema xmlns:xsd="http://www.w3.org/2001/XMLSchema" xmlns:xs="http://www.w3.org/2001/XMLSchema" xmlns:p="http://schemas.microsoft.com/office/2006/metadata/properties" xmlns:ns2="082de55b-2b11-4ada-96c6-6a88ebdb5504" xmlns:ns3="1e754e94-ba46-4584-a380-73f862e2cce1" targetNamespace="http://schemas.microsoft.com/office/2006/metadata/properties" ma:root="true" ma:fieldsID="e23094848c85d80e038fa64717ac8670" ns2:_="" ns3:_="">
    <xsd:import namespace="082de55b-2b11-4ada-96c6-6a88ebdb5504"/>
    <xsd:import namespace="1e754e94-ba46-4584-a380-73f862e2c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de55b-2b11-4ada-96c6-6a88ebdb5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54e94-ba46-4584-a380-73f862e2c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46F0-7338-46AB-A03D-E7097A1D68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AC307E-9325-4D55-9DBD-4CBA2349F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E1733-920A-4DF0-B96B-4486A3326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de55b-2b11-4ada-96c6-6a88ebdb5504"/>
    <ds:schemaRef ds:uri="1e754e94-ba46-4584-a380-73f862e2c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DF96B-11A3-4002-AC2C-1E707C5E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708</Words>
  <Characters>4040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Shoch</dc:creator>
  <cp:keywords/>
  <dc:description/>
  <cp:lastModifiedBy>Laura Marx</cp:lastModifiedBy>
  <cp:revision>2</cp:revision>
  <dcterms:created xsi:type="dcterms:W3CDTF">2020-04-26T10:45:00Z</dcterms:created>
  <dcterms:modified xsi:type="dcterms:W3CDTF">2020-04-26T10:45:00Z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0x010100D7461BCAC43E974A98868FF5F1C5F28A</vt:lpwstr>
  </property>
</Properties>
</file>