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松霖机器人北向应用接入 MQTT 方案</w:t>
      </w:r>
    </w:p>
    <w:p>
      <w:pPr>
        <w:pStyle w:val="Heading2"/>
      </w:pPr>
      <w:r>
        <w:t>1. 方案概述</w:t>
      </w:r>
    </w:p>
    <w:p>
      <w:pPr>
        <w:pStyle w:val="Heading3"/>
      </w:pPr>
      <w:r>
        <w:t>1.1 适用角色</w:t>
      </w:r>
    </w:p>
    <w:p>
      <w:r>
        <w:t>本方案适用于松霖机器人北向应用侧，包括商户APP、商户后台、小程序等应用终端，作为 MQTT 客户端接入云平台，完成应用专属身份认证后进行通信。</w:t>
      </w:r>
    </w:p>
    <w:p>
      <w:pPr>
        <w:pStyle w:val="Heading3"/>
      </w:pPr>
      <w:r>
        <w:t>1.2 协议基础</w:t>
      </w:r>
    </w:p>
    <w:p>
      <w:r>
        <w:t>采用 MQTT 协议作为通信接入基础，基于发布-订阅模式，适配多终端并发接入场景，支撑应用与云平台实时长连接、消息实时交互。</w:t>
      </w:r>
    </w:p>
    <w:p>
      <w:pPr>
        <w:pStyle w:val="Heading3"/>
      </w:pPr>
      <w:r>
        <w:t>1.3 核心设计原则</w:t>
      </w:r>
    </w:p>
    <w:p>
      <w:pPr>
        <w:pStyle w:val="Heading2"/>
      </w:pPr>
      <w:r>
        <w:t>2. 接入认证流程</w:t>
      </w:r>
    </w:p>
    <w:p>
      <w:pPr>
        <w:pStyle w:val="Heading2"/>
      </w:pPr>
      <w:r>
        <w:t>3. 接入前提</w:t>
      </w:r>
    </w:p>
    <w:p>
      <w:pPr>
        <w:pStyle w:val="Heading3"/>
      </w:pPr>
      <w:r>
        <w:t>3.1 云平台侧准备</w:t>
      </w:r>
    </w:p>
    <w:p>
      <w:pPr>
        <w:pStyle w:val="Heading4"/>
      </w:pPr>
      <w:r>
        <w:t>3.1.1 账号体系对接</w:t>
      </w:r>
    </w:p>
    <w:p>
      <w:r>
        <w:t>北向应用完成平台账号体系对接，支持用户登录、身份校验、权限识别等基础能力。</w:t>
      </w:r>
    </w:p>
    <w:p>
      <w:pPr>
        <w:pStyle w:val="Heading4"/>
      </w:pPr>
      <w:r>
        <w:t>3.1.2 临时密钥下发</w:t>
      </w:r>
    </w:p>
    <w:p>
      <w:r>
        <w:t>用户登录成功后，平台通过专属API接口，为当前终端下发短期有效临时密钥（Secret），作为终端鉴权核心凭证。</w:t>
      </w:r>
    </w:p>
    <w:p>
      <w:pPr>
        <w:pStyle w:val="Heading4"/>
      </w:pPr>
      <w:r>
        <w:t>3.1.3 租户关联绑定</w:t>
      </w:r>
    </w:p>
    <w:p>
      <w:r>
        <w:t>平台建立终端、登录用户、租户的关联关系，作为后续设备权限管控、消息转发的核心依据。</w:t>
      </w:r>
    </w:p>
    <w:p>
      <w:pPr>
        <w:pStyle w:val="Heading3"/>
      </w:pPr>
      <w:r>
        <w:t>3.2 应用侧准备</w:t>
      </w:r>
    </w:p>
    <w:p>
      <w:pPr>
        <w:pStyle w:val="Heading4"/>
      </w:pPr>
      <w:r>
        <w:t>3.2.1 用户登录鉴权</w:t>
      </w:r>
    </w:p>
    <w:p>
      <w:r>
        <w:t>终端完成平台合法账号登录，获取当前登录用户唯一标识（user_id）。</w:t>
      </w:r>
    </w:p>
    <w:p>
      <w:pPr>
        <w:pStyle w:val="Heading4"/>
      </w:pPr>
      <w:r>
        <w:t>3.2.2 生成终端唯一标识</w:t>
      </w:r>
    </w:p>
    <w:p>
      <w:r>
        <w:t>终端根据设备类型生成专属唯一设备ID，用于区分不同应用实例、不同终端设备。</w:t>
      </w:r>
    </w:p>
    <w:p>
      <w:pPr>
        <w:pStyle w:val="Heading4"/>
      </w:pPr>
      <w:r>
        <w:t>3.2.3 集成 MQTT 客户端</w:t>
      </w:r>
    </w:p>
    <w:p>
      <w:r>
        <w:t>终端端程序适配集成 MQTT 客户端，支持断线自动重连、消息发布/订阅等基础接入能力。</w:t>
      </w:r>
    </w:p>
    <w:p>
      <w:pPr>
        <w:pStyle w:val="Heading2"/>
      </w:pPr>
      <w:r>
        <w:t>4. 连接身份标识</w:t>
      </w:r>
    </w:p>
    <w:p>
      <w:r>
        <w:t>ClientId 为 MQTT 客户端全局唯一身份标识，格式固定、全局不可重复，是平台区分应用终端的核心依据。</w:t>
      </w:r>
    </w:p>
    <w:p>
      <w:pPr>
        <w:pStyle w:val="Heading3"/>
      </w:pPr>
      <w:r>
        <w:t>4.1 通用命名规则</w:t>
      </w:r>
    </w:p>
    <w:p>
      <w:r>
        <w:t>格式：solexrobot/{clientType}/{终端唯一ID}</w:t>
      </w:r>
    </w:p>
    <w:p>
      <w:r>
        <w:t>参数说明：</w:t>
      </w:r>
    </w:p>
    <w:p>
      <w:pPr>
        <w:pStyle w:val="Heading3"/>
      </w:pPr>
      <w:r>
        <w:t>4.2 北向应用 ClientId 规则</w:t>
      </w:r>
    </w:p>
    <w:p>
      <w:r>
        <w:t>终端唯一标识规则：solexrobot/{clientType}/productKey&amp;deviceId</w:t>
      </w:r>
    </w:p>
    <w:p>
      <w:r>
        <w:t>应用层级与 ClientId 示例：</w:t>
      </w:r>
    </w:p>
    <w:p>
      <w:pPr>
        <w:pStyle w:val="Heading2"/>
      </w:pPr>
      <w:r>
        <w:t>5. 连接认证规则</w:t>
      </w:r>
    </w:p>
    <w:p>
      <w:r>
        <w:t>北向应用采用一终端一密临时鉴权模式，基于终端三元组生成连接用户名与密码，密码通过 MD5 加密生成，保障凭证安全。</w:t>
      </w:r>
    </w:p>
    <w:p>
      <w:pPr>
        <w:pStyle w:val="Heading3"/>
      </w:pPr>
      <w:r>
        <w:t>5.1 认证参数</w:t>
      </w:r>
    </w:p>
    <w:p>
      <w:pPr>
        <w:pStyle w:val="Heading3"/>
      </w:pPr>
      <w:r>
        <w:t>5.2 鉴权说明</w:t>
      </w:r>
    </w:p>
    <w:p>
      <w:r>
        <w:t>将终端唯一 ClientId 与平台下发的临时 Secret 直接拼接，对拼接结果进行 MD5 加密，加密字符串即为 MQTT 连接密码。</w:t>
      </w:r>
    </w:p>
    <w:p>
      <w:r>
        <w:t>计算示例：</w:t>
      </w:r>
    </w:p>
    <w:p>
      <w:pPr>
        <w:ind w:left="567"/>
      </w:pPr>
      <w:r>
        <w:rPr>
          <w:rFonts w:ascii="Courier New" w:hAnsi="Courier New"/>
          <w:sz w:val="20"/>
        </w:rPr>
        <w:t>clientId = "solexrobot/app/merchantAppKey&amp;user123456"</w:t>
        <w:br/>
      </w:r>
      <w:r>
        <w:rPr>
          <w:rFonts w:ascii="Courier New" w:hAnsi="Courier New"/>
          <w:sz w:val="20"/>
        </w:rPr>
        <w:t>secret = "xxxxxxxxxxxx"</w:t>
        <w:br/>
      </w:r>
      <w:r>
        <w:rPr>
          <w:rFonts w:ascii="Courier New" w:hAnsi="Courier New"/>
          <w:sz w:val="20"/>
        </w:rPr>
        <w:t>password = MD5("solexrobot/app/merchantAppKey&amp;user123456xxxxxxxxxxxx")</w:t>
      </w:r>
    </w:p>
    <w:p>
      <w:pPr>
        <w:pStyle w:val="Heading2"/>
      </w:pPr>
      <w:r>
        <w:t>6. 安全机制</w:t>
      </w:r>
    </w:p>
    <w:p>
      <w:pPr>
        <w:pStyle w:val="Heading3"/>
      </w:pPr>
      <w:r>
        <w:t>6.1 接入安全</w:t>
      </w:r>
    </w:p>
    <w:p>
      <w:pPr>
        <w:pStyle w:val="Heading3"/>
      </w:pPr>
      <w:r>
        <w:t>6.2 传输安全</w:t>
      </w:r>
    </w:p>
    <w:p>
      <w:r>
        <w:t>消息体加签校验：应用上行、下行 MQTT 消息体统一加签，有效防范重放攻击、消息伪造、过期消息复用问题。</w:t>
      </w:r>
    </w:p>
    <w:p>
      <w:pPr>
        <w:pStyle w:val="Heading3"/>
      </w:pPr>
      <w:r>
        <w:t>6.3 连接安全</w:t>
      </w:r>
    </w:p>
    <w:p>
      <w:r>
        <w:t>断线自动重连：应用断网、链路波动后可自动重连，重连时重新执行完整认证流程，保障连接稳定性。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