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82C88">
      <w:pPr>
        <w:spacing w:before="380" w:after="140" w:line="288" w:lineRule="auto"/>
        <w:ind w:left="0"/>
        <w:jc w:val="left"/>
        <w:outlineLvl w:val="0"/>
      </w:pPr>
      <w:bookmarkStart w:id="0" w:name="heading_21"/>
      <w:r>
        <w:rPr>
          <w:rFonts w:ascii="Arial" w:hAnsi="Arial" w:eastAsia="等线" w:cs="Arial"/>
          <w:b/>
          <w:sz w:val="36"/>
        </w:rPr>
        <w:t>北向应用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接入</w:t>
      </w:r>
      <w:r>
        <w:rPr>
          <w:rFonts w:ascii="Arial" w:hAnsi="Arial" w:eastAsia="等线" w:cs="Arial"/>
          <w:b/>
          <w:sz w:val="36"/>
        </w:rPr>
        <w:t>MQTT</w:t>
      </w:r>
      <w:bookmarkStart w:id="19" w:name="_GoBack"/>
      <w:bookmarkEnd w:id="19"/>
      <w:r>
        <w:rPr>
          <w:rFonts w:ascii="Arial" w:hAnsi="Arial" w:eastAsia="等线" w:cs="Arial"/>
          <w:b/>
          <w:sz w:val="36"/>
        </w:rPr>
        <w:t>认证方案</w:t>
      </w:r>
      <w:bookmarkEnd w:id="0"/>
    </w:p>
    <w:p w14:paraId="173C24D8">
      <w:pPr>
        <w:spacing w:before="320" w:after="120" w:line="288" w:lineRule="auto"/>
        <w:ind w:left="0"/>
        <w:jc w:val="left"/>
        <w:outlineLvl w:val="1"/>
      </w:pPr>
      <w:bookmarkStart w:id="1" w:name="heading_23"/>
      <w:r>
        <w:rPr>
          <w:rFonts w:ascii="Arial" w:hAnsi="Arial" w:eastAsia="等线" w:cs="Arial"/>
          <w:b/>
          <w:sz w:val="32"/>
        </w:rPr>
        <w:t>1 方案概述</w:t>
      </w:r>
      <w:bookmarkEnd w:id="1"/>
    </w:p>
    <w:p w14:paraId="1DC77560">
      <w:pPr>
        <w:spacing w:before="300" w:after="120" w:line="288" w:lineRule="auto"/>
        <w:ind w:left="0"/>
        <w:jc w:val="left"/>
        <w:outlineLvl w:val="2"/>
      </w:pPr>
      <w:bookmarkStart w:id="2" w:name="heading_24"/>
      <w:r>
        <w:rPr>
          <w:rFonts w:ascii="Arial" w:hAnsi="Arial" w:eastAsia="等线" w:cs="Arial"/>
          <w:b/>
          <w:sz w:val="30"/>
        </w:rPr>
        <w:t>1.1 协议基础</w:t>
      </w:r>
      <w:bookmarkEnd w:id="2"/>
    </w:p>
    <w:p w14:paraId="4247B1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 xml:space="preserve">MQTT </w:t>
      </w:r>
      <w:r>
        <w:rPr>
          <w:rFonts w:ascii="Arial" w:hAnsi="Arial" w:eastAsia="等线" w:cs="Arial"/>
          <w:sz w:val="22"/>
        </w:rPr>
        <w:t>协议作为通信接入基础，基于发布-订阅模式，适配多终端并发接入场景，支撑应用与云平台实时长连接、消息实时交互。</w:t>
      </w:r>
    </w:p>
    <w:p w14:paraId="57973AE8">
      <w:pPr>
        <w:spacing w:before="300" w:after="120" w:line="288" w:lineRule="auto"/>
        <w:ind w:left="0"/>
        <w:jc w:val="left"/>
        <w:outlineLvl w:val="2"/>
      </w:pPr>
      <w:bookmarkStart w:id="3" w:name="heading_25"/>
      <w:r>
        <w:rPr>
          <w:rFonts w:ascii="Arial" w:hAnsi="Arial" w:eastAsia="等线" w:cs="Arial"/>
          <w:b/>
          <w:sz w:val="30"/>
        </w:rPr>
        <w:t>1.2 接入角色</w:t>
      </w:r>
      <w:bookmarkEnd w:id="3"/>
    </w:p>
    <w:p w14:paraId="7F9FC9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北向终端：商户APP、商户后台、小程序等应用终端，作为MQTT客户端接入云平台，需完成</w:t>
      </w:r>
      <w:r>
        <w:rPr>
          <w:rFonts w:ascii="Arial" w:hAnsi="Arial" w:eastAsia="等线" w:cs="Arial"/>
          <w:b/>
          <w:sz w:val="22"/>
        </w:rPr>
        <w:t>用户身份+终端身份双重认证</w:t>
      </w:r>
      <w:r>
        <w:rPr>
          <w:rFonts w:ascii="Arial" w:hAnsi="Arial" w:eastAsia="等线" w:cs="Arial"/>
          <w:sz w:val="22"/>
        </w:rPr>
        <w:t>，依托租户、设备关联关系实现精细化权限授权。</w:t>
      </w:r>
    </w:p>
    <w:p w14:paraId="04047A09">
      <w:pPr>
        <w:spacing w:before="300" w:after="120" w:line="288" w:lineRule="auto"/>
        <w:ind w:left="0"/>
        <w:jc w:val="left"/>
        <w:outlineLvl w:val="2"/>
      </w:pPr>
      <w:bookmarkStart w:id="4" w:name="heading_26"/>
      <w:r>
        <w:rPr>
          <w:rFonts w:ascii="Arial" w:hAnsi="Arial" w:eastAsia="等线" w:cs="Arial"/>
          <w:b/>
          <w:sz w:val="30"/>
        </w:rPr>
        <w:t>1.3 设计原则</w:t>
      </w:r>
      <w:bookmarkEnd w:id="4"/>
    </w:p>
    <w:p w14:paraId="35611E4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全局唯一标识</w:t>
      </w:r>
      <w:r>
        <w:rPr>
          <w:rFonts w:ascii="Arial" w:hAnsi="Arial" w:eastAsia="等线" w:cs="Arial"/>
          <w:sz w:val="22"/>
        </w:rPr>
        <w:t>：所有应用终端分配唯一ClientId，避免终端身份冲突、重复接入。</w:t>
      </w:r>
    </w:p>
    <w:p w14:paraId="4B17446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一终端一密</w:t>
      </w:r>
      <w:r>
        <w:rPr>
          <w:rFonts w:ascii="Arial" w:hAnsi="Arial" w:eastAsia="等线" w:cs="Arial"/>
          <w:sz w:val="22"/>
        </w:rPr>
        <w:t>：单终端独立临时密钥，无密钥共享，规避批量安全风险。</w:t>
      </w:r>
    </w:p>
    <w:p w14:paraId="7D42B16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短期凭证有效</w:t>
      </w:r>
      <w:r>
        <w:rPr>
          <w:rFonts w:ascii="Arial" w:hAnsi="Arial" w:eastAsia="等线" w:cs="Arial"/>
          <w:sz w:val="22"/>
        </w:rPr>
        <w:t>：终端认证密钥为临时凭证，短期过期，杜绝长期静态密钥泄露风险。</w:t>
      </w:r>
    </w:p>
    <w:p w14:paraId="4F0CC0C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最小权限授权</w:t>
      </w:r>
      <w:r>
        <w:rPr>
          <w:rFonts w:ascii="Arial" w:hAnsi="Arial" w:eastAsia="等线" w:cs="Arial"/>
          <w:sz w:val="22"/>
        </w:rPr>
        <w:t>：终端仅可访问所属租户、绑定设备资源，严格禁止跨租户、跨设备越权访问。</w:t>
      </w:r>
    </w:p>
    <w:p w14:paraId="1A4EF43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动态权限管控</w:t>
      </w:r>
      <w:r>
        <w:rPr>
          <w:rFonts w:ascii="Arial" w:hAnsi="Arial" w:eastAsia="等线" w:cs="Arial"/>
          <w:sz w:val="22"/>
        </w:rPr>
        <w:t>：支持权限实时绑定、实时回收，适配用户登录、退出、凭证过期等场景。</w:t>
      </w:r>
    </w:p>
    <w:p w14:paraId="48C560BA">
      <w:pPr>
        <w:spacing w:before="320" w:after="120" w:line="288" w:lineRule="auto"/>
        <w:ind w:left="0"/>
        <w:jc w:val="left"/>
        <w:outlineLvl w:val="1"/>
      </w:pPr>
      <w:bookmarkStart w:id="5" w:name="heading_27"/>
      <w:r>
        <w:rPr>
          <w:rFonts w:ascii="Arial" w:hAnsi="Arial" w:eastAsia="等线" w:cs="Arial"/>
          <w:b/>
          <w:sz w:val="32"/>
        </w:rPr>
        <w:t>2 接入前提准备</w:t>
      </w:r>
      <w:bookmarkEnd w:id="5"/>
    </w:p>
    <w:p w14:paraId="49625828">
      <w:pPr>
        <w:spacing w:before="300" w:after="120" w:line="288" w:lineRule="auto"/>
        <w:ind w:left="0"/>
        <w:jc w:val="left"/>
        <w:outlineLvl w:val="2"/>
      </w:pPr>
      <w:bookmarkStart w:id="6" w:name="heading_28"/>
      <w:r>
        <w:rPr>
          <w:rFonts w:ascii="Arial" w:hAnsi="Arial" w:eastAsia="等线" w:cs="Arial"/>
          <w:b/>
          <w:sz w:val="30"/>
        </w:rPr>
        <w:t>2.1 平台侧准备</w:t>
      </w:r>
      <w:bookmarkEnd w:id="6"/>
    </w:p>
    <w:p w14:paraId="4980279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账号体系对接</w:t>
      </w:r>
      <w:r>
        <w:rPr>
          <w:rFonts w:ascii="Arial" w:hAnsi="Arial" w:eastAsia="等线" w:cs="Arial"/>
          <w:sz w:val="22"/>
        </w:rPr>
        <w:t>：北向应用完成平台账号体系对接，支持用户登录、身份校验、权限识别等基础能力。</w:t>
      </w:r>
    </w:p>
    <w:p w14:paraId="15A5D5C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临时密钥下发</w:t>
      </w:r>
      <w:r>
        <w:rPr>
          <w:rFonts w:ascii="Arial" w:hAnsi="Arial" w:eastAsia="等线" w:cs="Arial"/>
          <w:sz w:val="22"/>
        </w:rPr>
        <w:t>：用户登录成功后，平台通过专属API接口，为当前终端下发</w:t>
      </w:r>
      <w:r>
        <w:rPr>
          <w:rFonts w:ascii="Arial" w:hAnsi="Arial" w:eastAsia="等线" w:cs="Arial"/>
          <w:b/>
          <w:sz w:val="22"/>
        </w:rPr>
        <w:t>短期有效临时密钥（Secret）</w:t>
      </w:r>
      <w:r>
        <w:rPr>
          <w:rFonts w:ascii="Arial" w:hAnsi="Arial" w:eastAsia="等线" w:cs="Arial"/>
          <w:sz w:val="22"/>
        </w:rPr>
        <w:t>，作为终端鉴权核心凭证。</w:t>
      </w:r>
    </w:p>
    <w:p w14:paraId="7469265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租户关联绑定</w:t>
      </w:r>
      <w:r>
        <w:rPr>
          <w:rFonts w:ascii="Arial" w:hAnsi="Arial" w:eastAsia="等线" w:cs="Arial"/>
          <w:sz w:val="22"/>
        </w:rPr>
        <w:t>：平台建立终端、登录用户、租户的关联关系，作为后续设备权限管控、消息转发的核心依据。</w:t>
      </w:r>
    </w:p>
    <w:p w14:paraId="70F8F03E">
      <w:pPr>
        <w:spacing w:before="300" w:after="120" w:line="288" w:lineRule="auto"/>
        <w:ind w:left="0"/>
        <w:jc w:val="left"/>
        <w:outlineLvl w:val="2"/>
      </w:pPr>
      <w:bookmarkStart w:id="7" w:name="heading_29"/>
      <w:r>
        <w:rPr>
          <w:rFonts w:ascii="Arial" w:hAnsi="Arial" w:eastAsia="等线" w:cs="Arial"/>
          <w:b/>
          <w:sz w:val="30"/>
        </w:rPr>
        <w:t>2.2 终端侧准备</w:t>
      </w:r>
      <w:bookmarkEnd w:id="7"/>
    </w:p>
    <w:p w14:paraId="4B4A8DA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用户登录鉴权</w:t>
      </w:r>
      <w:r>
        <w:rPr>
          <w:rFonts w:ascii="Arial" w:hAnsi="Arial" w:eastAsia="等线" w:cs="Arial"/>
          <w:sz w:val="22"/>
        </w:rPr>
        <w:t>：终端完成平台合法账号登录，获取当前登录用户唯一标识（user_id）。</w:t>
      </w:r>
    </w:p>
    <w:p w14:paraId="6CD8597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生成终端唯一标识</w:t>
      </w:r>
      <w:r>
        <w:rPr>
          <w:rFonts w:ascii="Arial" w:hAnsi="Arial" w:eastAsia="等线" w:cs="Arial"/>
          <w:sz w:val="22"/>
        </w:rPr>
        <w:t>：终端根据设备类型生成专属唯一设备ID，用于区分不同应用实例、不同终端设备。</w:t>
      </w:r>
    </w:p>
    <w:p w14:paraId="218B7CC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生成MQTT客户端标识</w:t>
      </w:r>
      <w:r>
        <w:rPr>
          <w:rFonts w:ascii="Arial" w:hAnsi="Arial" w:eastAsia="等线" w:cs="Arial"/>
          <w:sz w:val="22"/>
        </w:rPr>
        <w:t>：按照统一规则生成全局唯一ClientId，作为MQTT接入的终端身份凭证。</w:t>
      </w:r>
    </w:p>
    <w:p w14:paraId="0EE45F1A">
      <w:pPr>
        <w:spacing w:before="320" w:after="120" w:line="288" w:lineRule="auto"/>
        <w:ind w:left="0"/>
        <w:jc w:val="left"/>
        <w:outlineLvl w:val="1"/>
      </w:pPr>
      <w:bookmarkStart w:id="8" w:name="heading_30"/>
      <w:r>
        <w:rPr>
          <w:rFonts w:ascii="Arial" w:hAnsi="Arial" w:eastAsia="等线" w:cs="Arial"/>
          <w:b/>
          <w:sz w:val="32"/>
        </w:rPr>
        <w:t>3 MQTT连接身份标识（ClientId）</w:t>
      </w:r>
      <w:bookmarkEnd w:id="8"/>
    </w:p>
    <w:p w14:paraId="47F4C5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北向终端ClientId命名规则与南向设备统一，全局唯一、格式固定，用于平台精准识别终端类型与终端实例。</w:t>
      </w:r>
    </w:p>
    <w:p w14:paraId="299CE469">
      <w:pPr>
        <w:spacing w:before="300" w:after="120" w:line="288" w:lineRule="auto"/>
        <w:ind w:left="0"/>
        <w:jc w:val="left"/>
        <w:outlineLvl w:val="2"/>
      </w:pPr>
      <w:bookmarkStart w:id="9" w:name="heading_31"/>
      <w:r>
        <w:rPr>
          <w:rFonts w:ascii="Arial" w:hAnsi="Arial" w:eastAsia="等线" w:cs="Arial"/>
          <w:b/>
          <w:sz w:val="30"/>
        </w:rPr>
        <w:t>3.1 通用命名规则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0B9E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0EE7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solexrobot/{clientType}/{终端唯一ID}</w:t>
            </w:r>
          </w:p>
        </w:tc>
      </w:tr>
    </w:tbl>
    <w:p w14:paraId="2777BFD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solexrobot</w:t>
      </w:r>
      <w:r>
        <w:rPr>
          <w:rFonts w:ascii="Arial" w:hAnsi="Arial" w:eastAsia="等线" w:cs="Arial"/>
          <w:sz w:val="22"/>
        </w:rPr>
        <w:t>：项目统一固定前缀，不可修改</w:t>
      </w:r>
    </w:p>
    <w:p w14:paraId="0049A42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clientType</w:t>
      </w:r>
      <w:r>
        <w:rPr>
          <w:rFonts w:ascii="Arial" w:hAnsi="Arial" w:eastAsia="等线" w:cs="Arial"/>
          <w:sz w:val="22"/>
        </w:rPr>
        <w:t>：应用终端类型，区分商户APP、后台、大屏等场景</w:t>
      </w:r>
    </w:p>
    <w:p w14:paraId="17E76E6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终端唯一ID</w:t>
      </w:r>
      <w:r>
        <w:rPr>
          <w:rFonts w:ascii="Arial" w:hAnsi="Arial" w:eastAsia="等线" w:cs="Arial"/>
          <w:sz w:val="22"/>
        </w:rPr>
        <w:t>：终端设备专属唯一标识</w:t>
      </w:r>
    </w:p>
    <w:p w14:paraId="60D32E4D">
      <w:pPr>
        <w:spacing w:before="300" w:after="120" w:line="288" w:lineRule="auto"/>
        <w:ind w:left="0"/>
        <w:jc w:val="left"/>
        <w:outlineLvl w:val="2"/>
      </w:pPr>
      <w:bookmarkStart w:id="10" w:name="heading_32"/>
      <w:r>
        <w:rPr>
          <w:rFonts w:ascii="Arial" w:hAnsi="Arial" w:eastAsia="等线" w:cs="Arial"/>
          <w:b/>
          <w:sz w:val="30"/>
        </w:rPr>
        <w:t>3.2 北向终端ClientId明细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F016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A1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应用终端类型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A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clientType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9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终端唯一 ID 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CE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示例</w:t>
            </w:r>
          </w:p>
        </w:tc>
      </w:tr>
      <w:tr w14:paraId="362F0B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14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商户 APP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A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business_app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9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安卓 = DeviceId；IOS=UDID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83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solexrobot/business_app/8a05c9b8</w:t>
            </w:r>
          </w:p>
        </w:tc>
      </w:tr>
      <w:tr w14:paraId="4B8B7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EF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商户后台管理前端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51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business_web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DE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UUID（本地缓存持久化）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B6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solexrobot/business_web/76f9e8a05c7d489b</w:t>
            </w:r>
          </w:p>
        </w:tc>
      </w:tr>
      <w:tr w14:paraId="2C14F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3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希卡立大屏 APP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85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xlk_large_screen_app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69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安卓 = ANDROID_ID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3C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solexrobot/xlk_large_screen_app/8a05c9b8</w:t>
            </w:r>
          </w:p>
        </w:tc>
      </w:tr>
    </w:tbl>
    <w:p w14:paraId="1473A380">
      <w:pPr>
        <w:spacing w:before="320" w:after="120" w:line="288" w:lineRule="auto"/>
        <w:ind w:left="0"/>
        <w:jc w:val="left"/>
        <w:outlineLvl w:val="1"/>
      </w:pPr>
      <w:bookmarkStart w:id="11" w:name="heading_33"/>
      <w:r>
        <w:rPr>
          <w:rFonts w:ascii="Arial" w:hAnsi="Arial" w:eastAsia="等线" w:cs="Arial"/>
          <w:b/>
          <w:sz w:val="32"/>
        </w:rPr>
        <w:t>4 MQTT连接鉴权规则</w:t>
      </w:r>
      <w:bookmarkEnd w:id="11"/>
    </w:p>
    <w:p w14:paraId="7E2C3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北向终端采用</w:t>
      </w:r>
      <w:r>
        <w:rPr>
          <w:rFonts w:ascii="Arial" w:hAnsi="Arial" w:eastAsia="等线" w:cs="Arial"/>
          <w:b/>
          <w:sz w:val="22"/>
        </w:rPr>
        <w:t>用户身份+终端身份双重鉴权</w:t>
      </w:r>
      <w:r>
        <w:rPr>
          <w:rFonts w:ascii="Arial" w:hAnsi="Arial" w:eastAsia="等线" w:cs="Arial"/>
          <w:sz w:val="22"/>
        </w:rPr>
        <w:t>模式，基于ClientId、用户ID、平台临时Secret生成连接账号密码，密码通过MD5加密，保障终端接入安全。</w:t>
      </w:r>
    </w:p>
    <w:p w14:paraId="17E0625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用户名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clientId&amp;user_id</w:t>
      </w:r>
    </w:p>
    <w:p w14:paraId="6508440F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说明：将终端唯一ClientId与当前登录用户user_id拼接，作为MQTT连接用户名，绑定终端与用户身份</w:t>
      </w:r>
    </w:p>
    <w:p w14:paraId="1D141B6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密码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MD5(clientId&amp;secret)</w:t>
      </w:r>
    </w:p>
    <w:p w14:paraId="072A410B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说明：将终端ClientId与平台下发的临时Secret拼接，对拼接结果进行MD5加密，加密字符串为MQTT连接密码</w:t>
      </w:r>
    </w:p>
    <w:p w14:paraId="2C905D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F88288">
      <w:pPr>
        <w:spacing w:before="320" w:after="120" w:line="288" w:lineRule="auto"/>
        <w:ind w:left="0"/>
        <w:jc w:val="left"/>
        <w:outlineLvl w:val="1"/>
      </w:pPr>
      <w:bookmarkStart w:id="12" w:name="heading_34"/>
      <w:r>
        <w:rPr>
          <w:rFonts w:ascii="Arial" w:hAnsi="Arial" w:eastAsia="等线" w:cs="Arial"/>
          <w:b/>
          <w:sz w:val="32"/>
        </w:rPr>
        <w:t>5 终端-用户-设备关联授权机制</w:t>
      </w:r>
      <w:bookmarkEnd w:id="12"/>
    </w:p>
    <w:p w14:paraId="0CE42B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平台核心维护</w:t>
      </w:r>
      <w:r>
        <w:rPr>
          <w:rFonts w:ascii="Arial" w:hAnsi="Arial" w:eastAsia="等线" w:cs="Arial"/>
          <w:b/>
          <w:sz w:val="22"/>
        </w:rPr>
        <w:t>clientId（终端）、user_id（用户）、tenant（租户）、did（设备）</w:t>
      </w:r>
      <w:r>
        <w:rPr>
          <w:rFonts w:ascii="Arial" w:hAnsi="Arial" w:eastAsia="等线" w:cs="Arial"/>
          <w:sz w:val="22"/>
        </w:rPr>
        <w:t>四者绑定关系，是终端权限控制、消息转发的依据。</w:t>
      </w:r>
    </w:p>
    <w:p w14:paraId="39B835B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绑定授权</w:t>
      </w:r>
      <w:r>
        <w:rPr>
          <w:rFonts w:ascii="Arial" w:hAnsi="Arial" w:eastAsia="等线" w:cs="Arial"/>
          <w:sz w:val="22"/>
        </w:rPr>
        <w:t>：终端MQTT连接成功后，主动向平台上报终端、用户、设备绑定信息，平台更新并固化关联关系，授权当前终端访问绑定的机器人设备资源。</w:t>
      </w:r>
    </w:p>
    <w:p w14:paraId="0F8A2B8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解绑权限回收</w:t>
      </w:r>
      <w:r>
        <w:rPr>
          <w:rFonts w:ascii="Arial" w:hAnsi="Arial" w:eastAsia="等线" w:cs="Arial"/>
          <w:sz w:val="22"/>
        </w:rPr>
        <w:t>：用户退出登录、切换账号时，终端主动上报解绑信息，平台即时移除当前关联关系，回收终端对绑定设备的所有访问权限。</w:t>
      </w:r>
    </w:p>
    <w:p w14:paraId="3F4115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22730C">
      <w:pPr>
        <w:spacing w:before="320" w:after="120" w:line="288" w:lineRule="auto"/>
        <w:ind w:left="0"/>
        <w:jc w:val="left"/>
        <w:outlineLvl w:val="1"/>
      </w:pPr>
      <w:bookmarkStart w:id="13" w:name="heading_35"/>
      <w:r>
        <w:rPr>
          <w:rFonts w:ascii="Arial" w:hAnsi="Arial" w:eastAsia="等线" w:cs="Arial"/>
          <w:b/>
          <w:sz w:val="32"/>
        </w:rPr>
        <w:t>6 完整接入认证流程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B8D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D5F4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 xml:space="preserve">终端用户登录平台 → API请求获取临时Secret → 生成ClientId/用户名/密码 →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发起MQTT连接 → 平台校验身份（用户合法性+加密凭证）→ 连接成功 →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上报终端-用户绑定信息 → 平台维护关联关系 → 接入完成</w:t>
            </w:r>
          </w:p>
        </w:tc>
      </w:tr>
    </w:tbl>
    <w:p w14:paraId="6B3047E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033C59">
      <w:pPr>
        <w:spacing w:before="320" w:after="120" w:line="288" w:lineRule="auto"/>
        <w:ind w:left="0"/>
        <w:jc w:val="left"/>
        <w:outlineLvl w:val="1"/>
      </w:pPr>
      <w:bookmarkStart w:id="14" w:name="heading_36"/>
      <w:r>
        <w:rPr>
          <w:rFonts w:ascii="Arial" w:hAnsi="Arial" w:eastAsia="等线" w:cs="Arial"/>
          <w:b/>
          <w:sz w:val="32"/>
        </w:rPr>
        <w:t>7 接入授权规则</w:t>
      </w:r>
      <w:bookmarkEnd w:id="14"/>
    </w:p>
    <w:p w14:paraId="1FAF50D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用户合法性校验</w:t>
      </w:r>
      <w:r>
        <w:rPr>
          <w:rFonts w:ascii="Arial" w:hAnsi="Arial" w:eastAsia="等线" w:cs="Arial"/>
          <w:sz w:val="22"/>
        </w:rPr>
        <w:t>：仅平台已登录、状态正常的合法用户可发起MQTT接入，未登录用户、失效账号、非法账号直接拒绝连接。</w:t>
      </w:r>
    </w:p>
    <w:p w14:paraId="08DF3FC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短期凭证管控</w:t>
      </w:r>
      <w:r>
        <w:rPr>
          <w:rFonts w:ascii="Arial" w:hAnsi="Arial" w:eastAsia="等线" w:cs="Arial"/>
          <w:sz w:val="22"/>
        </w:rPr>
        <w:t>：终端临时Secret、MQTT连接密码均为短期有效凭证，过期后终端需重新登录获取新凭证，禁止静态长期凭证使用。</w:t>
      </w:r>
    </w:p>
    <w:p w14:paraId="39DFF57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最小权限原则</w:t>
      </w:r>
      <w:r>
        <w:rPr>
          <w:rFonts w:ascii="Arial" w:hAnsi="Arial" w:eastAsia="等线" w:cs="Arial"/>
          <w:sz w:val="22"/>
        </w:rPr>
        <w:t>：终端仅允许访问</w:t>
      </w:r>
      <w:r>
        <w:rPr>
          <w:rFonts w:ascii="Arial" w:hAnsi="Arial" w:eastAsia="等线" w:cs="Arial"/>
          <w:b/>
          <w:sz w:val="22"/>
        </w:rPr>
        <w:t>当前登录用户所属租户、已绑定的机器人设备</w:t>
      </w:r>
      <w:r>
        <w:rPr>
          <w:rFonts w:ascii="Arial" w:hAnsi="Arial" w:eastAsia="等线" w:cs="Arial"/>
          <w:sz w:val="22"/>
        </w:rPr>
        <w:t>通信资源，严格禁止跨租户、跨设备越权操作与消息订阅。</w:t>
      </w:r>
    </w:p>
    <w:p w14:paraId="24E9D11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权限动态回收</w:t>
      </w:r>
      <w:r>
        <w:rPr>
          <w:rFonts w:ascii="Arial" w:hAnsi="Arial" w:eastAsia="等线" w:cs="Arial"/>
          <w:sz w:val="22"/>
        </w:rPr>
        <w:t>：用户主动退出、账号注销、凭证过期、终端异常离线时，平台实时回收终端接入权限，强制断开MQTT连接，防止权限滞留风险。</w:t>
      </w:r>
    </w:p>
    <w:p w14:paraId="32E2A4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2EA1CB">
      <w:pPr>
        <w:spacing w:before="320" w:after="120" w:line="288" w:lineRule="auto"/>
        <w:ind w:left="0"/>
        <w:jc w:val="left"/>
        <w:outlineLvl w:val="1"/>
      </w:pPr>
      <w:bookmarkStart w:id="15" w:name="heading_37"/>
      <w:r>
        <w:rPr>
          <w:rFonts w:ascii="Arial" w:hAnsi="Arial" w:eastAsia="等线" w:cs="Arial"/>
          <w:b/>
          <w:sz w:val="32"/>
        </w:rPr>
        <w:t>8 安全机制</w:t>
      </w:r>
      <w:bookmarkEnd w:id="15"/>
    </w:p>
    <w:p w14:paraId="0D37D740">
      <w:pPr>
        <w:spacing w:before="300" w:after="120" w:line="288" w:lineRule="auto"/>
        <w:ind w:left="0"/>
        <w:jc w:val="left"/>
        <w:outlineLvl w:val="2"/>
      </w:pPr>
      <w:bookmarkStart w:id="16" w:name="heading_38"/>
      <w:r>
        <w:rPr>
          <w:rFonts w:ascii="Arial" w:hAnsi="Arial" w:eastAsia="等线" w:cs="Arial"/>
          <w:b/>
          <w:sz w:val="30"/>
        </w:rPr>
        <w:t>8.1 接入安全</w:t>
      </w:r>
      <w:bookmarkEnd w:id="16"/>
    </w:p>
    <w:p w14:paraId="1AB8A14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唯一终端标识管控</w:t>
      </w:r>
      <w:r>
        <w:rPr>
          <w:rFonts w:ascii="Arial" w:hAnsi="Arial" w:eastAsia="等线" w:cs="Arial"/>
          <w:sz w:val="22"/>
        </w:rPr>
        <w:t>：全局唯一ClientId防止终端身份伪造，重复终端连接自动踢除旧连接，保证单终端单有效连接。</w:t>
      </w:r>
    </w:p>
    <w:p w14:paraId="2C4259F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一终端一密隔离</w:t>
      </w:r>
      <w:r>
        <w:rPr>
          <w:rFonts w:ascii="Arial" w:hAnsi="Arial" w:eastAsia="等线" w:cs="Arial"/>
          <w:sz w:val="22"/>
        </w:rPr>
        <w:t>：各终端独立临时密钥，互不通用，单点凭证泄露不影响其他终端接入安全。</w:t>
      </w:r>
    </w:p>
    <w:p w14:paraId="0A438DD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双重身份校验</w:t>
      </w:r>
      <w:r>
        <w:rPr>
          <w:rFonts w:ascii="Arial" w:hAnsi="Arial" w:eastAsia="等线" w:cs="Arial"/>
          <w:sz w:val="22"/>
        </w:rPr>
        <w:t>：依托用户合法性+终端加密凭证双重校验，从用户、终端两层拦截非法接入。</w:t>
      </w:r>
    </w:p>
    <w:p w14:paraId="4BF1987C">
      <w:pPr>
        <w:spacing w:before="300" w:after="120" w:line="288" w:lineRule="auto"/>
        <w:ind w:left="0"/>
        <w:jc w:val="left"/>
        <w:outlineLvl w:val="2"/>
      </w:pPr>
      <w:bookmarkStart w:id="17" w:name="heading_39"/>
      <w:r>
        <w:rPr>
          <w:rFonts w:ascii="Arial" w:hAnsi="Arial" w:eastAsia="等线" w:cs="Arial"/>
          <w:b/>
          <w:sz w:val="30"/>
        </w:rPr>
        <w:t>8.2 传输安全</w:t>
      </w:r>
      <w:bookmarkEnd w:id="17"/>
    </w:p>
    <w:p w14:paraId="1A5D927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核心接口加密加签</w:t>
      </w:r>
      <w:r>
        <w:rPr>
          <w:rFonts w:ascii="Arial" w:hAnsi="Arial" w:eastAsia="等线" w:cs="Arial"/>
          <w:sz w:val="22"/>
        </w:rPr>
        <w:t>：终端获取临时Secret的核心API接口，采用加密加签传输，防止凭证窃取、篡改。</w:t>
      </w:r>
    </w:p>
    <w:p w14:paraId="0F78699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MQTT消息体加签</w:t>
      </w:r>
      <w:r>
        <w:rPr>
          <w:rFonts w:ascii="Arial" w:hAnsi="Arial" w:eastAsia="等线" w:cs="Arial"/>
          <w:sz w:val="22"/>
        </w:rPr>
        <w:t>：所有上行、下行消息体统一加签，防范重放攻击、消息伪造、过期消息滥用。</w:t>
      </w:r>
    </w:p>
    <w:p w14:paraId="5239BB46">
      <w:pPr>
        <w:spacing w:before="300" w:after="120" w:line="288" w:lineRule="auto"/>
        <w:ind w:left="0"/>
        <w:jc w:val="left"/>
        <w:outlineLvl w:val="2"/>
      </w:pPr>
      <w:bookmarkStart w:id="18" w:name="heading_40"/>
      <w:r>
        <w:rPr>
          <w:rFonts w:ascii="Arial" w:hAnsi="Arial" w:eastAsia="等线" w:cs="Arial"/>
          <w:b/>
          <w:sz w:val="30"/>
        </w:rPr>
        <w:t>8.3 连接安全</w:t>
      </w:r>
      <w:bookmarkEnd w:id="18"/>
    </w:p>
    <w:p w14:paraId="2DDFBC9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断线自动重连</w:t>
      </w:r>
      <w:r>
        <w:rPr>
          <w:rFonts w:ascii="Arial" w:hAnsi="Arial" w:eastAsia="等线" w:cs="Arial"/>
          <w:sz w:val="22"/>
        </w:rPr>
        <w:t>：终端网络波动、链路断开后自动重连，重连需重新完成全流程认证，保障连接安全合规。</w:t>
      </w:r>
    </w:p>
    <w:p w14:paraId="1984CDE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凭证过期重认证</w:t>
      </w:r>
      <w:r>
        <w:rPr>
          <w:rFonts w:ascii="Arial" w:hAnsi="Arial" w:eastAsia="等线" w:cs="Arial"/>
          <w:sz w:val="22"/>
        </w:rPr>
        <w:t>：临时Secret过期后，终端无法复用旧凭证，必须重新获取密钥、发起重认证，避免终端非法长期在线。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23A94A9"/>
    <w:multiLevelType w:val="singleLevel"/>
    <w:tmpl w:val="B23A94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6"/>
  </w:num>
  <w:num w:numId="2">
    <w:abstractNumId w:val="0"/>
  </w:num>
  <w:num w:numId="3">
    <w:abstractNumId w:val="16"/>
  </w:num>
  <w:num w:numId="4">
    <w:abstractNumId w:val="1"/>
  </w:num>
  <w:num w:numId="5">
    <w:abstractNumId w:val="27"/>
  </w:num>
  <w:num w:numId="6">
    <w:abstractNumId w:val="30"/>
  </w:num>
  <w:num w:numId="7">
    <w:abstractNumId w:val="25"/>
  </w:num>
  <w:num w:numId="8">
    <w:abstractNumId w:val="20"/>
  </w:num>
  <w:num w:numId="9">
    <w:abstractNumId w:val="28"/>
  </w:num>
  <w:num w:numId="10">
    <w:abstractNumId w:val="11"/>
  </w:num>
  <w:num w:numId="11">
    <w:abstractNumId w:val="12"/>
  </w:num>
  <w:num w:numId="12">
    <w:abstractNumId w:val="6"/>
  </w:num>
  <w:num w:numId="13">
    <w:abstractNumId w:val="21"/>
  </w:num>
  <w:num w:numId="14">
    <w:abstractNumId w:val="17"/>
  </w:num>
  <w:num w:numId="15">
    <w:abstractNumId w:val="7"/>
  </w:num>
  <w:num w:numId="16">
    <w:abstractNumId w:val="18"/>
  </w:num>
  <w:num w:numId="17">
    <w:abstractNumId w:val="4"/>
  </w:num>
  <w:num w:numId="18">
    <w:abstractNumId w:val="24"/>
  </w:num>
  <w:num w:numId="19">
    <w:abstractNumId w:val="13"/>
  </w:num>
  <w:num w:numId="20">
    <w:abstractNumId w:val="22"/>
  </w:num>
  <w:num w:numId="21">
    <w:abstractNumId w:val="10"/>
  </w:num>
  <w:num w:numId="22">
    <w:abstractNumId w:val="5"/>
  </w:num>
  <w:num w:numId="23">
    <w:abstractNumId w:val="14"/>
  </w:num>
  <w:num w:numId="24">
    <w:abstractNumId w:val="3"/>
  </w:num>
  <w:num w:numId="25">
    <w:abstractNumId w:val="23"/>
  </w:num>
  <w:num w:numId="26">
    <w:abstractNumId w:val="2"/>
  </w:num>
  <w:num w:numId="27">
    <w:abstractNumId w:val="8"/>
  </w:num>
  <w:num w:numId="28">
    <w:abstractNumId w:val="19"/>
  </w:num>
  <w:num w:numId="29">
    <w:abstractNumId w:val="9"/>
  </w:num>
  <w:num w:numId="30">
    <w:abstractNumId w:val="15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8280F"/>
    <w:rsid w:val="340C709C"/>
    <w:rsid w:val="3740649B"/>
    <w:rsid w:val="3A4802CB"/>
    <w:rsid w:val="3E7460EA"/>
    <w:rsid w:val="40925627"/>
    <w:rsid w:val="4AE271AB"/>
    <w:rsid w:val="4C93427F"/>
    <w:rsid w:val="52365A07"/>
    <w:rsid w:val="593A0D51"/>
    <w:rsid w:val="5CD92562"/>
    <w:rsid w:val="6BFB7930"/>
    <w:rsid w:val="7CD4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1825</Words>
  <Characters>2320</Characters>
  <Lines>0</Lines>
  <Paragraphs>0</Paragraphs>
  <TotalTime>30</TotalTime>
  <ScaleCrop>false</ScaleCrop>
  <LinksUpToDate>false</LinksUpToDate>
  <CharactersWithSpaces>2363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2026-06-01T10:03:00Z</dcterms:created>
  <dc:creator>chaolong_zhang</dc:creator>
  <cp:lastModifiedBy>Super龙</cp:lastModifiedBy>
  <dcterms:modified xsi:type="dcterms:W3CDTF">2026-06-02T02:33:26Z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eyJoZGlkIjoiZjJlZjc3YzRhN2RkNjYzMzZmYTg2MzBkOThmOTE5MGIiLCJ1c2VySWQiOiIzMTc4ODg4MzMifQ==</vt:lpwstr>
  </property>
  <property fmtid="{D5CDD505-2E9C-101B-9397-08002B2CF9AE}" pid="4" name="ICV">
    <vt:lpwstr>72DCB45A451049FD86706144613D25FF_12</vt:lpwstr>
  </property>
</Properties>
</file>