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B53C4">
      <w:pPr>
        <w:pStyle w:val="2"/>
        <w:jc w:val="center"/>
        <w:rPr>
          <w:i w:val="0"/>
          <w:iCs w:val="0"/>
          <w:color w:val="auto"/>
        </w:rPr>
      </w:pPr>
      <w:bookmarkStart w:id="0" w:name="松霖机器人南向设备接入-mqtt-认证方案"/>
      <w:r>
        <w:rPr>
          <w:i w:val="0"/>
          <w:iCs w:val="0"/>
          <w:color w:val="auto"/>
        </w:rPr>
        <w:t xml:space="preserve">松霖机器人南向设备接入 MQTT </w:t>
      </w:r>
      <w:bookmarkStart w:id="27" w:name="_GoBack"/>
      <w:bookmarkEnd w:id="27"/>
      <w:r>
        <w:rPr>
          <w:i w:val="0"/>
          <w:iCs w:val="0"/>
          <w:color w:val="auto"/>
        </w:rPr>
        <w:t>方案</w:t>
      </w:r>
    </w:p>
    <w:p w14:paraId="534FA355">
      <w:pPr>
        <w:rPr>
          <w:i w:val="0"/>
          <w:iCs w:val="0"/>
          <w:color w:val="auto"/>
        </w:rPr>
      </w:pPr>
    </w:p>
    <w:p w14:paraId="49EC96B6">
      <w:pPr>
        <w:pStyle w:val="4"/>
        <w:rPr>
          <w:i w:val="0"/>
          <w:iCs w:val="0"/>
          <w:color w:val="auto"/>
        </w:rPr>
      </w:pPr>
      <w:bookmarkStart w:id="1" w:name="方案概述"/>
      <w:r>
        <w:rPr>
          <w:i w:val="0"/>
          <w:iCs w:val="0"/>
          <w:color w:val="auto"/>
        </w:rPr>
        <w:t>1. 方案概述</w:t>
      </w:r>
    </w:p>
    <w:p w14:paraId="06D44314">
      <w:pPr>
        <w:pStyle w:val="5"/>
        <w:rPr>
          <w:i w:val="0"/>
          <w:iCs w:val="0"/>
          <w:color w:val="auto"/>
        </w:rPr>
      </w:pPr>
      <w:bookmarkStart w:id="2" w:name="适用角色"/>
      <w:r>
        <w:rPr>
          <w:i w:val="0"/>
          <w:iCs w:val="0"/>
          <w:color w:val="auto"/>
        </w:rPr>
        <w:t>1.1 适用角色</w:t>
      </w:r>
    </w:p>
    <w:p w14:paraId="253CD939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本方案适用于松霖机器人南向设备侧，包括松霖机器人本体上位机（Android 可视化）、下位机主控（Linux/MCU/RTOS/ROS）、工作站等设备，作为 MQTT 客户端接入云平台，完成设备专属身份认证后进行通信。</w:t>
      </w:r>
    </w:p>
    <w:bookmarkEnd w:id="2"/>
    <w:p w14:paraId="585B54C9">
      <w:pPr>
        <w:pStyle w:val="5"/>
        <w:rPr>
          <w:i w:val="0"/>
          <w:iCs w:val="0"/>
          <w:color w:val="auto"/>
        </w:rPr>
      </w:pPr>
      <w:bookmarkStart w:id="3" w:name="协议基础"/>
      <w:r>
        <w:rPr>
          <w:i w:val="0"/>
          <w:iCs w:val="0"/>
          <w:color w:val="auto"/>
        </w:rPr>
        <w:t>1.2 协议基础</w:t>
      </w:r>
    </w:p>
    <w:p w14:paraId="65C4E912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采用 MQTT 协议作为通信接入基础，基于发布-订阅模式，适配物联网低功耗、弱网络场景，支持机器人设备与云平台稳定长连接通信。</w:t>
      </w:r>
    </w:p>
    <w:bookmarkEnd w:id="3"/>
    <w:p w14:paraId="57D1EDA8">
      <w:pPr>
        <w:pStyle w:val="5"/>
        <w:rPr>
          <w:i w:val="0"/>
          <w:iCs w:val="0"/>
          <w:color w:val="auto"/>
        </w:rPr>
      </w:pPr>
      <w:bookmarkStart w:id="4" w:name="核心设计原则"/>
      <w:r>
        <w:rPr>
          <w:i w:val="0"/>
          <w:iCs w:val="0"/>
          <w:color w:val="auto"/>
        </w:rPr>
        <w:t>1.3 核心设计原则</w:t>
      </w:r>
    </w:p>
    <w:tbl>
      <w:tblPr>
        <w:tblStyle w:val="29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7180"/>
      </w:tblGrid>
      <w:tr w14:paraId="44B00F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46" w:type="pct"/>
          </w:tcPr>
          <w:p w14:paraId="354C087C">
            <w:pPr>
              <w:pStyle w:val="24"/>
              <w:jc w:val="left"/>
              <w:rPr>
                <w:b/>
                <w:bCs/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原则</w:t>
            </w:r>
          </w:p>
        </w:tc>
        <w:tc>
          <w:tcPr>
            <w:tcW w:w="4053" w:type="pct"/>
          </w:tcPr>
          <w:p w14:paraId="334EEE93">
            <w:pPr>
              <w:pStyle w:val="24"/>
              <w:jc w:val="left"/>
              <w:rPr>
                <w:b/>
                <w:bCs/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说明</w:t>
            </w:r>
          </w:p>
        </w:tc>
      </w:tr>
      <w:tr w14:paraId="2E5FA4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pct"/>
          </w:tcPr>
          <w:p w14:paraId="0370BC27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全局唯一标识</w:t>
            </w:r>
          </w:p>
        </w:tc>
        <w:tc>
          <w:tcPr>
            <w:tcW w:w="4053" w:type="pct"/>
          </w:tcPr>
          <w:p w14:paraId="61E0B2AB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所有机器人设备及不同层级客户端均分配唯一身份标识，杜绝身份冲突、重复接入</w:t>
            </w:r>
          </w:p>
        </w:tc>
      </w:tr>
      <w:tr w14:paraId="5A5DC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pct"/>
          </w:tcPr>
          <w:p w14:paraId="01A858CE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一机一密</w:t>
            </w:r>
          </w:p>
        </w:tc>
        <w:tc>
          <w:tcPr>
            <w:tcW w:w="4053" w:type="pct"/>
          </w:tcPr>
          <w:p w14:paraId="557DF0BB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单设备独立专属密钥，不同设备无密钥共享，降低密钥泄露风险</w:t>
            </w:r>
          </w:p>
        </w:tc>
      </w:tr>
      <w:tr w14:paraId="298D10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pct"/>
          </w:tcPr>
          <w:p w14:paraId="17B9BA08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加密鉴权</w:t>
            </w:r>
          </w:p>
        </w:tc>
        <w:tc>
          <w:tcPr>
            <w:tcW w:w="4053" w:type="pct"/>
          </w:tcPr>
          <w:p w14:paraId="5E4901C5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连接凭证全程加密生成，核心数据防篡改、防伪造，保障接入安全性</w:t>
            </w:r>
          </w:p>
        </w:tc>
      </w:tr>
      <w:tr w14:paraId="7B52D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pct"/>
          </w:tcPr>
          <w:p w14:paraId="7B6340AD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最小权限授权</w:t>
            </w:r>
          </w:p>
        </w:tc>
        <w:tc>
          <w:tcPr>
            <w:tcW w:w="4053" w:type="pct"/>
          </w:tcPr>
          <w:p w14:paraId="403DFBE3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设备接入后仅开放自身设备通信权限，严格禁止跨设备越权访问</w:t>
            </w:r>
          </w:p>
        </w:tc>
      </w:tr>
    </w:tbl>
    <w:p w14:paraId="34E50BD2">
      <w:pPr>
        <w:rPr>
          <w:i w:val="0"/>
          <w:iCs w:val="0"/>
          <w:color w:val="auto"/>
        </w:rPr>
      </w:pPr>
    </w:p>
    <w:bookmarkEnd w:id="1"/>
    <w:bookmarkEnd w:id="4"/>
    <w:p w14:paraId="3019BE8D">
      <w:pPr>
        <w:pStyle w:val="4"/>
        <w:numPr>
          <w:ilvl w:val="0"/>
          <w:numId w:val="1"/>
        </w:numPr>
        <w:rPr>
          <w:i w:val="0"/>
          <w:iCs w:val="0"/>
          <w:color w:val="auto"/>
        </w:rPr>
      </w:pPr>
      <w:bookmarkStart w:id="5" w:name="接入认证流程"/>
      <w:bookmarkStart w:id="6" w:name="接入前提"/>
      <w:r>
        <w:rPr>
          <w:i w:val="0"/>
          <w:iCs w:val="0"/>
          <w:color w:val="auto"/>
        </w:rPr>
        <w:t>接入认证流程</w:t>
      </w:r>
    </w:p>
    <w:p w14:paraId="5C4835A7">
      <w:pPr>
        <w:pStyle w:val="3"/>
        <w:numPr>
          <w:numId w:val="0"/>
        </w:numPr>
        <w:spacing w:before="180" w:after="180"/>
        <w:jc w:val="center"/>
      </w:pPr>
      <w:r>
        <w:drawing>
          <wp:inline distT="0" distB="0" distL="114300" distR="114300">
            <wp:extent cx="4333875" cy="7334250"/>
            <wp:effectExtent l="0" t="0" r="9525" b="0"/>
            <wp:docPr id="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33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215F">
      <w:pPr>
        <w:rPr>
          <w:i w:val="0"/>
          <w:iCs w:val="0"/>
          <w:color w:val="auto"/>
        </w:rPr>
      </w:pPr>
    </w:p>
    <w:bookmarkEnd w:id="5"/>
    <w:p w14:paraId="25837ED9">
      <w:pPr>
        <w:pStyle w:val="4"/>
        <w:rPr>
          <w:i w:val="0"/>
          <w:iCs w:val="0"/>
          <w:color w:val="auto"/>
        </w:rPr>
      </w:pPr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 接入前提</w:t>
      </w:r>
    </w:p>
    <w:p w14:paraId="53196465">
      <w:pPr>
        <w:pStyle w:val="5"/>
        <w:rPr>
          <w:i w:val="0"/>
          <w:iCs w:val="0"/>
          <w:color w:val="auto"/>
        </w:rPr>
      </w:pPr>
      <w:bookmarkStart w:id="7" w:name="云平台侧准备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.1 云平台侧准备</w:t>
      </w:r>
    </w:p>
    <w:p w14:paraId="00191930">
      <w:pPr>
        <w:pStyle w:val="6"/>
        <w:rPr>
          <w:i w:val="0"/>
          <w:iCs w:val="0"/>
          <w:color w:val="auto"/>
        </w:rPr>
      </w:pPr>
      <w:bookmarkStart w:id="8" w:name="产品创建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.1.1 产品创建</w:t>
      </w:r>
    </w:p>
    <w:p w14:paraId="0429888B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 xml:space="preserve">运营平台创建对应机器人产品型号，生成全局唯一产品标识 </w:t>
      </w:r>
      <w:r>
        <w:rPr>
          <w:rStyle w:val="36"/>
          <w:i w:val="0"/>
          <w:iCs w:val="0"/>
          <w:color w:val="auto"/>
        </w:rPr>
        <w:t>productKey</w:t>
      </w:r>
      <w:r>
        <w:rPr>
          <w:i w:val="0"/>
          <w:iCs w:val="0"/>
          <w:color w:val="auto"/>
        </w:rPr>
        <w:t>，作为设备所属产品的身份标识。</w:t>
      </w:r>
    </w:p>
    <w:bookmarkEnd w:id="8"/>
    <w:p w14:paraId="30ADD3C9">
      <w:pPr>
        <w:pStyle w:val="6"/>
        <w:rPr>
          <w:i w:val="0"/>
          <w:iCs w:val="0"/>
          <w:color w:val="auto"/>
        </w:rPr>
      </w:pPr>
      <w:bookmarkStart w:id="9" w:name="设备预注册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.1.2 设备预注册</w:t>
      </w:r>
    </w:p>
    <w:p w14:paraId="09DD42AD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平台导入机器人设备信息完成预注册，设备初始状态标</w:t>
      </w:r>
      <w:r>
        <w:rPr>
          <w:b w:val="0"/>
          <w:bCs w:val="0"/>
          <w:i w:val="0"/>
          <w:iCs w:val="0"/>
          <w:color w:val="auto"/>
        </w:rPr>
        <w:t>记为待激活，自</w:t>
      </w:r>
      <w:r>
        <w:rPr>
          <w:i w:val="0"/>
          <w:iCs w:val="0"/>
          <w:color w:val="auto"/>
        </w:rPr>
        <w:t>动加入平台接入白名单，仅白名单设备可发起接入。</w:t>
      </w:r>
    </w:p>
    <w:bookmarkEnd w:id="9"/>
    <w:p w14:paraId="0677FB2A">
      <w:pPr>
        <w:pStyle w:val="6"/>
        <w:rPr>
          <w:i w:val="0"/>
          <w:iCs w:val="0"/>
          <w:color w:val="auto"/>
        </w:rPr>
      </w:pPr>
      <w:bookmarkStart w:id="10" w:name="生成设备三元组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.1.3 生成设备三元组</w:t>
      </w:r>
    </w:p>
    <w:p w14:paraId="73190D21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平台为每台预注册设备生成永久有效、不可篡改的唯一认证设备三元组，为设备接入核心凭证：</w:t>
      </w:r>
    </w:p>
    <w:tbl>
      <w:tblPr>
        <w:tblStyle w:val="29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2512"/>
      </w:tblGrid>
      <w:tr w14:paraId="797EAB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BF98E29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字段</w:t>
            </w:r>
          </w:p>
        </w:tc>
        <w:tc>
          <w:tcPr>
            <w:tcW w:w="2512" w:type="dxa"/>
          </w:tcPr>
          <w:p w14:paraId="29B110C3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说明</w:t>
            </w:r>
          </w:p>
        </w:tc>
      </w:tr>
      <w:tr w14:paraId="182269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0154EB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productKey</w:t>
            </w:r>
          </w:p>
        </w:tc>
        <w:tc>
          <w:tcPr>
            <w:tcW w:w="2512" w:type="dxa"/>
          </w:tcPr>
          <w:p w14:paraId="7DF043D9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产品唯一标识</w:t>
            </w:r>
          </w:p>
        </w:tc>
      </w:tr>
      <w:tr w14:paraId="72DE05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3A911C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deviceId</w:t>
            </w:r>
          </w:p>
        </w:tc>
        <w:tc>
          <w:tcPr>
            <w:tcW w:w="2512" w:type="dxa"/>
          </w:tcPr>
          <w:p w14:paraId="7D7B7A1A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设备唯一标识</w:t>
            </w:r>
          </w:p>
        </w:tc>
      </w:tr>
      <w:tr w14:paraId="0A6BA2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14AA75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deviceSecret</w:t>
            </w:r>
          </w:p>
        </w:tc>
        <w:tc>
          <w:tcPr>
            <w:tcW w:w="2512" w:type="dxa"/>
          </w:tcPr>
          <w:p w14:paraId="1AC0DA60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设备专属加密密钥</w:t>
            </w:r>
          </w:p>
        </w:tc>
      </w:tr>
      <w:bookmarkEnd w:id="7"/>
      <w:bookmarkEnd w:id="10"/>
    </w:tbl>
    <w:p w14:paraId="5F4EF87E">
      <w:pPr>
        <w:pStyle w:val="5"/>
        <w:rPr>
          <w:i w:val="0"/>
          <w:iCs w:val="0"/>
          <w:color w:val="auto"/>
        </w:rPr>
      </w:pPr>
      <w:bookmarkStart w:id="11" w:name="设备侧准备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.2 设备侧准备</w:t>
      </w:r>
    </w:p>
    <w:p w14:paraId="37E8F5AD">
      <w:pPr>
        <w:pStyle w:val="6"/>
        <w:rPr>
          <w:i w:val="0"/>
          <w:iCs w:val="0"/>
          <w:color w:val="auto"/>
        </w:rPr>
      </w:pPr>
      <w:bookmarkStart w:id="12" w:name="烧录三元组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.2.1 烧录三元组</w:t>
      </w:r>
    </w:p>
    <w:p w14:paraId="62345BA7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 xml:space="preserve">设备出厂前，将 </w:t>
      </w:r>
      <w:r>
        <w:rPr>
          <w:rStyle w:val="36"/>
          <w:i w:val="0"/>
          <w:iCs w:val="0"/>
          <w:color w:val="auto"/>
        </w:rPr>
        <w:t>productKey</w:t>
      </w:r>
      <w:r>
        <w:rPr>
          <w:i w:val="0"/>
          <w:iCs w:val="0"/>
          <w:color w:val="auto"/>
        </w:rPr>
        <w:t>、</w:t>
      </w:r>
      <w:r>
        <w:rPr>
          <w:rStyle w:val="36"/>
          <w:i w:val="0"/>
          <w:iCs w:val="0"/>
          <w:color w:val="auto"/>
        </w:rPr>
        <w:t>deviceId</w:t>
      </w:r>
      <w:r>
        <w:rPr>
          <w:i w:val="0"/>
          <w:iCs w:val="0"/>
          <w:color w:val="auto"/>
        </w:rPr>
        <w:t>、</w:t>
      </w:r>
      <w:r>
        <w:rPr>
          <w:rStyle w:val="36"/>
          <w:i w:val="0"/>
          <w:iCs w:val="0"/>
          <w:color w:val="auto"/>
        </w:rPr>
        <w:t>deviceSecret</w:t>
      </w:r>
      <w:r>
        <w:rPr>
          <w:i w:val="0"/>
          <w:iCs w:val="0"/>
          <w:color w:val="auto"/>
        </w:rPr>
        <w:t xml:space="preserve"> 固化烧录至设备底层，设备恢复出厂、重启后信息不丢失。</w:t>
      </w:r>
    </w:p>
    <w:bookmarkEnd w:id="12"/>
    <w:p w14:paraId="1D6813EC">
      <w:pPr>
        <w:pStyle w:val="6"/>
        <w:rPr>
          <w:i w:val="0"/>
          <w:iCs w:val="0"/>
          <w:color w:val="auto"/>
        </w:rPr>
      </w:pPr>
      <w:bookmarkStart w:id="13" w:name="集成-mqtt-客户端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.2.2 集成 MQTT 客户端</w:t>
      </w:r>
    </w:p>
    <w:p w14:paraId="1D2C8783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设备端程序适配集成 MQTT 客户端，支持断线自动重连、消息发布/订阅等基础接入能力。</w:t>
      </w:r>
    </w:p>
    <w:bookmarkEnd w:id="13"/>
    <w:p w14:paraId="5DECEC04">
      <w:pPr>
        <w:pStyle w:val="6"/>
        <w:rPr>
          <w:i w:val="0"/>
          <w:iCs w:val="0"/>
          <w:color w:val="auto"/>
        </w:rPr>
      </w:pPr>
      <w:bookmarkStart w:id="14" w:name="网络配网"/>
      <w:r>
        <w:rPr>
          <w:rFonts w:hint="eastAsia"/>
          <w:i w:val="0"/>
          <w:iCs w:val="0"/>
          <w:color w:val="auto"/>
          <w:lang w:val="en-US" w:eastAsia="zh-CN"/>
        </w:rPr>
        <w:t>3</w:t>
      </w:r>
      <w:r>
        <w:rPr>
          <w:i w:val="0"/>
          <w:iCs w:val="0"/>
          <w:color w:val="auto"/>
        </w:rPr>
        <w:t>.2.3 网络配网</w:t>
      </w:r>
    </w:p>
    <w:p w14:paraId="46688819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设备支持 WiFi 配网能力，可通过商户 APP 完成联网配置，获取网络权限后主动发起 MQTT 连接请求。</w:t>
      </w:r>
    </w:p>
    <w:bookmarkEnd w:id="6"/>
    <w:bookmarkEnd w:id="11"/>
    <w:bookmarkEnd w:id="14"/>
    <w:p w14:paraId="2B642198">
      <w:pPr>
        <w:pStyle w:val="4"/>
        <w:rPr>
          <w:i w:val="0"/>
          <w:iCs w:val="0"/>
          <w:color w:val="auto"/>
        </w:rPr>
      </w:pPr>
      <w:bookmarkStart w:id="15" w:name="mqtt-连接身份标识"/>
      <w:r>
        <w:rPr>
          <w:i w:val="0"/>
          <w:iCs w:val="0"/>
          <w:color w:val="auto"/>
        </w:rPr>
        <w:t>4. 连接身份标识</w:t>
      </w:r>
    </w:p>
    <w:p w14:paraId="63B95EA0">
      <w:pPr>
        <w:pStyle w:val="23"/>
        <w:rPr>
          <w:i w:val="0"/>
          <w:iCs w:val="0"/>
          <w:color w:val="auto"/>
        </w:rPr>
      </w:pPr>
      <w:r>
        <w:rPr>
          <w:rStyle w:val="36"/>
          <w:i w:val="0"/>
          <w:iCs w:val="0"/>
          <w:color w:val="auto"/>
        </w:rPr>
        <w:t>ClientId</w:t>
      </w:r>
      <w:r>
        <w:rPr>
          <w:i w:val="0"/>
          <w:iCs w:val="0"/>
          <w:color w:val="auto"/>
        </w:rPr>
        <w:t xml:space="preserve"> 为 MQTT 客户端全局唯一身份标识，格式固定、全局不可重复，是平台区分设备终端的核心依据。</w:t>
      </w:r>
    </w:p>
    <w:p w14:paraId="194AB54A">
      <w:pPr>
        <w:pStyle w:val="5"/>
        <w:rPr>
          <w:i w:val="0"/>
          <w:iCs w:val="0"/>
          <w:color w:val="auto"/>
        </w:rPr>
      </w:pPr>
      <w:bookmarkStart w:id="16" w:name="通用命名规则"/>
      <w:r>
        <w:rPr>
          <w:i w:val="0"/>
          <w:iCs w:val="0"/>
          <w:color w:val="auto"/>
        </w:rPr>
        <w:t>4.1 通用命名规则</w:t>
      </w:r>
    </w:p>
    <w:p w14:paraId="75061FCE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格式：</w:t>
      </w:r>
      <w:r>
        <w:rPr>
          <w:rStyle w:val="36"/>
          <w:i w:val="0"/>
          <w:iCs w:val="0"/>
          <w:color w:val="auto"/>
        </w:rPr>
        <w:t>solexrobot/{clientType}/{终端唯一ID}</w:t>
      </w:r>
    </w:p>
    <w:p w14:paraId="0A5AB9B7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参数说明：</w:t>
      </w:r>
    </w:p>
    <w:tbl>
      <w:tblPr>
        <w:tblStyle w:val="29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6"/>
        <w:gridCol w:w="4776"/>
      </w:tblGrid>
      <w:tr w14:paraId="2EF61A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F0C236E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参数</w:t>
            </w:r>
          </w:p>
        </w:tc>
        <w:tc>
          <w:p w14:paraId="1C9B1B8D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说明</w:t>
            </w:r>
          </w:p>
        </w:tc>
      </w:tr>
      <w:tr w14:paraId="14274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9B58C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solexrobot</w:t>
            </w:r>
          </w:p>
        </w:tc>
        <w:tc>
          <w:p w14:paraId="06B6991B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项目统一固定前缀，不可修改</w:t>
            </w:r>
          </w:p>
        </w:tc>
      </w:tr>
      <w:tr w14:paraId="358163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90637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clientType</w:t>
            </w:r>
          </w:p>
        </w:tc>
        <w:tc>
          <w:p w14:paraId="3031CD3C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设备终端类型，区分底层硬件与设备应用层</w:t>
            </w:r>
          </w:p>
        </w:tc>
      </w:tr>
      <w:tr w14:paraId="4BB902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9CE381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终端唯一ID</w:t>
            </w:r>
          </w:p>
        </w:tc>
        <w:tc>
          <w:p w14:paraId="715D255E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对应设备层级的专属唯一标识</w:t>
            </w:r>
          </w:p>
        </w:tc>
      </w:tr>
      <w:bookmarkEnd w:id="16"/>
    </w:tbl>
    <w:p w14:paraId="5580BFE0">
      <w:pPr>
        <w:pStyle w:val="5"/>
        <w:rPr>
          <w:i w:val="0"/>
          <w:iCs w:val="0"/>
          <w:color w:val="auto"/>
        </w:rPr>
      </w:pPr>
      <w:bookmarkStart w:id="17" w:name="南向设备-clientid-规则"/>
      <w:r>
        <w:rPr>
          <w:i w:val="0"/>
          <w:iCs w:val="0"/>
          <w:color w:val="auto"/>
        </w:rPr>
        <w:t>4.2 南向设备 ClientId 规则</w:t>
      </w:r>
    </w:p>
    <w:p w14:paraId="56462B41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终端唯一标识规则：</w:t>
      </w:r>
      <w:r>
        <w:rPr>
          <w:rStyle w:val="36"/>
          <w:i w:val="0"/>
          <w:iCs w:val="0"/>
          <w:color w:val="auto"/>
        </w:rPr>
        <w:t>solexrobot/{clientType}/productKey&amp;deviceId</w:t>
      </w:r>
    </w:p>
    <w:p w14:paraId="6F0796F4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设备层级与 ClientId 示例：</w:t>
      </w:r>
    </w:p>
    <w:tbl>
      <w:tblPr>
        <w:tblStyle w:val="29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6"/>
        <w:gridCol w:w="1789"/>
        <w:gridCol w:w="5901"/>
      </w:tblGrid>
      <w:tr w14:paraId="52A737A9">
        <w:trPr>
          <w:tblHeader/>
        </w:trPr>
        <w:tc>
          <w:p w14:paraId="562A642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设备层级</w:t>
            </w:r>
          </w:p>
        </w:tc>
        <w:tc>
          <w:p w14:paraId="2AA016C1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clientType</w:t>
            </w:r>
          </w:p>
        </w:tc>
        <w:tc>
          <w:p w14:paraId="55A4F372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ClientId 示例</w:t>
            </w:r>
          </w:p>
        </w:tc>
      </w:tr>
      <w:tr w14:paraId="34E08E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925107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机器人主控层</w:t>
            </w:r>
          </w:p>
        </w:tc>
        <w:tc>
          <w:p w14:paraId="5C4205D9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robot_host</w:t>
            </w:r>
          </w:p>
        </w:tc>
        <w:tc>
          <w:p w14:paraId="07B2DCE3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solexrobot/robot_host/cleanRobotKey&amp;34640564</w:t>
            </w:r>
          </w:p>
        </w:tc>
      </w:tr>
      <w:tr w14:paraId="2F6820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767800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机器人上位机</w:t>
            </w:r>
          </w:p>
        </w:tc>
        <w:tc>
          <w:p w14:paraId="3DBFABB3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robot_app</w:t>
            </w:r>
          </w:p>
        </w:tc>
        <w:tc>
          <w:p w14:paraId="75E7F079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solexrobot/robot_app/cleanRobotKey&amp;34640564</w:t>
            </w:r>
          </w:p>
        </w:tc>
      </w:tr>
      <w:tr w14:paraId="65DC20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D6B275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机器人工作站</w:t>
            </w:r>
          </w:p>
        </w:tc>
        <w:tc>
          <w:p w14:paraId="336AF22D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robot_station</w:t>
            </w:r>
          </w:p>
        </w:tc>
        <w:tc>
          <w:p w14:paraId="6497ACC3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solexrobot/robot_station/cleanRobotKey&amp;34640564</w:t>
            </w:r>
          </w:p>
        </w:tc>
      </w:tr>
    </w:tbl>
    <w:p w14:paraId="7736AE45">
      <w:pPr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bookmarkEnd w:id="17"/>
    <w:p w14:paraId="05304B9E">
      <w:pPr>
        <w:pStyle w:val="4"/>
        <w:rPr>
          <w:i w:val="0"/>
          <w:iCs w:val="0"/>
          <w:color w:val="auto"/>
        </w:rPr>
      </w:pPr>
      <w:bookmarkStart w:id="18" w:name="mqtt-连接认证规则"/>
      <w:r>
        <w:rPr>
          <w:i w:val="0"/>
          <w:iCs w:val="0"/>
          <w:color w:val="auto"/>
        </w:rPr>
        <w:t>5. 连接认证规则</w:t>
      </w:r>
    </w:p>
    <w:p w14:paraId="4E9A7518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>南向设备采用</w:t>
      </w:r>
      <w:r>
        <w:rPr>
          <w:b/>
          <w:bCs/>
          <w:i w:val="0"/>
          <w:iCs w:val="0"/>
          <w:color w:val="auto"/>
        </w:rPr>
        <w:t>一机一密固定鉴权模式</w:t>
      </w:r>
      <w:r>
        <w:rPr>
          <w:i w:val="0"/>
          <w:iCs w:val="0"/>
          <w:color w:val="auto"/>
        </w:rPr>
        <w:t>，基于设备三元组生成连接用户名与密码，密码通过 MD5 加密生成，保障凭证安全。</w:t>
      </w:r>
    </w:p>
    <w:p w14:paraId="158A7ED0">
      <w:pPr>
        <w:pStyle w:val="5"/>
        <w:rPr>
          <w:i w:val="0"/>
          <w:iCs w:val="0"/>
          <w:color w:val="auto"/>
        </w:rPr>
      </w:pPr>
      <w:bookmarkStart w:id="19" w:name="认证参数"/>
      <w:r>
        <w:rPr>
          <w:i w:val="0"/>
          <w:iCs w:val="0"/>
          <w:color w:val="auto"/>
        </w:rPr>
        <w:t>5.1 认证参数</w:t>
      </w:r>
    </w:p>
    <w:tbl>
      <w:tblPr>
        <w:tblStyle w:val="29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9"/>
        <w:gridCol w:w="3603"/>
      </w:tblGrid>
      <w:tr w14:paraId="0E88B9ED">
        <w:trPr>
          <w:tblHeader/>
        </w:trPr>
        <w:tc>
          <w:p w14:paraId="2B79F6B6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参数</w:t>
            </w:r>
          </w:p>
        </w:tc>
        <w:tc>
          <w:p w14:paraId="3ACDEE16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生成规则</w:t>
            </w:r>
          </w:p>
        </w:tc>
      </w:tr>
      <w:tr w14:paraId="5C5D90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771B8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用户名</w:t>
            </w:r>
          </w:p>
        </w:tc>
        <w:tc>
          <w:p w14:paraId="0028E330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{productKey}&amp;{deviceId}</w:t>
            </w:r>
          </w:p>
        </w:tc>
      </w:tr>
      <w:tr w14:paraId="0205C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EA09BE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密码</w:t>
            </w:r>
          </w:p>
        </w:tc>
        <w:tc>
          <w:p w14:paraId="2F8D9B5D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rStyle w:val="36"/>
                <w:i w:val="0"/>
                <w:iCs w:val="0"/>
                <w:color w:val="auto"/>
              </w:rPr>
              <w:t>MD5(clientId &amp; deviceSecret)</w:t>
            </w:r>
          </w:p>
        </w:tc>
      </w:tr>
      <w:bookmarkEnd w:id="19"/>
    </w:tbl>
    <w:p w14:paraId="2CC10821">
      <w:pPr>
        <w:pStyle w:val="5"/>
        <w:rPr>
          <w:i w:val="0"/>
          <w:iCs w:val="0"/>
          <w:color w:val="auto"/>
        </w:rPr>
      </w:pPr>
      <w:bookmarkStart w:id="20" w:name="鉴权说明"/>
      <w:r>
        <w:rPr>
          <w:i w:val="0"/>
          <w:iCs w:val="0"/>
          <w:color w:val="auto"/>
        </w:rPr>
        <w:t>5.2 鉴权说明</w:t>
      </w:r>
    </w:p>
    <w:p w14:paraId="589138F5">
      <w:pPr>
        <w:pStyle w:val="23"/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t xml:space="preserve">将设备唯一 </w:t>
      </w:r>
      <w:r>
        <w:rPr>
          <w:rStyle w:val="36"/>
          <w:i w:val="0"/>
          <w:iCs w:val="0"/>
          <w:color w:val="auto"/>
        </w:rPr>
        <w:t>ClientId</w:t>
      </w:r>
      <w:r>
        <w:rPr>
          <w:i w:val="0"/>
          <w:iCs w:val="0"/>
          <w:color w:val="auto"/>
        </w:rPr>
        <w:t xml:space="preserve"> 与设备专属 </w:t>
      </w:r>
      <w:r>
        <w:rPr>
          <w:rStyle w:val="36"/>
          <w:i w:val="0"/>
          <w:iCs w:val="0"/>
          <w:color w:val="auto"/>
        </w:rPr>
        <w:t>deviceSecret</w:t>
      </w:r>
      <w:r>
        <w:rPr>
          <w:i w:val="0"/>
          <w:iCs w:val="0"/>
          <w:color w:val="auto"/>
        </w:rPr>
        <w:t xml:space="preserve"> 直接拼接，对拼接结果进行 MD5 加密，加密字符串即为 MQTT 连接密码。</w:t>
      </w:r>
    </w:p>
    <w:p w14:paraId="3AE8FB8D">
      <w:pPr>
        <w:pStyle w:val="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计算示例：</w:t>
      </w:r>
    </w:p>
    <w:p w14:paraId="68C8452E">
      <w:pPr>
        <w:pStyle w:val="37"/>
        <w:rPr>
          <w:i w:val="0"/>
          <w:iCs w:val="0"/>
          <w:color w:val="auto"/>
        </w:rPr>
      </w:pPr>
      <w:r>
        <w:rPr>
          <w:rStyle w:val="36"/>
          <w:i w:val="0"/>
          <w:iCs w:val="0"/>
          <w:color w:val="auto"/>
        </w:rPr>
        <w:t>clientId = "solexrobot/robot_host/cleanRobotKey&amp;34640564"</w:t>
      </w:r>
      <w:r>
        <w:rPr>
          <w:i w:val="0"/>
          <w:iCs w:val="0"/>
          <w:color w:val="auto"/>
        </w:rPr>
        <w:br w:type="textWrapping"/>
      </w:r>
      <w:r>
        <w:rPr>
          <w:rStyle w:val="36"/>
          <w:i w:val="0"/>
          <w:iCs w:val="0"/>
          <w:color w:val="auto"/>
        </w:rPr>
        <w:t>deviceSecret = "xxxxxxxxxxxx"</w:t>
      </w:r>
      <w:r>
        <w:rPr>
          <w:i w:val="0"/>
          <w:iCs w:val="0"/>
          <w:color w:val="auto"/>
        </w:rPr>
        <w:br w:type="textWrapping"/>
      </w:r>
      <w:r>
        <w:rPr>
          <w:rStyle w:val="36"/>
          <w:i w:val="0"/>
          <w:iCs w:val="0"/>
          <w:color w:val="auto"/>
        </w:rPr>
        <w:t>password = MD5("solexrobot/robot_host/cleanRobotKey&amp;34640564xxxxxxxxxxxx")</w:t>
      </w:r>
    </w:p>
    <w:p w14:paraId="26C311DA">
      <w:pPr>
        <w:rPr>
          <w:i w:val="0"/>
          <w:iCs w:val="0"/>
          <w:color w:val="auto"/>
        </w:rPr>
      </w:pPr>
      <w:r>
        <w:rPr>
          <w:i w:val="0"/>
          <w:iCs w:val="0"/>
          <w:color w:val="auto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20"/>
    <w:p w14:paraId="59431B7B">
      <w:pPr>
        <w:pStyle w:val="4"/>
        <w:rPr>
          <w:i w:val="0"/>
          <w:iCs w:val="0"/>
          <w:color w:val="auto"/>
        </w:rPr>
      </w:pPr>
      <w:bookmarkStart w:id="21" w:name="安全机制"/>
      <w:r>
        <w:rPr>
          <w:i w:val="0"/>
          <w:iCs w:val="0"/>
          <w:color w:val="auto"/>
        </w:rPr>
        <w:t>6. 安全机制</w:t>
      </w:r>
    </w:p>
    <w:p w14:paraId="5F847A2C">
      <w:pPr>
        <w:pStyle w:val="5"/>
        <w:rPr>
          <w:i w:val="0"/>
          <w:iCs w:val="0"/>
          <w:color w:val="auto"/>
        </w:rPr>
      </w:pPr>
      <w:bookmarkStart w:id="22" w:name="接入安全"/>
      <w:r>
        <w:rPr>
          <w:i w:val="0"/>
          <w:iCs w:val="0"/>
          <w:color w:val="auto"/>
        </w:rPr>
        <w:t>6.1 接入安全</w:t>
      </w:r>
    </w:p>
    <w:tbl>
      <w:tblPr>
        <w:tblStyle w:val="29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2"/>
        <w:gridCol w:w="7184"/>
      </w:tblGrid>
      <w:tr w14:paraId="28B30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221B206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安全措施</w:t>
            </w:r>
          </w:p>
        </w:tc>
        <w:tc>
          <w:p w14:paraId="1CD062D2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说明</w:t>
            </w:r>
          </w:p>
        </w:tc>
      </w:tr>
      <w:tr w14:paraId="156B71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A1D15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全局唯一 ClientId 管控</w:t>
            </w:r>
          </w:p>
        </w:tc>
        <w:tc>
          <w:p w14:paraId="3E20BC5F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杜绝设备身份伪造，若出现重复 ClientId 连接，平台自动剔除旧连接，保证同一设备仅存在一个有效长连接</w:t>
            </w:r>
          </w:p>
        </w:tc>
      </w:tr>
      <w:tr w14:paraId="7D953E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DF4CC0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一机一密隔离</w:t>
            </w:r>
          </w:p>
        </w:tc>
        <w:tc>
          <w:p w14:paraId="5FA8B946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单设备独立密钥，密钥互不共享、互不通用，单点密钥泄露不影响整体设备安全</w:t>
            </w:r>
          </w:p>
        </w:tc>
      </w:tr>
      <w:tr w14:paraId="64279A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B19074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白名单准入机制</w:t>
            </w:r>
          </w:p>
        </w:tc>
        <w:tc>
          <w:p w14:paraId="4A5182F2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仅平台完成预注册、纳入白名单的设备可发起 MQTT 连接，未注册、未录入白名单的设备直接拒绝接入</w:t>
            </w:r>
          </w:p>
        </w:tc>
      </w:tr>
      <w:tr w14:paraId="0BF66C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A3AE46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设备隔离权限</w:t>
            </w:r>
          </w:p>
        </w:tc>
        <w:tc>
          <w:p w14:paraId="203E6C85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设备接入成功后，仅开放当前设备对应的专属通信通道，仅可上报自身状态、接收自身指令，禁止访问、操作其他设备资源</w:t>
            </w:r>
          </w:p>
        </w:tc>
      </w:tr>
      <w:tr w14:paraId="22D3D7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3059FB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b/>
                <w:bCs/>
                <w:i w:val="0"/>
                <w:iCs w:val="0"/>
                <w:color w:val="auto"/>
              </w:rPr>
              <w:t>激活状态校验</w:t>
            </w:r>
          </w:p>
        </w:tc>
        <w:tc>
          <w:p w14:paraId="08D63DE2">
            <w:pPr>
              <w:pStyle w:val="24"/>
              <w:jc w:val="left"/>
              <w:rPr>
                <w:i w:val="0"/>
                <w:iCs w:val="0"/>
                <w:color w:val="auto"/>
              </w:rPr>
            </w:pPr>
            <w:r>
              <w:rPr>
                <w:i w:val="0"/>
                <w:iCs w:val="0"/>
                <w:color w:val="auto"/>
              </w:rPr>
              <w:t>MQTT 连接成功仅代表网络连通，设备必须上报合法激活信息，平台校验通过并标记设备为已激活后，方可进行业务通信；未激活设备仅保留基础连接，无业务权限</w:t>
            </w:r>
          </w:p>
        </w:tc>
      </w:tr>
      <w:bookmarkEnd w:id="22"/>
    </w:tbl>
    <w:p w14:paraId="6EFF5B6D">
      <w:pPr>
        <w:pStyle w:val="5"/>
        <w:rPr>
          <w:i w:val="0"/>
          <w:iCs w:val="0"/>
          <w:color w:val="auto"/>
        </w:rPr>
      </w:pPr>
      <w:bookmarkStart w:id="23" w:name="传输安全"/>
      <w:r>
        <w:rPr>
          <w:i w:val="0"/>
          <w:iCs w:val="0"/>
          <w:color w:val="auto"/>
        </w:rPr>
        <w:t>6.2 传输安全</w:t>
      </w:r>
    </w:p>
    <w:p w14:paraId="6ACE8DA5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消息体加签校验</w:t>
      </w:r>
      <w:r>
        <w:rPr>
          <w:i w:val="0"/>
          <w:iCs w:val="0"/>
          <w:color w:val="auto"/>
        </w:rPr>
        <w:t>：设备上行、下行 MQTT 消息体统一加签，有效防范重放攻击、消息伪造、过期消息复用问题。</w:t>
      </w:r>
    </w:p>
    <w:bookmarkEnd w:id="23"/>
    <w:p w14:paraId="4AB3953D">
      <w:pPr>
        <w:pStyle w:val="5"/>
        <w:rPr>
          <w:i w:val="0"/>
          <w:iCs w:val="0"/>
          <w:color w:val="auto"/>
        </w:rPr>
      </w:pPr>
      <w:bookmarkStart w:id="24" w:name="连接安全"/>
      <w:r>
        <w:rPr>
          <w:i w:val="0"/>
          <w:iCs w:val="0"/>
          <w:color w:val="auto"/>
        </w:rPr>
        <w:t>6.3 连接安全</w:t>
      </w:r>
    </w:p>
    <w:p w14:paraId="6B521475">
      <w:pPr>
        <w:pStyle w:val="23"/>
        <w:rPr>
          <w:i w:val="0"/>
          <w:iCs w:val="0"/>
          <w:color w:val="auto"/>
        </w:rPr>
      </w:pPr>
      <w:r>
        <w:rPr>
          <w:b/>
          <w:bCs/>
          <w:i w:val="0"/>
          <w:iCs w:val="0"/>
          <w:color w:val="auto"/>
        </w:rPr>
        <w:t>断线自动重连</w:t>
      </w:r>
      <w:r>
        <w:rPr>
          <w:i w:val="0"/>
          <w:iCs w:val="0"/>
          <w:color w:val="auto"/>
        </w:rPr>
        <w:t>：设备断网、链路波动后可自动重连，重连时重新执行完整认证流程，保障连接稳定性。</w:t>
      </w:r>
      <w:bookmarkEnd w:id="21"/>
      <w:bookmarkEnd w:id="24"/>
      <w:bookmarkStart w:id="25" w:name="附录"/>
      <w:bookmarkStart w:id="26" w:name="术语表"/>
    </w:p>
    <w:bookmarkEnd w:id="0"/>
    <w:bookmarkEnd w:id="25"/>
    <w:bookmarkEnd w:id="26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2953FB"/>
    <w:multiLevelType w:val="singleLevel"/>
    <w:tmpl w:val="832953FB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07E2EF7"/>
    <w:rsid w:val="099F7A3A"/>
    <w:rsid w:val="0D2546FA"/>
    <w:rsid w:val="12647A72"/>
    <w:rsid w:val="128D521B"/>
    <w:rsid w:val="14AB1989"/>
    <w:rsid w:val="191C4C03"/>
    <w:rsid w:val="1B520DB0"/>
    <w:rsid w:val="1D5726AE"/>
    <w:rsid w:val="1DED4DC0"/>
    <w:rsid w:val="1DF443A0"/>
    <w:rsid w:val="1ECE2E43"/>
    <w:rsid w:val="23DA080D"/>
    <w:rsid w:val="27DF39CB"/>
    <w:rsid w:val="2B1971F4"/>
    <w:rsid w:val="2B794137"/>
    <w:rsid w:val="2D6F75A0"/>
    <w:rsid w:val="2E1063E3"/>
    <w:rsid w:val="2FFB336C"/>
    <w:rsid w:val="34714633"/>
    <w:rsid w:val="37E56DDC"/>
    <w:rsid w:val="3BC63896"/>
    <w:rsid w:val="3BE23632"/>
    <w:rsid w:val="3EF142B8"/>
    <w:rsid w:val="3F892743"/>
    <w:rsid w:val="40C64A28"/>
    <w:rsid w:val="453E7B2C"/>
    <w:rsid w:val="4B272E10"/>
    <w:rsid w:val="4C080E93"/>
    <w:rsid w:val="538452A3"/>
    <w:rsid w:val="57CF3679"/>
    <w:rsid w:val="5A3D61AC"/>
    <w:rsid w:val="5E604B5F"/>
    <w:rsid w:val="6D7C5A96"/>
    <w:rsid w:val="700417EE"/>
    <w:rsid w:val="716B65F7"/>
    <w:rsid w:val="7D2C5EE0"/>
    <w:rsid w:val="7E130E4E"/>
    <w:rsid w:val="7E6A1D05"/>
    <w:rsid w:val="7FF1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uiPriority w:val="0"/>
  </w:style>
  <w:style w:type="paragraph" w:customStyle="1" w:styleId="34">
    <w:name w:val="Figure"/>
    <w:basedOn w:val="1"/>
    <w:uiPriority w:val="0"/>
  </w:style>
  <w:style w:type="paragraph" w:customStyle="1" w:styleId="35">
    <w:name w:val="Captioned Figure"/>
    <w:basedOn w:val="34"/>
    <w:uiPriority w:val="0"/>
    <w:pPr>
      <w:keepNext/>
    </w:pPr>
  </w:style>
  <w:style w:type="character" w:customStyle="1" w:styleId="36">
    <w:name w:val="Verbatim Char"/>
    <w:basedOn w:val="21"/>
    <w:link w:val="37"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uiPriority w:val="0"/>
    <w:pPr>
      <w:wordWrap w:val="0"/>
    </w:pPr>
  </w:style>
  <w:style w:type="character" w:customStyle="1" w:styleId="38">
    <w:name w:val="Section Number"/>
    <w:basedOn w:val="21"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uiPriority w:val="0"/>
    <w:rPr>
      <w:b/>
      <w:color w:val="007020"/>
    </w:rPr>
  </w:style>
  <w:style w:type="character" w:customStyle="1" w:styleId="41">
    <w:name w:val="DataTypeTok"/>
    <w:basedOn w:val="36"/>
    <w:uiPriority w:val="0"/>
    <w:rPr>
      <w:color w:val="902000"/>
    </w:rPr>
  </w:style>
  <w:style w:type="character" w:customStyle="1" w:styleId="42">
    <w:name w:val="DecValTok"/>
    <w:basedOn w:val="36"/>
    <w:uiPriority w:val="0"/>
    <w:rPr>
      <w:color w:val="40A070"/>
    </w:rPr>
  </w:style>
  <w:style w:type="character" w:customStyle="1" w:styleId="43">
    <w:name w:val="BaseNTok"/>
    <w:basedOn w:val="36"/>
    <w:uiPriority w:val="0"/>
    <w:rPr>
      <w:color w:val="40A070"/>
    </w:rPr>
  </w:style>
  <w:style w:type="character" w:customStyle="1" w:styleId="44">
    <w:name w:val="FloatTok"/>
    <w:basedOn w:val="36"/>
    <w:uiPriority w:val="0"/>
    <w:rPr>
      <w:color w:val="40A070"/>
    </w:rPr>
  </w:style>
  <w:style w:type="character" w:customStyle="1" w:styleId="45">
    <w:name w:val="ConstantTok"/>
    <w:basedOn w:val="36"/>
    <w:uiPriority w:val="0"/>
    <w:rPr>
      <w:color w:val="880000"/>
    </w:rPr>
  </w:style>
  <w:style w:type="character" w:customStyle="1" w:styleId="46">
    <w:name w:val="CharTok"/>
    <w:basedOn w:val="36"/>
    <w:uiPriority w:val="0"/>
    <w:rPr>
      <w:color w:val="4070A0"/>
    </w:rPr>
  </w:style>
  <w:style w:type="character" w:customStyle="1" w:styleId="47">
    <w:name w:val="SpecialCharTok"/>
    <w:basedOn w:val="36"/>
    <w:uiPriority w:val="0"/>
    <w:rPr>
      <w:color w:val="4070A0"/>
    </w:rPr>
  </w:style>
  <w:style w:type="character" w:customStyle="1" w:styleId="48">
    <w:name w:val="StringTok"/>
    <w:basedOn w:val="36"/>
    <w:uiPriority w:val="0"/>
    <w:rPr>
      <w:color w:val="4070A0"/>
    </w:rPr>
  </w:style>
  <w:style w:type="character" w:customStyle="1" w:styleId="49">
    <w:name w:val="VerbatimStringTok"/>
    <w:basedOn w:val="36"/>
    <w:uiPriority w:val="0"/>
    <w:rPr>
      <w:color w:val="4070A0"/>
    </w:rPr>
  </w:style>
  <w:style w:type="character" w:customStyle="1" w:styleId="50">
    <w:name w:val="SpecialStringTok"/>
    <w:basedOn w:val="36"/>
    <w:uiPriority w:val="0"/>
    <w:rPr>
      <w:color w:val="BB6688"/>
    </w:rPr>
  </w:style>
  <w:style w:type="character" w:customStyle="1" w:styleId="51">
    <w:name w:val="ImportTok"/>
    <w:basedOn w:val="36"/>
    <w:uiPriority w:val="0"/>
    <w:rPr>
      <w:b/>
      <w:color w:val="008000"/>
    </w:rPr>
  </w:style>
  <w:style w:type="character" w:customStyle="1" w:styleId="52">
    <w:name w:val="CommentTok"/>
    <w:basedOn w:val="36"/>
    <w:uiPriority w:val="0"/>
    <w:rPr>
      <w:i/>
      <w:color w:val="60A0B0"/>
    </w:rPr>
  </w:style>
  <w:style w:type="character" w:customStyle="1" w:styleId="53">
    <w:name w:val="DocumentationTok"/>
    <w:basedOn w:val="36"/>
    <w:uiPriority w:val="0"/>
    <w:rPr>
      <w:i/>
      <w:color w:val="BA2121"/>
    </w:rPr>
  </w:style>
  <w:style w:type="character" w:customStyle="1" w:styleId="54">
    <w:name w:val="AnnotationTok"/>
    <w:basedOn w:val="36"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uiPriority w:val="0"/>
    <w:rPr>
      <w:color w:val="007020"/>
    </w:rPr>
  </w:style>
  <w:style w:type="character" w:customStyle="1" w:styleId="57">
    <w:name w:val="FunctionTok"/>
    <w:basedOn w:val="36"/>
    <w:uiPriority w:val="0"/>
    <w:rPr>
      <w:color w:val="06287E"/>
    </w:rPr>
  </w:style>
  <w:style w:type="character" w:customStyle="1" w:styleId="58">
    <w:name w:val="VariableTok"/>
    <w:basedOn w:val="36"/>
    <w:uiPriority w:val="0"/>
    <w:rPr>
      <w:color w:val="19177C"/>
    </w:rPr>
  </w:style>
  <w:style w:type="character" w:customStyle="1" w:styleId="59">
    <w:name w:val="ControlFlowTok"/>
    <w:basedOn w:val="36"/>
    <w:uiPriority w:val="0"/>
    <w:rPr>
      <w:b/>
      <w:color w:val="007020"/>
    </w:rPr>
  </w:style>
  <w:style w:type="character" w:customStyle="1" w:styleId="60">
    <w:name w:val="OperatorTok"/>
    <w:basedOn w:val="36"/>
    <w:uiPriority w:val="0"/>
    <w:rPr>
      <w:color w:val="666666"/>
    </w:rPr>
  </w:style>
  <w:style w:type="character" w:customStyle="1" w:styleId="61">
    <w:name w:val="BuiltInTok"/>
    <w:basedOn w:val="36"/>
    <w:uiPriority w:val="0"/>
    <w:rPr>
      <w:color w:val="008000"/>
    </w:rPr>
  </w:style>
  <w:style w:type="character" w:customStyle="1" w:styleId="62">
    <w:name w:val="ExtensionTok"/>
    <w:basedOn w:val="36"/>
    <w:uiPriority w:val="0"/>
  </w:style>
  <w:style w:type="character" w:customStyle="1" w:styleId="63">
    <w:name w:val="PreprocessorTok"/>
    <w:basedOn w:val="36"/>
    <w:uiPriority w:val="0"/>
    <w:rPr>
      <w:color w:val="BC7A00"/>
    </w:rPr>
  </w:style>
  <w:style w:type="character" w:customStyle="1" w:styleId="64">
    <w:name w:val="AttributeTok"/>
    <w:basedOn w:val="36"/>
    <w:uiPriority w:val="0"/>
    <w:rPr>
      <w:color w:val="7D9029"/>
    </w:rPr>
  </w:style>
  <w:style w:type="character" w:customStyle="1" w:styleId="65">
    <w:name w:val="RegionMarkerTok"/>
    <w:basedOn w:val="36"/>
    <w:uiPriority w:val="0"/>
  </w:style>
  <w:style w:type="character" w:customStyle="1" w:styleId="66">
    <w:name w:val="InformationTok"/>
    <w:basedOn w:val="36"/>
    <w:uiPriority w:val="0"/>
    <w:rPr>
      <w:b/>
      <w:i/>
      <w:color w:val="60A0B0"/>
    </w:rPr>
  </w:style>
  <w:style w:type="character" w:customStyle="1" w:styleId="67">
    <w:name w:val="WarningTok"/>
    <w:basedOn w:val="36"/>
    <w:uiPriority w:val="0"/>
    <w:rPr>
      <w:b/>
      <w:i/>
      <w:color w:val="60A0B0"/>
    </w:rPr>
  </w:style>
  <w:style w:type="character" w:customStyle="1" w:styleId="68">
    <w:name w:val="AlertTok"/>
    <w:basedOn w:val="36"/>
    <w:uiPriority w:val="0"/>
    <w:rPr>
      <w:b/>
      <w:color w:val="FF0000"/>
    </w:rPr>
  </w:style>
  <w:style w:type="character" w:customStyle="1" w:styleId="69">
    <w:name w:val="ErrorTok"/>
    <w:basedOn w:val="36"/>
    <w:uiPriority w:val="0"/>
    <w:rPr>
      <w:b/>
      <w:color w:val="FF0000"/>
    </w:rPr>
  </w:style>
  <w:style w:type="character" w:customStyle="1" w:styleId="70">
    <w:name w:val="NormalTok"/>
    <w:basedOn w:val="36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787</Words>
  <Characters>1194</Characters>
  <Lines>12</Lines>
  <Paragraphs>8</Paragraphs>
  <TotalTime>10</TotalTime>
  <ScaleCrop>false</ScaleCrop>
  <LinksUpToDate>false</LinksUpToDate>
  <CharactersWithSpaces>1476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2026-06-03T01:29:00Z</dcterms:created>
  <dc:creator>Super龙</dc:creator>
  <cp:lastModifiedBy>Super龙</cp:lastModifiedBy>
  <dcterms:modified xsi:type="dcterms:W3CDTF">2026-06-03T01:46:23Z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eyJoZGlkIjoiZTQ3ODBmYTM4YmJlOGY5ZjE0ZTU2MTI5MTVkOTJmZGEiLCJ1c2VySWQiOiIzMTc4ODg4MzMifQ==</vt:lpwstr>
  </property>
  <property fmtid="{D5CDD505-2E9C-101B-9397-08002B2CF9AE}" pid="3" name="KSOProductBuildVer">
    <vt:lpwstr>2052-12.1.0.26375</vt:lpwstr>
  </property>
  <property fmtid="{D5CDD505-2E9C-101B-9397-08002B2CF9AE}" pid="4" name="ICV">
    <vt:lpwstr>843023FABBAB4E248A96085D26788ACA_12</vt:lpwstr>
  </property>
</Properties>
</file>