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松霖机器人南向设备接入-mqtt-认证方案"/>
    <w:p>
      <w:pPr>
        <w:pStyle w:val="Heading1"/>
      </w:pPr>
      <w:r>
        <w:t xml:space="preserve">松霖机器人南向设备接入 MQTT 认证方案</w:t>
      </w:r>
    </w:p>
    <w:p>
      <w:r>
        <w:pict>
          <v:rect style="width:0;height:1.5pt" o:hralign="center" o:hrstd="t" o:hr="t"/>
        </w:pict>
      </w:r>
    </w:p>
    <w:bookmarkStart w:id="23" w:name="方案概述"/>
    <w:p>
      <w:pPr>
        <w:pStyle w:val="Heading2"/>
      </w:pPr>
      <w:r>
        <w:t xml:space="preserve">1. 方案概述</w:t>
      </w:r>
    </w:p>
    <w:bookmarkStart w:id="20" w:name="适用角色"/>
    <w:p>
      <w:pPr>
        <w:pStyle w:val="Heading3"/>
      </w:pPr>
      <w:r>
        <w:t xml:space="preserve">1.1 适用角色</w:t>
      </w:r>
    </w:p>
    <w:p>
      <w:pPr>
        <w:pStyle w:val="FirstParagraph"/>
      </w:pPr>
      <w:r>
        <w:t xml:space="preserve">本方案适用于松霖机器人南向设备侧，包括松霖机器人本体上位机（Android 可视化）、下位机主控（Linux/MCU/RTOS/ROS）、工作站等设备，作为 MQTT 客户端接入云平台，完成设备专属身份认证后进行通信。</w:t>
      </w:r>
    </w:p>
    <w:bookmarkEnd w:id="20"/>
    <w:bookmarkStart w:id="21" w:name="协议基础"/>
    <w:p>
      <w:pPr>
        <w:pStyle w:val="Heading3"/>
      </w:pPr>
      <w:r>
        <w:t xml:space="preserve">1.2 协议基础</w:t>
      </w:r>
    </w:p>
    <w:p>
      <w:pPr>
        <w:pStyle w:val="FirstParagraph"/>
      </w:pPr>
      <w:r>
        <w:t xml:space="preserve">采用 MQTT 协议作为通信接入基础，基于发布-订阅模式，适配物联网低功耗、弱网络场景，支持机器人设备与云平台稳定长连接通信。</w:t>
      </w:r>
    </w:p>
    <w:bookmarkEnd w:id="21"/>
    <w:bookmarkStart w:id="22" w:name="核心设计原则"/>
    <w:p>
      <w:pPr>
        <w:pStyle w:val="Heading3"/>
      </w:pPr>
      <w:r>
        <w:t xml:space="preserve">1.3 核心设计原则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全局唯一标识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所有机器人设备及不同层级客户端均分配唯一身份标识，杜绝身份冲突、重复接入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一机一密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单设备独立专属密钥，不同设备无密钥共享，降低密钥泄露风险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加密鉴权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连接凭证全程加密生成，核心数据防篡改、防伪造，保障接入安全性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最小权限授权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设备接入后仅开放自身设备通信权限，严格禁止跨设备越权访问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接入前提"/>
    <w:p>
      <w:pPr>
        <w:pStyle w:val="Heading2"/>
      </w:pPr>
      <w:r>
        <w:t xml:space="preserve">2. 接入前提</w:t>
      </w:r>
    </w:p>
    <w:bookmarkStart w:id="27" w:name="云平台侧准备"/>
    <w:p>
      <w:pPr>
        <w:pStyle w:val="Heading3"/>
      </w:pPr>
      <w:r>
        <w:t xml:space="preserve">2.1 云平台侧准备</w:t>
      </w:r>
    </w:p>
    <w:bookmarkStart w:id="24" w:name="产品创建"/>
    <w:p>
      <w:pPr>
        <w:pStyle w:val="Heading4"/>
      </w:pPr>
      <w:r>
        <w:t xml:space="preserve">2.1.1 产品创建</w:t>
      </w:r>
    </w:p>
    <w:p>
      <w:pPr>
        <w:pStyle w:val="FirstParagraph"/>
      </w:pPr>
      <w:r>
        <w:t xml:space="preserve">运营平台创建对应机器人产品型号，生成全局唯一产品标识</w:t>
      </w:r>
      <w:r>
        <w:t xml:space="preserve"> </w:t>
      </w:r>
      <w:r>
        <w:rPr>
          <w:rStyle w:val="VerbatimChar"/>
        </w:rPr>
        <w:t xml:space="preserve">productKey</w:t>
      </w:r>
      <w:r>
        <w:t xml:space="preserve">，作为设备所属产品的身份标识。</w:t>
      </w:r>
    </w:p>
    <w:bookmarkEnd w:id="24"/>
    <w:bookmarkStart w:id="25" w:name="设备预注册"/>
    <w:p>
      <w:pPr>
        <w:pStyle w:val="Heading4"/>
      </w:pPr>
      <w:r>
        <w:t xml:space="preserve">2.1.2 设备预注册</w:t>
      </w:r>
    </w:p>
    <w:p>
      <w:pPr>
        <w:pStyle w:val="FirstParagraph"/>
      </w:pPr>
      <w:r>
        <w:t xml:space="preserve">平台导入机器人设备信息完成预注册，设备初始状态标记为</w:t>
      </w:r>
      <w:r>
        <w:rPr>
          <w:bCs/>
          <w:b/>
        </w:rPr>
        <w:t xml:space="preserve">待激活</w:t>
      </w:r>
      <w:r>
        <w:t xml:space="preserve">，自动加入平台接入白名单，仅白名单设备可发起接入。</w:t>
      </w:r>
    </w:p>
    <w:bookmarkEnd w:id="25"/>
    <w:bookmarkStart w:id="26" w:name="生成设备三元组"/>
    <w:p>
      <w:pPr>
        <w:pStyle w:val="Heading4"/>
      </w:pPr>
      <w:r>
        <w:t xml:space="preserve">2.1.3 生成设备三元组</w:t>
      </w:r>
    </w:p>
    <w:p>
      <w:pPr>
        <w:pStyle w:val="FirstParagraph"/>
      </w:pPr>
      <w:r>
        <w:t xml:space="preserve">平台为每台预注册设备生成永久有效、不可篡改的唯一认证设备三元组，为设备接入核心凭证：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设备专属加密密钥</w:t>
            </w:r>
          </w:p>
        </w:tc>
      </w:tr>
    </w:tbl>
    <w:bookmarkEnd w:id="26"/>
    <w:bookmarkEnd w:id="27"/>
    <w:bookmarkStart w:id="31" w:name="设备侧准备"/>
    <w:p>
      <w:pPr>
        <w:pStyle w:val="Heading3"/>
      </w:pPr>
      <w:r>
        <w:t xml:space="preserve">2.2 设备侧准备</w:t>
      </w:r>
    </w:p>
    <w:bookmarkStart w:id="28" w:name="烧录三元组"/>
    <w:p>
      <w:pPr>
        <w:pStyle w:val="Heading4"/>
      </w:pPr>
      <w:r>
        <w:t xml:space="preserve">2.2.1 烧录三元组</w:t>
      </w:r>
    </w:p>
    <w:p>
      <w:pPr>
        <w:pStyle w:val="FirstParagraph"/>
      </w:pPr>
      <w:r>
        <w:t xml:space="preserve">设备出厂前，将</w:t>
      </w:r>
      <w:r>
        <w:t xml:space="preserve"> </w:t>
      </w:r>
      <w:r>
        <w:rPr>
          <w:rStyle w:val="VerbatimChar"/>
        </w:rPr>
        <w:t xml:space="preserve">productKey</w:t>
      </w:r>
      <w:r>
        <w:t xml:space="preserve">、</w:t>
      </w:r>
      <w:r>
        <w:rPr>
          <w:rStyle w:val="VerbatimChar"/>
        </w:rPr>
        <w:t xml:space="preserve">deviceId</w:t>
      </w:r>
      <w:r>
        <w:t xml:space="preserve">、</w:t>
      </w:r>
      <w:r>
        <w:rPr>
          <w:rStyle w:val="VerbatimChar"/>
        </w:rPr>
        <w:t xml:space="preserve">deviceSecret</w:t>
      </w:r>
      <w:r>
        <w:t xml:space="preserve"> </w:t>
      </w:r>
      <w:r>
        <w:t xml:space="preserve">固化烧录至设备底层，设备恢复出厂、重启后信息不丢失。</w:t>
      </w:r>
    </w:p>
    <w:bookmarkEnd w:id="28"/>
    <w:bookmarkStart w:id="29" w:name="集成-mqtt-客户端"/>
    <w:p>
      <w:pPr>
        <w:pStyle w:val="Heading4"/>
      </w:pPr>
      <w:r>
        <w:t xml:space="preserve">2.2.2 集成 MQTT 客户端</w:t>
      </w:r>
    </w:p>
    <w:p>
      <w:pPr>
        <w:pStyle w:val="FirstParagraph"/>
      </w:pPr>
      <w:r>
        <w:t xml:space="preserve">设备端程序适配集成 MQTT 客户端，支持断线自动重连、消息发布/订阅等基础接入能力。</w:t>
      </w:r>
    </w:p>
    <w:bookmarkEnd w:id="29"/>
    <w:bookmarkStart w:id="30" w:name="网络配网"/>
    <w:p>
      <w:pPr>
        <w:pStyle w:val="Heading4"/>
      </w:pPr>
      <w:r>
        <w:t xml:space="preserve">2.2.3 网络配网</w:t>
      </w:r>
    </w:p>
    <w:p>
      <w:pPr>
        <w:pStyle w:val="FirstParagraph"/>
      </w:pPr>
      <w:r>
        <w:t xml:space="preserve">设备支持 WiFi 配网能力，可通过商户 APP 完成联网配置，获取网络权限后主动发起 MQTT 连接请求。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接入认证流程"/>
    <w:p>
      <w:pPr>
        <w:pStyle w:val="Heading2"/>
      </w:pPr>
      <w:r>
        <w:t xml:space="preserve">3. 接入认证流程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设备上电   │ ──&gt; │  读取三元组  │ ──&gt; │  构建ClientId│ ──&gt; │  连接MQTT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v</w:t>
      </w:r>
      <w:r>
        <w:br/>
      </w: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业务通信   │ &lt;── │  激活设备   │ &lt;── │  校验激活信息 │ &lt;── │  连接成功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     └─────────────┘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6" w:name="mqtt-连接身份标识"/>
    <w:p>
      <w:pPr>
        <w:pStyle w:val="Heading2"/>
      </w:pPr>
      <w:r>
        <w:t xml:space="preserve">4. MQTT 连接身份标识</w:t>
      </w:r>
    </w:p>
    <w:p>
      <w:pPr>
        <w:pStyle w:val="FirstParagraph"/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为 MQTT 客户端全局唯一身份标识，格式固定、全局不可重复，是平台区分设备终端的核心依据。</w:t>
      </w:r>
    </w:p>
    <w:bookmarkStart w:id="34" w:name="通用命名规则"/>
    <w:p>
      <w:pPr>
        <w:pStyle w:val="Heading3"/>
      </w:pPr>
      <w:r>
        <w:t xml:space="preserve">4.1 通用命名规则</w:t>
      </w:r>
    </w:p>
    <w:p>
      <w:pPr>
        <w:pStyle w:val="FirstParagraph"/>
      </w:pPr>
      <w:r>
        <w:rPr>
          <w:bCs/>
          <w:b/>
        </w:rPr>
        <w:t xml:space="preserve">格式：</w:t>
      </w:r>
    </w:p>
    <w:p>
      <w:pPr>
        <w:pStyle w:val="SourceCode"/>
      </w:pPr>
      <w:r>
        <w:rPr>
          <w:rStyle w:val="VerbatimChar"/>
        </w:rPr>
        <w:t xml:space="preserve">plaintext</w:t>
      </w:r>
      <w:r>
        <w:br/>
      </w:r>
      <w:r>
        <w:rPr>
          <w:rStyle w:val="VerbatimChar"/>
        </w:rPr>
        <w:t xml:space="preserve">solexrobot/{clientType}/{终端唯一ID}</w:t>
      </w:r>
    </w:p>
    <w:p>
      <w:pPr>
        <w:pStyle w:val="FirstParagraph"/>
      </w:pPr>
      <w:r>
        <w:rPr>
          <w:bCs/>
          <w:b/>
        </w:rPr>
        <w:t xml:space="preserve">参数说明：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solexrobot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项目统一固定前缀，不可修改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设备终端类型，区分底层硬件与设备应用层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终端唯一ID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对应设备层级的专属唯一标识</w:t>
            </w:r>
          </w:p>
        </w:tc>
      </w:tr>
    </w:tbl>
    <w:bookmarkEnd w:id="34"/>
    <w:bookmarkStart w:id="35" w:name="南向设备-clientid-规则"/>
    <w:p>
      <w:pPr>
        <w:pStyle w:val="Heading3"/>
      </w:pPr>
      <w:r>
        <w:t xml:space="preserve">4.2 南向设备 ClientId 规则</w:t>
      </w:r>
    </w:p>
    <w:p>
      <w:pPr>
        <w:pStyle w:val="FirstParagraph"/>
      </w:pPr>
      <w:r>
        <w:rPr>
          <w:bCs/>
          <w:b/>
        </w:rPr>
        <w:t xml:space="preserve">终端唯一标识规则：</w:t>
      </w:r>
    </w:p>
    <w:p>
      <w:pPr>
        <w:pStyle w:val="SourceCode"/>
      </w:pPr>
      <w:r>
        <w:rPr>
          <w:rStyle w:val="VerbatimChar"/>
        </w:rPr>
        <w:t xml:space="preserve">solexrobot/{clientType}/productKey&amp;deviceId</w:t>
      </w:r>
    </w:p>
    <w:p>
      <w:pPr>
        <w:pStyle w:val="FirstParagraph"/>
      </w:pPr>
      <w:r>
        <w:rPr>
          <w:bCs/>
          <w:b/>
        </w:rPr>
        <w:t xml:space="preserve">设备层级与 ClientId 示例：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2568"/>
        <w:gridCol w:w="3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ClientId 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机器人主控层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solexrobot/robot_host/cleanRobotKey&amp;34640564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机器人上位机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solexrobot/robot_app/cleanRobotKey&amp;34640564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机器人工作站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robot_station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solexrobot/robot_station/cleanRobotKey&amp;34640564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mqtt-连接认证规则"/>
    <w:p>
      <w:pPr>
        <w:pStyle w:val="Heading2"/>
      </w:pPr>
      <w:r>
        <w:t xml:space="preserve">5. MQTT 连接认证规则</w:t>
      </w:r>
    </w:p>
    <w:p>
      <w:pPr>
        <w:pStyle w:val="FirstParagraph"/>
      </w:pPr>
      <w:r>
        <w:t xml:space="preserve">南向设备采用</w:t>
      </w:r>
      <w:r>
        <w:rPr>
          <w:bCs/>
          <w:b/>
        </w:rPr>
        <w:t xml:space="preserve">一机一密固定鉴权模式</w:t>
      </w:r>
      <w:r>
        <w:t xml:space="preserve">，基于设备三元组生成连接用户名与密码，密码通过 MD5 加密生成，保障凭证安全。</w:t>
      </w:r>
    </w:p>
    <w:bookmarkStart w:id="37" w:name="认证参数"/>
    <w:p>
      <w:pPr>
        <w:pStyle w:val="Heading3"/>
      </w:pPr>
      <w:r>
        <w:t xml:space="preserve">5.1 认证参数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{productKey}&amp;{deviceId}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MD5(clientId &amp; deviceSecret)</w:t>
            </w:r>
          </w:p>
        </w:tc>
      </w:tr>
    </w:tbl>
    <w:bookmarkEnd w:id="37"/>
    <w:bookmarkStart w:id="38" w:name="鉴权说明"/>
    <w:p>
      <w:pPr>
        <w:pStyle w:val="Heading3"/>
      </w:pPr>
      <w:r>
        <w:t xml:space="preserve">5.2 鉴权说明</w:t>
      </w:r>
    </w:p>
    <w:p>
      <w:pPr>
        <w:pStyle w:val="FirstParagraph"/>
      </w:pPr>
      <w:r>
        <w:t xml:space="preserve">将设备唯一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与设备专属</w:t>
      </w:r>
      <w:r>
        <w:t xml:space="preserve"> </w:t>
      </w:r>
      <w:r>
        <w:rPr>
          <w:rStyle w:val="VerbatimChar"/>
        </w:rPr>
        <w:t xml:space="preserve">deviceSecret</w:t>
      </w:r>
      <w:r>
        <w:t xml:space="preserve"> </w:t>
      </w:r>
      <w:r>
        <w:t xml:space="preserve">直接拼接，对拼接结果进行 MD5 加密，加密字符串即为 MQTT 连接密码。</w:t>
      </w:r>
    </w:p>
    <w:p>
      <w:pPr>
        <w:pStyle w:val="BodyText"/>
      </w:pPr>
      <w:r>
        <w:rPr>
          <w:bCs/>
          <w:b/>
        </w:rPr>
        <w:t xml:space="preserve">计算示例：</w:t>
      </w:r>
    </w:p>
    <w:p>
      <w:pPr>
        <w:pStyle w:val="SourceCode"/>
      </w:pPr>
      <w:r>
        <w:rPr>
          <w:rStyle w:val="VerbatimChar"/>
        </w:rPr>
        <w:t xml:space="preserve">clientId = "solexrobot/robot_host/cleanRobotKey&amp;34640564"</w:t>
      </w:r>
      <w:r>
        <w:br/>
      </w:r>
      <w:r>
        <w:rPr>
          <w:rStyle w:val="VerbatimChar"/>
        </w:rPr>
        <w:t xml:space="preserve">deviceSecret = "xxxxxxxxxxxx"</w:t>
      </w:r>
      <w:r>
        <w:br/>
      </w:r>
      <w:r>
        <w:rPr>
          <w:rStyle w:val="VerbatimChar"/>
        </w:rPr>
        <w:t xml:space="preserve">password = MD5("solexrobot/robot_host/cleanRobotKey&amp;34640564xxxxxxxxxxxx")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安全机制"/>
    <w:p>
      <w:pPr>
        <w:pStyle w:val="Heading2"/>
      </w:pPr>
      <w:r>
        <w:t xml:space="preserve">6. 安全机制</w:t>
      </w:r>
    </w:p>
    <w:bookmarkStart w:id="40" w:name="接入安全"/>
    <w:p>
      <w:pPr>
        <w:pStyle w:val="Heading3"/>
      </w:pPr>
      <w:r>
        <w:t xml:space="preserve">6.1 接入安全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安全措施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全局唯一 ClientId 管控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杜绝设备身份伪造，若出现重复 ClientId 连接，平台自动剔除旧连接，保证同一设备仅存在一个有效长连接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一机一密隔离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单设备独立密钥，密钥互不共享、互不通用，单点密钥泄露不影响整体设备安全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白名单准入机制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仅平台完成预注册、纳入白名单的设备可发起 MQTT 连接，未注册、未录入白名单的设备直接拒绝接入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设备隔离权限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设备接入成功后，仅开放当前设备对应的专属通信通道，仅可上报自身状态、接收自身指令，禁止访问、操作其他设备资源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激活状态校验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连接成功仅代表网络连通，设备必须上报合法激活信息，平台校验通过并标记设备为已激活后，方可进行业务通信；未激活设备仅保留基础连接，无业务权限</w:t>
            </w:r>
          </w:p>
        </w:tc>
      </w:tr>
    </w:tbl>
    <w:bookmarkEnd w:id="40"/>
    <w:bookmarkStart w:id="41" w:name="传输安全"/>
    <w:p>
      <w:pPr>
        <w:pStyle w:val="Heading3"/>
      </w:pPr>
      <w:r>
        <w:t xml:space="preserve">6.2 传输安全</w:t>
      </w:r>
    </w:p>
    <w:p>
      <w:pPr>
        <w:pStyle w:val="FirstParagraph"/>
      </w:pPr>
      <w:r>
        <w:rPr>
          <w:bCs/>
          <w:b/>
        </w:rPr>
        <w:t xml:space="preserve">消息体加签校验</w:t>
      </w:r>
      <w:r>
        <w:t xml:space="preserve">：设备上行、下行 MQTT 消息体统一加签，有效防范重放攻击、消息伪造、过期消息复用问题。</w:t>
      </w:r>
    </w:p>
    <w:bookmarkEnd w:id="41"/>
    <w:bookmarkStart w:id="42" w:name="连接安全"/>
    <w:p>
      <w:pPr>
        <w:pStyle w:val="Heading3"/>
      </w:pPr>
      <w:r>
        <w:t xml:space="preserve">6.3 连接安全</w:t>
      </w:r>
    </w:p>
    <w:p>
      <w:pPr>
        <w:pStyle w:val="FirstParagraph"/>
      </w:pPr>
      <w:r>
        <w:rPr>
          <w:bCs/>
          <w:b/>
        </w:rPr>
        <w:t xml:space="preserve">断线自动重连</w:t>
      </w:r>
      <w:r>
        <w:t xml:space="preserve">：设备断网、链路波动后可自动重连，重连时重新执行完整认证流程，保障连接稳定性。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附录"/>
    <w:p>
      <w:pPr>
        <w:pStyle w:val="Heading2"/>
      </w:pPr>
      <w:r>
        <w:t xml:space="preserve">附录</w:t>
      </w:r>
    </w:p>
    <w:bookmarkStart w:id="44" w:name="术语表"/>
    <w:p>
      <w:pPr>
        <w:pStyle w:val="Heading3"/>
      </w:pPr>
      <w:r>
        <w:t xml:space="preserve">术语表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Queuing Telemetry Transport，一种轻量级的发布/订阅消息传输协议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产品唯一标识，用于区分不同产品型号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设备唯一标识，用于区分同一产品下的不同设备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设备专属加密密钥，用于认证加密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客户端全局唯一身份标识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文档版本：v1.0</w:t>
      </w:r>
      <w:r>
        <w:t xml:space="preserve"> </w:t>
      </w:r>
      <w:r>
        <w:rPr>
          <w:iCs/>
          <w:i/>
        </w:rPr>
        <w:t xml:space="preserve">最后更新：2026-06-03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2026-06-03T01:29:02Z</dcterms:created>
  <dcterms:modified xsi:type="dcterms:W3CDTF">2026-06-03T01:29:02Z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