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用 CSMAR 复现三篇 A 股论文：结果、偏差与延长到 2026 年</w:t>
      </w:r>
    </w:p>
    <w:p>
      <w:pPr>
        <w:ind w:left="227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复现对象：</w:t>
      </w:r>
    </w:p>
    <w:p>
      <w:pPr>
        <w:spacing w:after="40"/>
        <w:ind w:left="510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• Liu、Stambaugh、Yuan（2019，JFE），"Size and value in China"（下称 LSY）；</w:t>
      </w:r>
    </w:p>
    <w:p>
      <w:pPr>
        <w:spacing w:after="40"/>
        <w:ind w:left="510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• Allen、Qian、Shan、Zhu（2024，JF），"Dissecting the long-term performance of the Chinese stock market"（下称 Allen）；</w:t>
      </w:r>
    </w:p>
    <w:p>
      <w:pPr>
        <w:spacing w:after="40"/>
        <w:ind w:left="510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• Li、Liu、Liu、Wei（2024，Management Science），"Replicating and digesting anomalies in the Chinese A-share market"（下称 Li）。</w:t>
      </w:r>
    </w:p>
    <w:p>
      <w:pPr>
        <w:ind w:left="227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数据：CSMAR（NYU 订阅），以及少量公开外部数据（Stambaugh 官网 CH 因子、FRED、国家统计局 CPI、global-q.org）。</w:t>
      </w:r>
    </w:p>
    <w:p>
      <w:pPr>
        <w:ind w:left="227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报告日期：2026-10-14。逐个数字的对照在</w:t>
      </w:r>
      <w:r>
        <w:rPr>
          <w:rFonts w:ascii="Menlo" w:hAnsi="Menlo" w:eastAsia="宋体" w:cs="Menlo"/>
          <w:color w:val="auto"/>
          <w:sz w:val="19"/>
        </w:rPr>
        <w:t>同一文件夹的「对照表」里</w:t>
      </w:r>
      <w:r>
        <w:rPr>
          <w:rFonts w:ascii="Times New Roman" w:hAnsi="Times New Roman" w:eastAsia="宋体" w:cs="Times New Roman"/>
          <w:color w:val="auto"/>
        </w:rPr>
        <w:t>，每个未通过项的追查过程在</w:t>
      </w:r>
      <w:r>
        <w:rPr>
          <w:rFonts w:ascii="Menlo" w:hAnsi="Menlo" w:eastAsia="宋体" w:cs="Menlo"/>
          <w:color w:val="auto"/>
          <w:sz w:val="19"/>
        </w:rPr>
        <w:t>项目的 docs/deviation_log.md</w:t>
      </w:r>
      <w:r>
        <w:rPr>
          <w:rFonts w:ascii="Times New Roman" w:hAnsi="Times New Roman" w:eastAsia="宋体" w:cs="Times New Roman"/>
          <w:color w:val="auto"/>
        </w:rPr>
        <w:t>。</w:t>
      </w:r>
    </w:p>
    <w:p>
      <w:pPr>
        <w:pBdr>
          <w:bottom w:val="single" w:color="999999" w:sz="6" w:space="1"/>
        </w:pBdr>
        <w:rPr>
          <w:color w:val="auto"/>
        </w:rPr>
      </w:pPr>
    </w:p>
    <w:p w:rsidR="00TOC000">
      <w:pPr>
        <w:tabs>
          <w:tab w:val="right" w:leader="dot" w:pos="9072"/>
        </w:tabs>
        <w:spacing w:after="160" w:line="300" w:lineRule="auto"/>
        <w:ind w:left="0"/>
      </w:pPr>
      <w:r>
        <w:rPr>
          <w:rFonts w:ascii="Times New Roman" w:hAnsi="Times New Roman" w:eastAsia="宋体"/>
          <w:b/>
          <w:color w:val="1F3A5F"/>
          <w:sz w:val="32"/>
        </w:rPr>
        <w:t xml:space="preserve">目　录</w:t>
      </w:r>
    </w:p>
    <w:p w:rsidR="00TOC000">
      <w:pPr>
        <w:tabs>
          <w:tab w:val="right" w:leader="dot" w:pos="9072"/>
        </w:tabs>
        <w:spacing w:after="60" w:line="300" w:lineRule="auto"/>
        <w:ind w:left="0"/>
      </w:pPr>
      <w:r>
        <w:rPr>
          <w:rFonts w:ascii="Times New Roman" w:hAnsi="Times New Roman" w:eastAsia="宋体"/>
          <w:sz w:val="21"/>
        </w:rPr>
        <w:fldChar w:fldCharType="begin"/>
      </w:r>
      <w:r>
        <w:rPr>
          <w:rFonts w:ascii="Times New Roman" w:hAnsi="Times New Roman" w:eastAsia="宋体"/>
          <w:sz w:val="21"/>
        </w:rPr>
        <w:instrText xml:space="preserve"> TOC \o "2-3" \h \z \u </w:instrText>
      </w:r>
      <w:r>
        <w:rPr>
          <w:rFonts w:ascii="Times New Roman" w:hAnsi="Times New Roman" w:eastAsia="宋体"/>
          <w:sz w:val="21"/>
        </w:rPr>
        <w:fldChar w:fldCharType="separate"/>
      </w:r>
      <w:hyperlink w:anchor="_TocReport001" w:history="1">
        <w:r>
          <w:rPr>
            <w:rFonts w:ascii="Times New Roman" w:hAnsi="Times New Roman" w:eastAsia="宋体"/>
            <w:b/>
            <w:sz w:val="22"/>
          </w:rPr>
          <w:t xml:space="preserve">0. 结论一页</w:t>
        </w:r>
        <w:r>
          <w:rPr>
            <w:rFonts w:ascii="Times New Roman" w:hAnsi="Times New Roman" w:eastAsia="宋体"/>
            <w:sz w:val="21"/>
          </w:rPr>
          <w:tab/>
        </w:r>
        <w:r>
          <w:rPr>
            <w:rFonts w:ascii="Times New Roman" w:hAnsi="Times New Roman" w:eastAsia="宋体"/>
            <w:sz w:val="21"/>
          </w:rPr>
          <w:fldChar w:fldCharType="begin"/>
        </w:r>
        <w:r>
          <w:rPr>
            <w:rFonts w:ascii="Times New Roman" w:hAnsi="Times New Roman" w:eastAsia="宋体"/>
            <w:sz w:val="21"/>
          </w:rPr>
          <w:instrText xml:space="preserve"> PAGEREF _TocReport001 \h </w:instrText>
        </w:r>
        <w:r>
          <w:rPr>
            <w:rFonts w:ascii="Times New Roman" w:hAnsi="Times New Roman" w:eastAsia="宋体"/>
            <w:sz w:val="21"/>
          </w:rPr>
          <w:fldChar w:fldCharType="separate"/>
        </w:r>
        <w:r>
          <w:rPr>
            <w:rFonts w:ascii="Times New Roman" w:hAnsi="Times New Roman" w:eastAsia="宋体"/>
            <w:sz w:val="21"/>
          </w:rPr>
          <w:t xml:space="preserve"/>
        </w:r>
        <w:r>
          <w:rPr>
            <w:rFonts w:ascii="Times New Roman" w:hAnsi="Times New Roman" w:eastAsia="宋体"/>
            <w:sz w:val="21"/>
          </w:rPr>
          <w:fldChar w:fldCharType="end"/>
        </w:r>
      </w:hyperlink>
    </w:p>
    <w:p w:rsidR="00TOC000">
      <w:pPr>
        <w:tabs>
          <w:tab w:val="right" w:leader="dot" w:pos="9072"/>
        </w:tabs>
        <w:spacing w:after="60" w:line="300" w:lineRule="auto"/>
        <w:ind w:left="0"/>
      </w:pPr>
      <w:hyperlink w:anchor="_TocReport002" w:history="1">
        <w:r>
          <w:rPr>
            <w:rFonts w:ascii="Times New Roman" w:hAnsi="Times New Roman" w:eastAsia="宋体"/>
            <w:b/>
            <w:sz w:val="22"/>
          </w:rPr>
          <w:t xml:space="preserve">1. 做法要点</w:t>
        </w:r>
        <w:r>
          <w:rPr>
            <w:rFonts w:ascii="Times New Roman" w:hAnsi="Times New Roman" w:eastAsia="宋体"/>
            <w:sz w:val="21"/>
          </w:rPr>
          <w:tab/>
        </w:r>
        <w:r>
          <w:rPr>
            <w:rFonts w:ascii="Times New Roman" w:hAnsi="Times New Roman" w:eastAsia="宋体"/>
            <w:sz w:val="21"/>
          </w:rPr>
          <w:fldChar w:fldCharType="begin"/>
        </w:r>
        <w:r>
          <w:rPr>
            <w:rFonts w:ascii="Times New Roman" w:hAnsi="Times New Roman" w:eastAsia="宋体"/>
            <w:sz w:val="21"/>
          </w:rPr>
          <w:instrText xml:space="preserve"> PAGEREF _TocReport002 \h </w:instrText>
        </w:r>
        <w:r>
          <w:rPr>
            <w:rFonts w:ascii="Times New Roman" w:hAnsi="Times New Roman" w:eastAsia="宋体"/>
            <w:sz w:val="21"/>
          </w:rPr>
          <w:fldChar w:fldCharType="separate"/>
        </w:r>
        <w:r>
          <w:rPr>
            <w:rFonts w:ascii="Times New Roman" w:hAnsi="Times New Roman" w:eastAsia="宋体"/>
            <w:sz w:val="21"/>
          </w:rPr>
          <w:t xml:space="preserve"/>
        </w:r>
        <w:r>
          <w:rPr>
            <w:rFonts w:ascii="Times New Roman" w:hAnsi="Times New Roman" w:eastAsia="宋体"/>
            <w:sz w:val="21"/>
          </w:rPr>
          <w:fldChar w:fldCharType="end"/>
        </w:r>
      </w:hyperlink>
    </w:p>
    <w:p w:rsidR="00TOC000">
      <w:pPr>
        <w:tabs>
          <w:tab w:val="right" w:leader="dot" w:pos="9072"/>
        </w:tabs>
        <w:spacing w:after="60" w:line="300" w:lineRule="auto"/>
        <w:ind w:left="0"/>
      </w:pPr>
      <w:hyperlink w:anchor="_TocReport003" w:history="1">
        <w:r>
          <w:rPr>
            <w:rFonts w:ascii="Times New Roman" w:hAnsi="Times New Roman" w:eastAsia="宋体"/>
            <w:b/>
            <w:sz w:val="22"/>
          </w:rPr>
          <w:t xml:space="preserve">2. LSY（2019）：Size and value in China</w:t>
        </w:r>
        <w:r>
          <w:rPr>
            <w:rFonts w:ascii="Times New Roman" w:hAnsi="Times New Roman" w:eastAsia="宋体"/>
            <w:sz w:val="21"/>
          </w:rPr>
          <w:tab/>
        </w:r>
        <w:r>
          <w:rPr>
            <w:rFonts w:ascii="Times New Roman" w:hAnsi="Times New Roman" w:eastAsia="宋体"/>
            <w:sz w:val="21"/>
          </w:rPr>
          <w:fldChar w:fldCharType="begin"/>
        </w:r>
        <w:r>
          <w:rPr>
            <w:rFonts w:ascii="Times New Roman" w:hAnsi="Times New Roman" w:eastAsia="宋体"/>
            <w:sz w:val="21"/>
          </w:rPr>
          <w:instrText xml:space="preserve"> PAGEREF _TocReport003 \h </w:instrText>
        </w:r>
        <w:r>
          <w:rPr>
            <w:rFonts w:ascii="Times New Roman" w:hAnsi="Times New Roman" w:eastAsia="宋体"/>
            <w:sz w:val="21"/>
          </w:rPr>
          <w:fldChar w:fldCharType="separate"/>
        </w:r>
        <w:r>
          <w:rPr>
            <w:rFonts w:ascii="Times New Roman" w:hAnsi="Times New Roman" w:eastAsia="宋体"/>
            <w:sz w:val="21"/>
          </w:rPr>
          <w:t xml:space="preserve"/>
        </w:r>
        <w:r>
          <w:rPr>
            <w:rFonts w:ascii="Times New Roman" w:hAnsi="Times New Roman" w:eastAsia="宋体"/>
            <w:sz w:val="21"/>
          </w:rPr>
          <w:fldChar w:fldCharType="end"/>
        </w:r>
      </w:hyperlink>
    </w:p>
    <w:p w:rsidR="00TOC000">
      <w:pPr>
        <w:tabs>
          <w:tab w:val="right" w:leader="dot" w:pos="9072"/>
        </w:tabs>
        <w:spacing w:after="60" w:line="300" w:lineRule="auto"/>
        <w:ind w:left="425"/>
      </w:pPr>
      <w:hyperlink w:anchor="_TocReport004" w:history="1">
        <w:r>
          <w:rPr>
            <w:rFonts w:ascii="Times New Roman" w:hAnsi="Times New Roman" w:eastAsia="宋体"/>
            <w:sz w:val="21"/>
          </w:rPr>
          <w:t xml:space="preserve">2.1 我们 vs 论文</w:t>
        </w:r>
        <w:r>
          <w:rPr>
            <w:rFonts w:ascii="Times New Roman" w:hAnsi="Times New Roman" w:eastAsia="宋体"/>
            <w:sz w:val="21"/>
          </w:rPr>
          <w:tab/>
        </w:r>
        <w:r>
          <w:rPr>
            <w:rFonts w:ascii="Times New Roman" w:hAnsi="Times New Roman" w:eastAsia="宋体"/>
            <w:sz w:val="21"/>
          </w:rPr>
          <w:fldChar w:fldCharType="begin"/>
        </w:r>
        <w:r>
          <w:rPr>
            <w:rFonts w:ascii="Times New Roman" w:hAnsi="Times New Roman" w:eastAsia="宋体"/>
            <w:sz w:val="21"/>
          </w:rPr>
          <w:instrText xml:space="preserve"> PAGEREF _TocReport004 \h </w:instrText>
        </w:r>
        <w:r>
          <w:rPr>
            <w:rFonts w:ascii="Times New Roman" w:hAnsi="Times New Roman" w:eastAsia="宋体"/>
            <w:sz w:val="21"/>
          </w:rPr>
          <w:fldChar w:fldCharType="separate"/>
        </w:r>
        <w:r>
          <w:rPr>
            <w:rFonts w:ascii="Times New Roman" w:hAnsi="Times New Roman" w:eastAsia="宋体"/>
            <w:sz w:val="21"/>
          </w:rPr>
          <w:t xml:space="preserve"/>
        </w:r>
        <w:r>
          <w:rPr>
            <w:rFonts w:ascii="Times New Roman" w:hAnsi="Times New Roman" w:eastAsia="宋体"/>
            <w:sz w:val="21"/>
          </w:rPr>
          <w:fldChar w:fldCharType="end"/>
        </w:r>
      </w:hyperlink>
    </w:p>
    <w:p w:rsidR="00TOC000">
      <w:pPr>
        <w:tabs>
          <w:tab w:val="right" w:leader="dot" w:pos="9072"/>
        </w:tabs>
        <w:spacing w:after="60" w:line="300" w:lineRule="auto"/>
        <w:ind w:left="425"/>
      </w:pPr>
      <w:hyperlink w:anchor="_TocReport005" w:history="1">
        <w:r>
          <w:rPr>
            <w:rFonts w:ascii="Times New Roman" w:hAnsi="Times New Roman" w:eastAsia="宋体"/>
            <w:sz w:val="21"/>
          </w:rPr>
          <w:t xml:space="preserve">2.2 主要偏差及原因</w:t>
        </w:r>
        <w:r>
          <w:rPr>
            <w:rFonts w:ascii="Times New Roman" w:hAnsi="Times New Roman" w:eastAsia="宋体"/>
            <w:sz w:val="21"/>
          </w:rPr>
          <w:tab/>
        </w:r>
        <w:r>
          <w:rPr>
            <w:rFonts w:ascii="Times New Roman" w:hAnsi="Times New Roman" w:eastAsia="宋体"/>
            <w:sz w:val="21"/>
          </w:rPr>
          <w:fldChar w:fldCharType="begin"/>
        </w:r>
        <w:r>
          <w:rPr>
            <w:rFonts w:ascii="Times New Roman" w:hAnsi="Times New Roman" w:eastAsia="宋体"/>
            <w:sz w:val="21"/>
          </w:rPr>
          <w:instrText xml:space="preserve"> PAGEREF _TocReport005 \h </w:instrText>
        </w:r>
        <w:r>
          <w:rPr>
            <w:rFonts w:ascii="Times New Roman" w:hAnsi="Times New Roman" w:eastAsia="宋体"/>
            <w:sz w:val="21"/>
          </w:rPr>
          <w:fldChar w:fldCharType="separate"/>
        </w:r>
        <w:r>
          <w:rPr>
            <w:rFonts w:ascii="Times New Roman" w:hAnsi="Times New Roman" w:eastAsia="宋体"/>
            <w:sz w:val="21"/>
          </w:rPr>
          <w:t xml:space="preserve"/>
        </w:r>
        <w:r>
          <w:rPr>
            <w:rFonts w:ascii="Times New Roman" w:hAnsi="Times New Roman" w:eastAsia="宋体"/>
            <w:sz w:val="21"/>
          </w:rPr>
          <w:fldChar w:fldCharType="end"/>
        </w:r>
      </w:hyperlink>
    </w:p>
    <w:p w:rsidR="00TOC000">
      <w:pPr>
        <w:tabs>
          <w:tab w:val="right" w:leader="dot" w:pos="9072"/>
        </w:tabs>
        <w:spacing w:after="60" w:line="300" w:lineRule="auto"/>
        <w:ind w:left="425"/>
      </w:pPr>
      <w:hyperlink w:anchor="_TocReport006" w:history="1">
        <w:r>
          <w:rPr>
            <w:rFonts w:ascii="Times New Roman" w:hAnsi="Times New Roman" w:eastAsia="宋体"/>
            <w:sz w:val="21"/>
          </w:rPr>
          <w:t xml:space="preserve">2.3 图</w:t>
        </w:r>
        <w:r>
          <w:rPr>
            <w:rFonts w:ascii="Times New Roman" w:hAnsi="Times New Roman" w:eastAsia="宋体"/>
            <w:sz w:val="21"/>
          </w:rPr>
          <w:tab/>
        </w:r>
        <w:r>
          <w:rPr>
            <w:rFonts w:ascii="Times New Roman" w:hAnsi="Times New Roman" w:eastAsia="宋体"/>
            <w:sz w:val="21"/>
          </w:rPr>
          <w:fldChar w:fldCharType="begin"/>
        </w:r>
        <w:r>
          <w:rPr>
            <w:rFonts w:ascii="Times New Roman" w:hAnsi="Times New Roman" w:eastAsia="宋体"/>
            <w:sz w:val="21"/>
          </w:rPr>
          <w:instrText xml:space="preserve"> PAGEREF _TocReport006 \h </w:instrText>
        </w:r>
        <w:r>
          <w:rPr>
            <w:rFonts w:ascii="Times New Roman" w:hAnsi="Times New Roman" w:eastAsia="宋体"/>
            <w:sz w:val="21"/>
          </w:rPr>
          <w:fldChar w:fldCharType="separate"/>
        </w:r>
        <w:r>
          <w:rPr>
            <w:rFonts w:ascii="Times New Roman" w:hAnsi="Times New Roman" w:eastAsia="宋体"/>
            <w:sz w:val="21"/>
          </w:rPr>
          <w:t xml:space="preserve"/>
        </w:r>
        <w:r>
          <w:rPr>
            <w:rFonts w:ascii="Times New Roman" w:hAnsi="Times New Roman" w:eastAsia="宋体"/>
            <w:sz w:val="21"/>
          </w:rPr>
          <w:fldChar w:fldCharType="end"/>
        </w:r>
      </w:hyperlink>
    </w:p>
    <w:p w:rsidR="00TOC000">
      <w:pPr>
        <w:tabs>
          <w:tab w:val="right" w:leader="dot" w:pos="9072"/>
        </w:tabs>
        <w:spacing w:after="60" w:line="300" w:lineRule="auto"/>
        <w:ind w:left="425"/>
      </w:pPr>
      <w:hyperlink w:anchor="_TocReport007" w:history="1">
        <w:r>
          <w:rPr>
            <w:rFonts w:ascii="Times New Roman" w:hAnsi="Times New Roman" w:eastAsia="宋体"/>
            <w:sz w:val="21"/>
          </w:rPr>
          <w:t xml:space="preserve">2.4 延长到 2026 年</w:t>
        </w:r>
        <w:r>
          <w:rPr>
            <w:rFonts w:ascii="Times New Roman" w:hAnsi="Times New Roman" w:eastAsia="宋体"/>
            <w:sz w:val="21"/>
          </w:rPr>
          <w:tab/>
        </w:r>
        <w:r>
          <w:rPr>
            <w:rFonts w:ascii="Times New Roman" w:hAnsi="Times New Roman" w:eastAsia="宋体"/>
            <w:sz w:val="21"/>
          </w:rPr>
          <w:fldChar w:fldCharType="begin"/>
        </w:r>
        <w:r>
          <w:rPr>
            <w:rFonts w:ascii="Times New Roman" w:hAnsi="Times New Roman" w:eastAsia="宋体"/>
            <w:sz w:val="21"/>
          </w:rPr>
          <w:instrText xml:space="preserve"> PAGEREF _TocReport007 \h </w:instrText>
        </w:r>
        <w:r>
          <w:rPr>
            <w:rFonts w:ascii="Times New Roman" w:hAnsi="Times New Roman" w:eastAsia="宋体"/>
            <w:sz w:val="21"/>
          </w:rPr>
          <w:fldChar w:fldCharType="separate"/>
        </w:r>
        <w:r>
          <w:rPr>
            <w:rFonts w:ascii="Times New Roman" w:hAnsi="Times New Roman" w:eastAsia="宋体"/>
            <w:sz w:val="21"/>
          </w:rPr>
          <w:t xml:space="preserve"/>
        </w:r>
        <w:r>
          <w:rPr>
            <w:rFonts w:ascii="Times New Roman" w:hAnsi="Times New Roman" w:eastAsia="宋体"/>
            <w:sz w:val="21"/>
          </w:rPr>
          <w:fldChar w:fldCharType="end"/>
        </w:r>
      </w:hyperlink>
    </w:p>
    <w:p w:rsidR="00TOC000">
      <w:pPr>
        <w:tabs>
          <w:tab w:val="right" w:leader="dot" w:pos="9072"/>
        </w:tabs>
        <w:spacing w:after="60" w:line="300" w:lineRule="auto"/>
        <w:ind w:left="0"/>
      </w:pPr>
      <w:hyperlink w:anchor="_TocReport008" w:history="1">
        <w:r>
          <w:rPr>
            <w:rFonts w:ascii="Times New Roman" w:hAnsi="Times New Roman" w:eastAsia="宋体"/>
            <w:b/>
            <w:sz w:val="22"/>
          </w:rPr>
          <w:t xml:space="preserve">3. Allen（2024）：Dissecting the long-term performance of the Chinese stock market</w:t>
        </w:r>
        <w:r>
          <w:rPr>
            <w:rFonts w:ascii="Times New Roman" w:hAnsi="Times New Roman" w:eastAsia="宋体"/>
            <w:sz w:val="21"/>
          </w:rPr>
          <w:tab/>
        </w:r>
        <w:r>
          <w:rPr>
            <w:rFonts w:ascii="Times New Roman" w:hAnsi="Times New Roman" w:eastAsia="宋体"/>
            <w:sz w:val="21"/>
          </w:rPr>
          <w:fldChar w:fldCharType="begin"/>
        </w:r>
        <w:r>
          <w:rPr>
            <w:rFonts w:ascii="Times New Roman" w:hAnsi="Times New Roman" w:eastAsia="宋体"/>
            <w:sz w:val="21"/>
          </w:rPr>
          <w:instrText xml:space="preserve"> PAGEREF _TocReport008 \h </w:instrText>
        </w:r>
        <w:r>
          <w:rPr>
            <w:rFonts w:ascii="Times New Roman" w:hAnsi="Times New Roman" w:eastAsia="宋体"/>
            <w:sz w:val="21"/>
          </w:rPr>
          <w:fldChar w:fldCharType="separate"/>
        </w:r>
        <w:r>
          <w:rPr>
            <w:rFonts w:ascii="Times New Roman" w:hAnsi="Times New Roman" w:eastAsia="宋体"/>
            <w:sz w:val="21"/>
          </w:rPr>
          <w:t xml:space="preserve"/>
        </w:r>
        <w:r>
          <w:rPr>
            <w:rFonts w:ascii="Times New Roman" w:hAnsi="Times New Roman" w:eastAsia="宋体"/>
            <w:sz w:val="21"/>
          </w:rPr>
          <w:fldChar w:fldCharType="end"/>
        </w:r>
      </w:hyperlink>
    </w:p>
    <w:p w:rsidR="00TOC000">
      <w:pPr>
        <w:tabs>
          <w:tab w:val="right" w:leader="dot" w:pos="9072"/>
        </w:tabs>
        <w:spacing w:after="60" w:line="300" w:lineRule="auto"/>
        <w:ind w:left="425"/>
      </w:pPr>
      <w:hyperlink w:anchor="_TocReport009" w:history="1">
        <w:r>
          <w:rPr>
            <w:rFonts w:ascii="Times New Roman" w:hAnsi="Times New Roman" w:eastAsia="宋体"/>
            <w:sz w:val="21"/>
          </w:rPr>
          <w:t xml:space="preserve">3.1 我们 vs 论文</w:t>
        </w:r>
        <w:r>
          <w:rPr>
            <w:rFonts w:ascii="Times New Roman" w:hAnsi="Times New Roman" w:eastAsia="宋体"/>
            <w:sz w:val="21"/>
          </w:rPr>
          <w:tab/>
        </w:r>
        <w:r>
          <w:rPr>
            <w:rFonts w:ascii="Times New Roman" w:hAnsi="Times New Roman" w:eastAsia="宋体"/>
            <w:sz w:val="21"/>
          </w:rPr>
          <w:fldChar w:fldCharType="begin"/>
        </w:r>
        <w:r>
          <w:rPr>
            <w:rFonts w:ascii="Times New Roman" w:hAnsi="Times New Roman" w:eastAsia="宋体"/>
            <w:sz w:val="21"/>
          </w:rPr>
          <w:instrText xml:space="preserve"> PAGEREF _TocReport009 \h </w:instrText>
        </w:r>
        <w:r>
          <w:rPr>
            <w:rFonts w:ascii="Times New Roman" w:hAnsi="Times New Roman" w:eastAsia="宋体"/>
            <w:sz w:val="21"/>
          </w:rPr>
          <w:fldChar w:fldCharType="separate"/>
        </w:r>
        <w:r>
          <w:rPr>
            <w:rFonts w:ascii="Times New Roman" w:hAnsi="Times New Roman" w:eastAsia="宋体"/>
            <w:sz w:val="21"/>
          </w:rPr>
          <w:t xml:space="preserve"/>
        </w:r>
        <w:r>
          <w:rPr>
            <w:rFonts w:ascii="Times New Roman" w:hAnsi="Times New Roman" w:eastAsia="宋体"/>
            <w:sz w:val="21"/>
          </w:rPr>
          <w:fldChar w:fldCharType="end"/>
        </w:r>
      </w:hyperlink>
    </w:p>
    <w:p w:rsidR="00TOC000">
      <w:pPr>
        <w:tabs>
          <w:tab w:val="right" w:leader="dot" w:pos="9072"/>
        </w:tabs>
        <w:spacing w:after="60" w:line="300" w:lineRule="auto"/>
        <w:ind w:left="425"/>
      </w:pPr>
      <w:hyperlink w:anchor="_TocReport010" w:history="1">
        <w:r>
          <w:rPr>
            <w:rFonts w:ascii="Times New Roman" w:hAnsi="Times New Roman" w:eastAsia="宋体"/>
            <w:sz w:val="21"/>
          </w:rPr>
          <w:t xml:space="preserve">3.2 主要偏差及原因</w:t>
        </w:r>
        <w:r>
          <w:rPr>
            <w:rFonts w:ascii="Times New Roman" w:hAnsi="Times New Roman" w:eastAsia="宋体"/>
            <w:sz w:val="21"/>
          </w:rPr>
          <w:tab/>
        </w:r>
        <w:r>
          <w:rPr>
            <w:rFonts w:ascii="Times New Roman" w:hAnsi="Times New Roman" w:eastAsia="宋体"/>
            <w:sz w:val="21"/>
          </w:rPr>
          <w:fldChar w:fldCharType="begin"/>
        </w:r>
        <w:r>
          <w:rPr>
            <w:rFonts w:ascii="Times New Roman" w:hAnsi="Times New Roman" w:eastAsia="宋体"/>
            <w:sz w:val="21"/>
          </w:rPr>
          <w:instrText xml:space="preserve"> PAGEREF _TocReport010 \h </w:instrText>
        </w:r>
        <w:r>
          <w:rPr>
            <w:rFonts w:ascii="Times New Roman" w:hAnsi="Times New Roman" w:eastAsia="宋体"/>
            <w:sz w:val="21"/>
          </w:rPr>
          <w:fldChar w:fldCharType="separate"/>
        </w:r>
        <w:r>
          <w:rPr>
            <w:rFonts w:ascii="Times New Roman" w:hAnsi="Times New Roman" w:eastAsia="宋体"/>
            <w:sz w:val="21"/>
          </w:rPr>
          <w:t xml:space="preserve"/>
        </w:r>
        <w:r>
          <w:rPr>
            <w:rFonts w:ascii="Times New Roman" w:hAnsi="Times New Roman" w:eastAsia="宋体"/>
            <w:sz w:val="21"/>
          </w:rPr>
          <w:fldChar w:fldCharType="end"/>
        </w:r>
      </w:hyperlink>
    </w:p>
    <w:p w:rsidR="00TOC000">
      <w:pPr>
        <w:tabs>
          <w:tab w:val="right" w:leader="dot" w:pos="9072"/>
        </w:tabs>
        <w:spacing w:after="60" w:line="300" w:lineRule="auto"/>
        <w:ind w:left="425"/>
      </w:pPr>
      <w:hyperlink w:anchor="_TocReport011" w:history="1">
        <w:r>
          <w:rPr>
            <w:rFonts w:ascii="Times New Roman" w:hAnsi="Times New Roman" w:eastAsia="宋体"/>
            <w:sz w:val="21"/>
          </w:rPr>
          <w:t xml:space="preserve">3.3 图</w:t>
        </w:r>
        <w:r>
          <w:rPr>
            <w:rFonts w:ascii="Times New Roman" w:hAnsi="Times New Roman" w:eastAsia="宋体"/>
            <w:sz w:val="21"/>
          </w:rPr>
          <w:tab/>
        </w:r>
        <w:r>
          <w:rPr>
            <w:rFonts w:ascii="Times New Roman" w:hAnsi="Times New Roman" w:eastAsia="宋体"/>
            <w:sz w:val="21"/>
          </w:rPr>
          <w:fldChar w:fldCharType="begin"/>
        </w:r>
        <w:r>
          <w:rPr>
            <w:rFonts w:ascii="Times New Roman" w:hAnsi="Times New Roman" w:eastAsia="宋体"/>
            <w:sz w:val="21"/>
          </w:rPr>
          <w:instrText xml:space="preserve"> PAGEREF _TocReport011 \h </w:instrText>
        </w:r>
        <w:r>
          <w:rPr>
            <w:rFonts w:ascii="Times New Roman" w:hAnsi="Times New Roman" w:eastAsia="宋体"/>
            <w:sz w:val="21"/>
          </w:rPr>
          <w:fldChar w:fldCharType="separate"/>
        </w:r>
        <w:r>
          <w:rPr>
            <w:rFonts w:ascii="Times New Roman" w:hAnsi="Times New Roman" w:eastAsia="宋体"/>
            <w:sz w:val="21"/>
          </w:rPr>
          <w:t xml:space="preserve"/>
        </w:r>
        <w:r>
          <w:rPr>
            <w:rFonts w:ascii="Times New Roman" w:hAnsi="Times New Roman" w:eastAsia="宋体"/>
            <w:sz w:val="21"/>
          </w:rPr>
          <w:fldChar w:fldCharType="end"/>
        </w:r>
      </w:hyperlink>
    </w:p>
    <w:p w:rsidR="00TOC000">
      <w:pPr>
        <w:tabs>
          <w:tab w:val="right" w:leader="dot" w:pos="9072"/>
        </w:tabs>
        <w:spacing w:after="60" w:line="300" w:lineRule="auto"/>
        <w:ind w:left="425"/>
      </w:pPr>
      <w:hyperlink w:anchor="_TocReport012" w:history="1">
        <w:r>
          <w:rPr>
            <w:rFonts w:ascii="Times New Roman" w:hAnsi="Times New Roman" w:eastAsia="宋体"/>
            <w:sz w:val="21"/>
          </w:rPr>
          <w:t xml:space="preserve">3.4 延长到 2025 年</w:t>
        </w:r>
        <w:r>
          <w:rPr>
            <w:rFonts w:ascii="Times New Roman" w:hAnsi="Times New Roman" w:eastAsia="宋体"/>
            <w:sz w:val="21"/>
          </w:rPr>
          <w:tab/>
        </w:r>
        <w:r>
          <w:rPr>
            <w:rFonts w:ascii="Times New Roman" w:hAnsi="Times New Roman" w:eastAsia="宋体"/>
            <w:sz w:val="21"/>
          </w:rPr>
          <w:fldChar w:fldCharType="begin"/>
        </w:r>
        <w:r>
          <w:rPr>
            <w:rFonts w:ascii="Times New Roman" w:hAnsi="Times New Roman" w:eastAsia="宋体"/>
            <w:sz w:val="21"/>
          </w:rPr>
          <w:instrText xml:space="preserve"> PAGEREF _TocReport012 \h </w:instrText>
        </w:r>
        <w:r>
          <w:rPr>
            <w:rFonts w:ascii="Times New Roman" w:hAnsi="Times New Roman" w:eastAsia="宋体"/>
            <w:sz w:val="21"/>
          </w:rPr>
          <w:fldChar w:fldCharType="separate"/>
        </w:r>
        <w:r>
          <w:rPr>
            <w:rFonts w:ascii="Times New Roman" w:hAnsi="Times New Roman" w:eastAsia="宋体"/>
            <w:sz w:val="21"/>
          </w:rPr>
          <w:t xml:space="preserve"/>
        </w:r>
        <w:r>
          <w:rPr>
            <w:rFonts w:ascii="Times New Roman" w:hAnsi="Times New Roman" w:eastAsia="宋体"/>
            <w:sz w:val="21"/>
          </w:rPr>
          <w:fldChar w:fldCharType="end"/>
        </w:r>
      </w:hyperlink>
    </w:p>
    <w:p w:rsidR="00TOC000">
      <w:pPr>
        <w:tabs>
          <w:tab w:val="right" w:leader="dot" w:pos="9072"/>
        </w:tabs>
        <w:spacing w:after="60" w:line="300" w:lineRule="auto"/>
        <w:ind w:left="0"/>
      </w:pPr>
      <w:hyperlink w:anchor="_TocReport013" w:history="1">
        <w:r>
          <w:rPr>
            <w:rFonts w:ascii="Times New Roman" w:hAnsi="Times New Roman" w:eastAsia="宋体"/>
            <w:b/>
            <w:sz w:val="22"/>
          </w:rPr>
          <w:t xml:space="preserve">4. Li（2024）：Replicating and digesting anomalies in the Chinese A-share market</w:t>
        </w:r>
        <w:r>
          <w:rPr>
            <w:rFonts w:ascii="Times New Roman" w:hAnsi="Times New Roman" w:eastAsia="宋体"/>
            <w:sz w:val="21"/>
          </w:rPr>
          <w:tab/>
        </w:r>
        <w:r>
          <w:rPr>
            <w:rFonts w:ascii="Times New Roman" w:hAnsi="Times New Roman" w:eastAsia="宋体"/>
            <w:sz w:val="21"/>
          </w:rPr>
          <w:fldChar w:fldCharType="begin"/>
        </w:r>
        <w:r>
          <w:rPr>
            <w:rFonts w:ascii="Times New Roman" w:hAnsi="Times New Roman" w:eastAsia="宋体"/>
            <w:sz w:val="21"/>
          </w:rPr>
          <w:instrText xml:space="preserve"> PAGEREF _TocReport013 \h </w:instrText>
        </w:r>
        <w:r>
          <w:rPr>
            <w:rFonts w:ascii="Times New Roman" w:hAnsi="Times New Roman" w:eastAsia="宋体"/>
            <w:sz w:val="21"/>
          </w:rPr>
          <w:fldChar w:fldCharType="separate"/>
        </w:r>
        <w:r>
          <w:rPr>
            <w:rFonts w:ascii="Times New Roman" w:hAnsi="Times New Roman" w:eastAsia="宋体"/>
            <w:sz w:val="21"/>
          </w:rPr>
          <w:t xml:space="preserve"/>
        </w:r>
        <w:r>
          <w:rPr>
            <w:rFonts w:ascii="Times New Roman" w:hAnsi="Times New Roman" w:eastAsia="宋体"/>
            <w:sz w:val="21"/>
          </w:rPr>
          <w:fldChar w:fldCharType="end"/>
        </w:r>
      </w:hyperlink>
    </w:p>
    <w:p w:rsidR="00TOC000">
      <w:pPr>
        <w:tabs>
          <w:tab w:val="right" w:leader="dot" w:pos="9072"/>
        </w:tabs>
        <w:spacing w:after="60" w:line="300" w:lineRule="auto"/>
        <w:ind w:left="425"/>
      </w:pPr>
      <w:hyperlink w:anchor="_TocReport014" w:history="1">
        <w:r>
          <w:rPr>
            <w:rFonts w:ascii="Times New Roman" w:hAnsi="Times New Roman" w:eastAsia="宋体"/>
            <w:sz w:val="21"/>
          </w:rPr>
          <w:t xml:space="preserve">4.1 我们 vs 论文</w:t>
        </w:r>
        <w:r>
          <w:rPr>
            <w:rFonts w:ascii="Times New Roman" w:hAnsi="Times New Roman" w:eastAsia="宋体"/>
            <w:sz w:val="21"/>
          </w:rPr>
          <w:tab/>
        </w:r>
        <w:r>
          <w:rPr>
            <w:rFonts w:ascii="Times New Roman" w:hAnsi="Times New Roman" w:eastAsia="宋体"/>
            <w:sz w:val="21"/>
          </w:rPr>
          <w:fldChar w:fldCharType="begin"/>
        </w:r>
        <w:r>
          <w:rPr>
            <w:rFonts w:ascii="Times New Roman" w:hAnsi="Times New Roman" w:eastAsia="宋体"/>
            <w:sz w:val="21"/>
          </w:rPr>
          <w:instrText xml:space="preserve"> PAGEREF _TocReport014 \h </w:instrText>
        </w:r>
        <w:r>
          <w:rPr>
            <w:rFonts w:ascii="Times New Roman" w:hAnsi="Times New Roman" w:eastAsia="宋体"/>
            <w:sz w:val="21"/>
          </w:rPr>
          <w:fldChar w:fldCharType="separate"/>
        </w:r>
        <w:r>
          <w:rPr>
            <w:rFonts w:ascii="Times New Roman" w:hAnsi="Times New Roman" w:eastAsia="宋体"/>
            <w:sz w:val="21"/>
          </w:rPr>
          <w:t xml:space="preserve"/>
        </w:r>
        <w:r>
          <w:rPr>
            <w:rFonts w:ascii="Times New Roman" w:hAnsi="Times New Roman" w:eastAsia="宋体"/>
            <w:sz w:val="21"/>
          </w:rPr>
          <w:fldChar w:fldCharType="end"/>
        </w:r>
      </w:hyperlink>
    </w:p>
    <w:p w:rsidR="00TOC000">
      <w:pPr>
        <w:tabs>
          <w:tab w:val="right" w:leader="dot" w:pos="9072"/>
        </w:tabs>
        <w:spacing w:after="60" w:line="300" w:lineRule="auto"/>
        <w:ind w:left="425"/>
      </w:pPr>
      <w:hyperlink w:anchor="_TocReport015" w:history="1">
        <w:r>
          <w:rPr>
            <w:rFonts w:ascii="Times New Roman" w:hAnsi="Times New Roman" w:eastAsia="宋体"/>
            <w:sz w:val="21"/>
          </w:rPr>
          <w:t xml:space="preserve">4.2 主要偏差及原因</w:t>
        </w:r>
        <w:r>
          <w:rPr>
            <w:rFonts w:ascii="Times New Roman" w:hAnsi="Times New Roman" w:eastAsia="宋体"/>
            <w:sz w:val="21"/>
          </w:rPr>
          <w:tab/>
        </w:r>
        <w:r>
          <w:rPr>
            <w:rFonts w:ascii="Times New Roman" w:hAnsi="Times New Roman" w:eastAsia="宋体"/>
            <w:sz w:val="21"/>
          </w:rPr>
          <w:fldChar w:fldCharType="begin"/>
        </w:r>
        <w:r>
          <w:rPr>
            <w:rFonts w:ascii="Times New Roman" w:hAnsi="Times New Roman" w:eastAsia="宋体"/>
            <w:sz w:val="21"/>
          </w:rPr>
          <w:instrText xml:space="preserve"> PAGEREF _TocReport015 \h </w:instrText>
        </w:r>
        <w:r>
          <w:rPr>
            <w:rFonts w:ascii="Times New Roman" w:hAnsi="Times New Roman" w:eastAsia="宋体"/>
            <w:sz w:val="21"/>
          </w:rPr>
          <w:fldChar w:fldCharType="separate"/>
        </w:r>
        <w:r>
          <w:rPr>
            <w:rFonts w:ascii="Times New Roman" w:hAnsi="Times New Roman" w:eastAsia="宋体"/>
            <w:sz w:val="21"/>
          </w:rPr>
          <w:t xml:space="preserve"/>
        </w:r>
        <w:r>
          <w:rPr>
            <w:rFonts w:ascii="Times New Roman" w:hAnsi="Times New Roman" w:eastAsia="宋体"/>
            <w:sz w:val="21"/>
          </w:rPr>
          <w:fldChar w:fldCharType="end"/>
        </w:r>
      </w:hyperlink>
    </w:p>
    <w:p w:rsidR="00TOC000">
      <w:pPr>
        <w:tabs>
          <w:tab w:val="right" w:leader="dot" w:pos="9072"/>
        </w:tabs>
        <w:spacing w:after="60" w:line="300" w:lineRule="auto"/>
        <w:ind w:left="425"/>
      </w:pPr>
      <w:hyperlink w:anchor="_TocReport016" w:history="1">
        <w:r>
          <w:rPr>
            <w:rFonts w:ascii="Times New Roman" w:hAnsi="Times New Roman" w:eastAsia="宋体"/>
            <w:sz w:val="21"/>
          </w:rPr>
          <w:t xml:space="preserve">4.3 延长到 2026 年</w:t>
        </w:r>
        <w:r>
          <w:rPr>
            <w:rFonts w:ascii="Times New Roman" w:hAnsi="Times New Roman" w:eastAsia="宋体"/>
            <w:sz w:val="21"/>
          </w:rPr>
          <w:tab/>
        </w:r>
        <w:r>
          <w:rPr>
            <w:rFonts w:ascii="Times New Roman" w:hAnsi="Times New Roman" w:eastAsia="宋体"/>
            <w:sz w:val="21"/>
          </w:rPr>
          <w:fldChar w:fldCharType="begin"/>
        </w:r>
        <w:r>
          <w:rPr>
            <w:rFonts w:ascii="Times New Roman" w:hAnsi="Times New Roman" w:eastAsia="宋体"/>
            <w:sz w:val="21"/>
          </w:rPr>
          <w:instrText xml:space="preserve"> PAGEREF _TocReport016 \h </w:instrText>
        </w:r>
        <w:r>
          <w:rPr>
            <w:rFonts w:ascii="Times New Roman" w:hAnsi="Times New Roman" w:eastAsia="宋体"/>
            <w:sz w:val="21"/>
          </w:rPr>
          <w:fldChar w:fldCharType="separate"/>
        </w:r>
        <w:r>
          <w:rPr>
            <w:rFonts w:ascii="Times New Roman" w:hAnsi="Times New Roman" w:eastAsia="宋体"/>
            <w:sz w:val="21"/>
          </w:rPr>
          <w:t xml:space="preserve"/>
        </w:r>
        <w:r>
          <w:rPr>
            <w:rFonts w:ascii="Times New Roman" w:hAnsi="Times New Roman" w:eastAsia="宋体"/>
            <w:sz w:val="21"/>
          </w:rPr>
          <w:fldChar w:fldCharType="end"/>
        </w:r>
      </w:hyperlink>
    </w:p>
    <w:p w:rsidR="00TOC000">
      <w:pPr>
        <w:tabs>
          <w:tab w:val="right" w:leader="dot" w:pos="9072"/>
        </w:tabs>
        <w:spacing w:after="60" w:line="300" w:lineRule="auto"/>
        <w:ind w:left="0"/>
      </w:pPr>
      <w:hyperlink w:anchor="_TocReport017" w:history="1">
        <w:r>
          <w:rPr>
            <w:rFonts w:ascii="Times New Roman" w:hAnsi="Times New Roman" w:eastAsia="宋体"/>
            <w:b/>
            <w:sz w:val="22"/>
          </w:rPr>
          <w:t xml:space="preserve">5. 做不了的部分及原因</w:t>
        </w:r>
        <w:r>
          <w:rPr>
            <w:rFonts w:ascii="Times New Roman" w:hAnsi="Times New Roman" w:eastAsia="宋体"/>
            <w:sz w:val="21"/>
          </w:rPr>
          <w:tab/>
        </w:r>
        <w:r>
          <w:rPr>
            <w:rFonts w:ascii="Times New Roman" w:hAnsi="Times New Roman" w:eastAsia="宋体"/>
            <w:sz w:val="21"/>
          </w:rPr>
          <w:fldChar w:fldCharType="begin"/>
        </w:r>
        <w:r>
          <w:rPr>
            <w:rFonts w:ascii="Times New Roman" w:hAnsi="Times New Roman" w:eastAsia="宋体"/>
            <w:sz w:val="21"/>
          </w:rPr>
          <w:instrText xml:space="preserve"> PAGEREF _TocReport017 \h </w:instrText>
        </w:r>
        <w:r>
          <w:rPr>
            <w:rFonts w:ascii="Times New Roman" w:hAnsi="Times New Roman" w:eastAsia="宋体"/>
            <w:sz w:val="21"/>
          </w:rPr>
          <w:fldChar w:fldCharType="separate"/>
        </w:r>
        <w:r>
          <w:rPr>
            <w:rFonts w:ascii="Times New Roman" w:hAnsi="Times New Roman" w:eastAsia="宋体"/>
            <w:sz w:val="21"/>
          </w:rPr>
          <w:t xml:space="preserve"/>
        </w:r>
        <w:r>
          <w:rPr>
            <w:rFonts w:ascii="Times New Roman" w:hAnsi="Times New Roman" w:eastAsia="宋体"/>
            <w:sz w:val="21"/>
          </w:rPr>
          <w:fldChar w:fldCharType="end"/>
        </w:r>
      </w:hyperlink>
    </w:p>
    <w:p w:rsidR="00TOC000">
      <w:pPr>
        <w:tabs>
          <w:tab w:val="right" w:leader="dot" w:pos="9072"/>
        </w:tabs>
        <w:spacing w:after="60" w:line="300" w:lineRule="auto"/>
        <w:ind w:left="0"/>
      </w:pPr>
      <w:hyperlink w:anchor="_TocReport018" w:history="1">
        <w:r>
          <w:rPr>
            <w:rFonts w:ascii="Times New Roman" w:hAnsi="Times New Roman" w:eastAsia="宋体"/>
            <w:b/>
            <w:sz w:val="22"/>
          </w:rPr>
          <w:t xml:space="preserve">6. 数据与已知偏差</w:t>
        </w:r>
        <w:r>
          <w:rPr>
            <w:rFonts w:ascii="Times New Roman" w:hAnsi="Times New Roman" w:eastAsia="宋体"/>
            <w:sz w:val="21"/>
          </w:rPr>
          <w:tab/>
        </w:r>
        <w:r>
          <w:rPr>
            <w:rFonts w:ascii="Times New Roman" w:hAnsi="Times New Roman" w:eastAsia="宋体"/>
            <w:sz w:val="21"/>
          </w:rPr>
          <w:fldChar w:fldCharType="begin"/>
        </w:r>
        <w:r>
          <w:rPr>
            <w:rFonts w:ascii="Times New Roman" w:hAnsi="Times New Roman" w:eastAsia="宋体"/>
            <w:sz w:val="21"/>
          </w:rPr>
          <w:instrText xml:space="preserve"> PAGEREF _TocReport018 \h </w:instrText>
        </w:r>
        <w:r>
          <w:rPr>
            <w:rFonts w:ascii="Times New Roman" w:hAnsi="Times New Roman" w:eastAsia="宋体"/>
            <w:sz w:val="21"/>
          </w:rPr>
          <w:fldChar w:fldCharType="separate"/>
        </w:r>
        <w:r>
          <w:rPr>
            <w:rFonts w:ascii="Times New Roman" w:hAnsi="Times New Roman" w:eastAsia="宋体"/>
            <w:sz w:val="21"/>
          </w:rPr>
          <w:t xml:space="preserve"/>
        </w:r>
        <w:r>
          <w:rPr>
            <w:rFonts w:ascii="Times New Roman" w:hAnsi="Times New Roman" w:eastAsia="宋体"/>
            <w:sz w:val="21"/>
          </w:rPr>
          <w:fldChar w:fldCharType="end"/>
        </w:r>
      </w:hyperlink>
    </w:p>
    <w:p w:rsidR="00TOC000">
      <w:pPr>
        <w:tabs>
          <w:tab w:val="right" w:leader="dot" w:pos="9072"/>
        </w:tabs>
        <w:spacing w:after="60" w:line="300" w:lineRule="auto"/>
        <w:ind w:left="0"/>
      </w:pPr>
      <w:hyperlink w:anchor="_TocReport019" w:history="1">
        <w:r>
          <w:rPr>
            <w:rFonts w:ascii="Times New Roman" w:hAnsi="Times New Roman" w:eastAsia="宋体"/>
            <w:b/>
            <w:sz w:val="22"/>
          </w:rPr>
          <w:t xml:space="preserve">附：复跑方式</w:t>
        </w:r>
        <w:r>
          <w:rPr>
            <w:rFonts w:ascii="Times New Roman" w:hAnsi="Times New Roman" w:eastAsia="宋体"/>
            <w:sz w:val="21"/>
          </w:rPr>
          <w:tab/>
        </w:r>
        <w:r>
          <w:rPr>
            <w:rFonts w:ascii="Times New Roman" w:hAnsi="Times New Roman" w:eastAsia="宋体"/>
            <w:sz w:val="21"/>
          </w:rPr>
          <w:fldChar w:fldCharType="begin"/>
        </w:r>
        <w:r>
          <w:rPr>
            <w:rFonts w:ascii="Times New Roman" w:hAnsi="Times New Roman" w:eastAsia="宋体"/>
            <w:sz w:val="21"/>
          </w:rPr>
          <w:instrText xml:space="preserve"> PAGEREF _TocReport019 \h </w:instrText>
        </w:r>
        <w:r>
          <w:rPr>
            <w:rFonts w:ascii="Times New Roman" w:hAnsi="Times New Roman" w:eastAsia="宋体"/>
            <w:sz w:val="21"/>
          </w:rPr>
          <w:fldChar w:fldCharType="separate"/>
        </w:r>
        <w:r>
          <w:rPr>
            <w:rFonts w:ascii="Times New Roman" w:hAnsi="Times New Roman" w:eastAsia="宋体"/>
            <w:sz w:val="21"/>
          </w:rPr>
          <w:t xml:space="preserve"/>
        </w:r>
        <w:r>
          <w:rPr>
            <w:rFonts w:ascii="Times New Roman" w:hAnsi="Times New Roman" w:eastAsia="宋体"/>
            <w:sz w:val="21"/>
          </w:rPr>
          <w:fldChar w:fldCharType="end"/>
        </w:r>
      </w:hyperlink>
      <w:r>
        <w:rPr>
          <w:rFonts w:ascii="Times New Roman" w:hAnsi="Times New Roman" w:eastAsia="宋体"/>
          <w:sz w:val="21"/>
        </w:rPr>
        <w:fldChar w:fldCharType="end"/>
      </w:r>
    </w:p>
    <w:p w:rsidR="00TOC000">
      <w:r>
        <w:br w:type="page"/>
      </w:r>
    </w:p>
    <w:p>
      <w:pPr>
        <w:pStyle w:val="4"/>
        <w:rPr>
          <w:color w:val="auto"/>
        </w:rPr>
      </w:pPr>
      <w:bookmarkStart w:id="9001" w:name="_TocReport001"/>
      <w:r>
        <w:rPr>
          <w:rFonts w:ascii="Times New Roman" w:hAnsi="Times New Roman" w:eastAsia="黑体" w:cs="Times New Roman"/>
          <w:color w:val="auto"/>
        </w:rPr>
        <w:t>0. 结论一页</w:t>
      </w:r>
      <w:bookmarkEnd w:id="9001"/>
    </w:p>
    <w:tbl>
      <w:tblPr>
        <w:tblStyle w:val="33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2879"/>
        <w:gridCol w:w="2904"/>
        <w:gridCol w:w="2929"/>
      </w:tblGrid>
      <w:tr>
        <w:trPr>
          <w:jc w:val="center"/>
        </w:trPr>
        <w:tc>
          <w:tcPr>
            <w:tcW w:w="310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</w:p>
        </w:tc>
        <w:tc>
          <w:tcPr>
            <w:tcW w:w="2894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LSY（2019）</w:t>
            </w:r>
          </w:p>
        </w:tc>
        <w:tc>
          <w:tcPr>
            <w:tcW w:w="2920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Allen（2024）</w:t>
            </w:r>
          </w:p>
        </w:tc>
        <w:tc>
          <w:tcPr>
            <w:tcW w:w="2946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Li（2024）</w:t>
            </w:r>
          </w:p>
        </w:tc>
      </w:tr>
      <w:tr>
        <w:trPr>
          <w:jc w:val="center"/>
        </w:trPr>
        <w:tc>
          <w:tcPr>
            <w:tcW w:w="31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复现范围</w:t>
            </w:r>
          </w:p>
        </w:tc>
        <w:tc>
          <w:tcPr>
            <w:tcW w:w="2894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正文全部表、图 1–2、正文数</w:t>
            </w:r>
            <w:bookmarkStart w:id="0" w:name="_GoBack"/>
            <w:bookmarkEnd w:id="0"/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字</w:t>
            </w:r>
          </w:p>
        </w:tc>
        <w:tc>
          <w:tcPr>
            <w:tcW w:w="292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所有 A 股部分（跨国部分做不了）</w:t>
            </w:r>
          </w:p>
        </w:tc>
        <w:tc>
          <w:tcPr>
            <w:tcW w:w="2946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469 个异象、四种组合构造、表 1–7、第 4.2 节</w:t>
            </w:r>
          </w:p>
        </w:tc>
      </w:tr>
      <w:tr>
        <w:trPr>
          <w:jc w:val="center"/>
        </w:trPr>
        <w:tc>
          <w:tcPr>
            <w:tcW w:w="31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打分的数字</w:t>
            </w:r>
          </w:p>
        </w:tc>
        <w:tc>
          <w:tcPr>
            <w:tcW w:w="2894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836</w:t>
            </w:r>
          </w:p>
        </w:tc>
        <w:tc>
          <w:tcPr>
            <w:tcW w:w="292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257</w:t>
            </w:r>
          </w:p>
        </w:tc>
        <w:tc>
          <w:tcPr>
            <w:tcW w:w="2946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4,270</w:t>
            </w:r>
          </w:p>
        </w:tc>
      </w:tr>
      <w:tr>
        <w:trPr>
          <w:jc w:val="center"/>
        </w:trPr>
        <w:tc>
          <w:tcPr>
            <w:tcW w:w="31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在容差内</w:t>
            </w:r>
          </w:p>
        </w:tc>
        <w:tc>
          <w:tcPr>
            <w:tcW w:w="2894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699（84%）</w:t>
            </w:r>
          </w:p>
        </w:tc>
        <w:tc>
          <w:tcPr>
            <w:tcW w:w="292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150（58%）</w:t>
            </w:r>
          </w:p>
        </w:tc>
        <w:tc>
          <w:tcPr>
            <w:tcW w:w="2946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2,510（59%）</w:t>
            </w:r>
          </w:p>
        </w:tc>
      </w:tr>
      <w:tr>
        <w:trPr>
          <w:jc w:val="center"/>
        </w:trPr>
        <w:tc>
          <w:tcPr>
            <w:tcW w:w="31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核心结论是否复现</w:t>
            </w:r>
          </w:p>
        </w:tc>
        <w:tc>
          <w:tcPr>
            <w:tcW w:w="2894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是</w:t>
            </w: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。CH-3 因子（MKT、SMB、VMG）与官网序列逐月相关 ≥ 0.96；CH-3 对 10 个异象的平均 |α| 为 0.43%（论文 0.45%），远低于 FF-3 的 0.85%（论文 0.90%）</w:t>
            </w:r>
          </w:p>
        </w:tc>
        <w:tc>
          <w:tcPr>
            <w:tcW w:w="292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大体是</w:t>
            </w: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。A 股长期实际收益很低（2000-12 至 2018-12 买入持有终值 1.10，论文 1.01）；大盘股显著跑输（表 XII 中 Large 系数 −8.0，t −3.4；论文 −6.4，t −4.0）</w:t>
            </w:r>
          </w:p>
        </w:tc>
        <w:tc>
          <w:tcPr>
            <w:tcW w:w="2946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是</w:t>
            </w: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。多数异象在中国不显著：失败率 82.6% / 82.8% / 85.4%（论文 83.4% / 84.2% / 87.0%）；主板断点加市值加权大幅降低显著率（主板-VW 17.4% 对全 A 等权 37.3%）</w:t>
            </w:r>
          </w:p>
        </w:tc>
      </w:tr>
      <w:tr>
        <w:trPr>
          <w:jc w:val="center"/>
        </w:trPr>
        <w:tc>
          <w:tcPr>
            <w:tcW w:w="31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主要偏差</w:t>
            </w:r>
          </w:p>
        </w:tc>
        <w:tc>
          <w:tcPr>
            <w:tcW w:w="2894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借壳上市识别（CSMAR 无 WIND 的借壳标记）；个别异象 α 的显著性档位</w:t>
            </w:r>
          </w:p>
        </w:tc>
        <w:tc>
          <w:tcPr>
            <w:tcW w:w="292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国企口径（CSMAR 实际控制人 vs WIND）；治理指数与收益的关系变弱（G-Index-A t = 1.90，论文 2.89）</w:t>
            </w:r>
          </w:p>
        </w:tc>
        <w:tc>
          <w:tcPr>
            <w:tcW w:w="2946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价差、VPIN 类 15 个异象和专利 1 个数据未订阅；季度盈利类异象比论文强；作者流程里有前视（见 4.2 第 4 条）</w:t>
            </w:r>
          </w:p>
        </w:tc>
      </w:tr>
      <w:tr>
        <w:trPr>
          <w:jc w:val="center"/>
        </w:trPr>
        <w:tc>
          <w:tcPr>
            <w:tcW w:w="31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延长到 2026 年</w:t>
            </w:r>
          </w:p>
        </w:tc>
        <w:tc>
          <w:tcPr>
            <w:tcW w:w="2894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VMG 仍显著（2017-01 至 2026-09，月均 1.04%，t 2.60）；SMB 消失（0.03%）；CH-3 不再优于 FF-3</w:t>
            </w:r>
          </w:p>
        </w:tc>
        <w:tc>
          <w:tcPr>
            <w:tcW w:w="292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A 股实际收益明显改善（2019-01 至 2026-08 买入持有终值 1.85）；大盘股跑输小盘股持续，但回归系数不再显著</w:t>
            </w:r>
          </w:p>
        </w:tc>
        <w:tc>
          <w:tcPr>
            <w:tcW w:w="2946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异象几乎全部衰减（2019-07 至 2026-09 仅 4.4% 显著）；q 因子模型仍是解释力最强的模型</w:t>
            </w:r>
          </w:p>
        </w:tc>
      </w:tr>
    </w:tbl>
    <w:p>
      <w:pPr>
        <w:spacing w:after="40"/>
        <w:rPr>
          <w:color w:val="auto"/>
        </w:rPr>
      </w:pPr>
    </w:p>
    <w:p>
      <w:pPr>
        <w:rPr>
          <w:b/>
          <w:bCs/>
          <w:color w:val="auto"/>
        </w:rPr>
      </w:pPr>
      <w:r>
        <w:rPr>
          <w:rFonts w:ascii="Times New Roman" w:hAnsi="Times New Roman" w:eastAsia="宋体" w:cs="Times New Roman"/>
          <w:b/>
          <w:bCs/>
          <w:color w:val="auto"/>
        </w:rPr>
        <w:t>"容差"的定义主要几条：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• 月均收益：与论文相差不超过 0.10 个百分点；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• t 值：落在同一显著性档（|t| &lt; 1.96、1.96–2.78、&gt; 2.78）；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• 比例：相差不超过 3 个百分点；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• 计数：相对误差不超过 3%；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• 连续型描述统计：相对误差不超过 10%（2026-10-10 修订）。</w:t>
      </w:r>
    </w:p>
    <w:p>
      <w:pPr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这些标准相当严，尤其是计数。例如 Li 表 5、表 7 里个数只有十几到几十的格子，差一个异象就会判为未通过。所以通过率宜理解为"逐格一致的程度"，不宜理解为"结论是否成立"。下文对每篇分别给出结论层面的判断。</w:t>
      </w:r>
    </w:p>
    <w:p>
      <w:pPr>
        <w:pBdr>
          <w:bottom w:val="single" w:color="999999" w:sz="6" w:space="1"/>
        </w:pBdr>
        <w:rPr>
          <w:color w:val="auto"/>
        </w:rPr>
      </w:pPr>
    </w:p>
    <w:p>
      <w:pPr>
        <w:pStyle w:val="4"/>
        <w:rPr>
          <w:color w:val="auto"/>
        </w:rPr>
      </w:pPr>
      <w:bookmarkStart w:id="9002" w:name="_TocReport002"/>
      <w:r>
        <w:rPr>
          <w:rFonts w:ascii="Times New Roman" w:hAnsi="Times New Roman" w:eastAsia="黑体" w:cs="Times New Roman"/>
          <w:color w:val="auto"/>
        </w:rPr>
        <w:t>1. 做法要点</w:t>
      </w:r>
      <w:bookmarkEnd w:id="9002"/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</w:t>
      </w:r>
      <w:r>
        <w:rPr>
          <w:rFonts w:ascii="Times New Roman" w:hAnsi="Times New Roman" w:eastAsia="宋体" w:cs="Times New Roman"/>
          <w:b/>
          <w:color w:val="auto"/>
        </w:rPr>
        <w:t>每篇按它自己的原始口径</w:t>
      </w:r>
      <w:r>
        <w:rPr>
          <w:rFonts w:ascii="Times New Roman" w:hAnsi="Times New Roman" w:eastAsia="宋体" w:cs="Times New Roman"/>
          <w:color w:val="auto"/>
        </w:rPr>
        <w:t>复现，不统一三篇的口径：样本期、市值口径、剔除规则、无风险利率都按各自论文。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◦ LSY：总市值加权，剔除最小 30%，一年期存款利率；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◦ Li：流通市值加权，主板断点，三个月存款利率；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◦ Allen：年度面板，美元市值加权回归。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</w:t>
      </w:r>
      <w:r>
        <w:rPr>
          <w:rFonts w:ascii="Times New Roman" w:hAnsi="Times New Roman" w:eastAsia="宋体" w:cs="Times New Roman"/>
          <w:b/>
          <w:color w:val="auto"/>
        </w:rPr>
        <w:t>三段</w:t>
      </w:r>
      <w:r>
        <w:rPr>
          <w:rFonts w:ascii="Times New Roman" w:hAnsi="Times New Roman" w:eastAsia="宋体" w:cs="Times New Roman"/>
          <w:color w:val="auto"/>
        </w:rPr>
        <w:t>：原文样本期 / 原文截止后至最新月份 / 2000 年起全样本。三段由同一段代码只改日期产出。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</w:t>
      </w:r>
      <w:r>
        <w:rPr>
          <w:rFonts w:ascii="Times New Roman" w:hAnsi="Times New Roman" w:eastAsia="宋体" w:cs="Times New Roman"/>
          <w:b/>
          <w:color w:val="auto"/>
        </w:rPr>
        <w:t>防前视</w:t>
      </w:r>
      <w:r>
        <w:rPr>
          <w:rFonts w:ascii="Times New Roman" w:hAnsi="Times New Roman" w:eastAsia="宋体" w:cs="Times New Roman"/>
          <w:color w:val="auto"/>
        </w:rPr>
        <w:t xml:space="preserve">：财务数据只在实际披露日（CSMAR </w:t>
      </w:r>
      <w:r>
        <w:rPr>
          <w:rFonts w:ascii="Menlo" w:hAnsi="Menlo" w:eastAsia="宋体" w:cs="Menlo"/>
          <w:color w:val="auto"/>
          <w:sz w:val="19"/>
        </w:rPr>
        <w:t>IAR_Rept</w:t>
      </w:r>
      <w:r>
        <w:rPr>
          <w:rFonts w:ascii="Times New Roman" w:hAnsi="Times New Roman" w:eastAsia="宋体" w:cs="Times New Roman"/>
          <w:color w:val="auto"/>
        </w:rPr>
        <w:t xml:space="preserve"> 的报告公布日期）之后使用；原文明确用固定滞后规则的，按原文规则（Li 的"6 月末用上年年报"、"季度科目滞后 4 个月"）。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</w:t>
      </w:r>
      <w:r>
        <w:rPr>
          <w:rFonts w:ascii="Times New Roman" w:hAnsi="Times New Roman" w:eastAsia="宋体" w:cs="Times New Roman"/>
          <w:b/>
          <w:color w:val="auto"/>
        </w:rPr>
        <w:t>对不上时</w:t>
      </w:r>
      <w:r>
        <w:rPr>
          <w:rFonts w:ascii="Times New Roman" w:hAnsi="Times New Roman" w:eastAsia="宋体" w:cs="Times New Roman"/>
          <w:color w:val="auto"/>
        </w:rPr>
        <w:t>：每个未通过项最多追查三轮（假设 → 改动 → 结果），记入偏差日志；追查不出的如实标注。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</w:t>
      </w:r>
      <w:r>
        <w:rPr>
          <w:rFonts w:ascii="Times New Roman" w:hAnsi="Times New Roman" w:eastAsia="宋体" w:cs="Times New Roman"/>
          <w:b/>
          <w:color w:val="auto"/>
        </w:rPr>
        <w:t>有作者材料时逐月对照</w:t>
      </w:r>
      <w:r>
        <w:rPr>
          <w:rFonts w:ascii="Times New Roman" w:hAnsi="Times New Roman" w:eastAsia="宋体" w:cs="Times New Roman"/>
          <w:color w:val="auto"/>
        </w:rPr>
        <w:t>，这比对表格数字更强：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◦ LSY 的 CH 因子对照 Stambaugh 官网序列；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 xml:space="preserve">◦ Li 的因子对照作者复现包里的 </w:t>
      </w:r>
      <w:r>
        <w:rPr>
          <w:rFonts w:ascii="Menlo" w:hAnsi="Menlo" w:eastAsia="宋体" w:cs="Menlo"/>
          <w:color w:val="auto"/>
          <w:sz w:val="19"/>
        </w:rPr>
        <w:t>allfactors</w:t>
      </w:r>
      <w:r>
        <w:rPr>
          <w:rFonts w:ascii="Times New Roman" w:hAnsi="Times New Roman" w:eastAsia="宋体" w:cs="Times New Roman"/>
          <w:color w:val="auto"/>
        </w:rPr>
        <w:t xml:space="preserve">，每个显著异象的五分位收益对照作者的 </w:t>
      </w:r>
      <w:r>
        <w:rPr>
          <w:rFonts w:ascii="Menlo" w:hAnsi="Menlo" w:eastAsia="宋体" w:cs="Menlo"/>
          <w:color w:val="auto"/>
          <w:sz w:val="19"/>
        </w:rPr>
        <w:t>g5_g1</w:t>
      </w:r>
      <w:r>
        <w:rPr>
          <w:rFonts w:ascii="Times New Roman" w:hAnsi="Times New Roman" w:eastAsia="宋体" w:cs="Times New Roman"/>
          <w:color w:val="auto"/>
        </w:rPr>
        <w:t xml:space="preserve"> 序列；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◦ Allen 的 SAS 代码只用来核对口径（缺输入数据，不能运行）。</w:t>
      </w:r>
    </w:p>
    <w:p>
      <w:pPr>
        <w:pBdr>
          <w:bottom w:val="single" w:color="999999" w:sz="6" w:space="1"/>
        </w:pBdr>
        <w:rPr>
          <w:color w:val="auto"/>
        </w:rPr>
      </w:pPr>
    </w:p>
    <w:p>
      <w:pPr>
        <w:pStyle w:val="4"/>
        <w:rPr>
          <w:color w:val="auto"/>
        </w:rPr>
      </w:pPr>
      <w:bookmarkStart w:id="9003" w:name="_TocReport003"/>
      <w:r>
        <w:rPr>
          <w:rFonts w:ascii="Times New Roman" w:hAnsi="Times New Roman" w:eastAsia="黑体" w:cs="Times New Roman"/>
          <w:color w:val="auto"/>
        </w:rPr>
        <w:t>2. LSY（2019）：Size and value in China</w:t>
      </w:r>
      <w:bookmarkEnd w:id="9003"/>
    </w:p>
    <w:p>
      <w:pPr>
        <w:pStyle w:val="5"/>
        <w:rPr>
          <w:color w:val="auto"/>
        </w:rPr>
      </w:pPr>
      <w:bookmarkStart w:id="9004" w:name="_TocReport004"/>
      <w:r>
        <w:rPr>
          <w:rFonts w:ascii="Times New Roman" w:hAnsi="Times New Roman" w:eastAsia="黑体" w:cs="Times New Roman"/>
          <w:color w:val="auto"/>
        </w:rPr>
        <w:t>2.1 我们 vs 论文</w:t>
      </w:r>
      <w:bookmarkEnd w:id="9004"/>
    </w:p>
    <w:tbl>
      <w:tblPr>
        <w:tblStyle w:val="33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3"/>
        <w:gridCol w:w="2498"/>
        <w:gridCol w:w="657"/>
        <w:gridCol w:w="657"/>
        <w:gridCol w:w="4075"/>
      </w:tblGrid>
      <w:tr>
        <w:trPr>
          <w:jc w:val="center"/>
        </w:trPr>
        <w:tc>
          <w:tcPr>
            <w:tcW w:w="1183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表</w:t>
            </w:r>
          </w:p>
        </w:tc>
        <w:tc>
          <w:tcPr>
            <w:tcW w:w="2498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内容</w:t>
            </w:r>
          </w:p>
        </w:tc>
        <w:tc>
          <w:tcPr>
            <w:tcW w:w="657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打分</w:t>
            </w:r>
          </w:p>
        </w:tc>
        <w:tc>
          <w:tcPr>
            <w:tcW w:w="657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通过</w:t>
            </w:r>
          </w:p>
        </w:tc>
        <w:tc>
          <w:tcPr>
            <w:tcW w:w="4075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说明</w:t>
            </w:r>
          </w:p>
        </w:tc>
      </w:tr>
      <w:tr>
        <w:trPr>
          <w:jc w:val="center"/>
        </w:trPr>
        <w:tc>
          <w:tcPr>
            <w:tcW w:w="1183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表 1</w:t>
            </w:r>
          </w:p>
        </w:tc>
        <w:tc>
          <w:tcPr>
            <w:tcW w:w="249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盈余公告收益与规模</w:t>
            </w:r>
          </w:p>
        </w:tc>
        <w:tc>
          <w:tcPr>
            <w:tcW w:w="657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18</w:t>
            </w:r>
          </w:p>
        </w:tc>
        <w:tc>
          <w:tcPr>
            <w:tcW w:w="657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18</w:t>
            </w:r>
          </w:p>
        </w:tc>
        <w:tc>
          <w:tcPr>
            <w:tcW w:w="407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需剔除停牌期间的公告窗口（LSY-5，口径为我们所加）</w:t>
            </w:r>
          </w:p>
        </w:tc>
      </w:tr>
      <w:tr>
        <w:trPr>
          <w:jc w:val="center"/>
        </w:trPr>
        <w:tc>
          <w:tcPr>
            <w:tcW w:w="1183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表 2</w:t>
            </w:r>
          </w:p>
        </w:tc>
        <w:tc>
          <w:tcPr>
            <w:tcW w:w="249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估值比率 Fama–MacBeth</w:t>
            </w:r>
          </w:p>
        </w:tc>
        <w:tc>
          <w:tcPr>
            <w:tcW w:w="657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80</w:t>
            </w:r>
          </w:p>
        </w:tc>
        <w:tc>
          <w:tcPr>
            <w:tcW w:w="657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68</w:t>
            </w:r>
          </w:p>
        </w:tc>
        <w:tc>
          <w:tcPr>
            <w:tcW w:w="407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采用"不剔除最小 30%"的样本才能对上数字（LSY-3）</w:t>
            </w:r>
          </w:p>
        </w:tc>
      </w:tr>
      <w:tr>
        <w:trPr>
          <w:jc w:val="center"/>
        </w:trPr>
        <w:tc>
          <w:tcPr>
            <w:tcW w:w="1183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表 3</w:t>
            </w:r>
          </w:p>
        </w:tc>
        <w:tc>
          <w:tcPr>
            <w:tcW w:w="249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CH-3 因子</w:t>
            </w:r>
          </w:p>
        </w:tc>
        <w:tc>
          <w:tcPr>
            <w:tcW w:w="657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18</w:t>
            </w:r>
          </w:p>
        </w:tc>
        <w:tc>
          <w:tcPr>
            <w:tcW w:w="657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17</w:t>
            </w:r>
          </w:p>
        </w:tc>
        <w:tc>
          <w:tcPr>
            <w:tcW w:w="407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唯一未通过：MKT 的双因子 α 1.76 vs 1.57</w:t>
            </w:r>
          </w:p>
        </w:tc>
      </w:tr>
      <w:tr>
        <w:trPr>
          <w:jc w:val="center"/>
        </w:trPr>
        <w:tc>
          <w:tcPr>
            <w:tcW w:w="1183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表 4</w:t>
            </w:r>
          </w:p>
        </w:tc>
        <w:tc>
          <w:tcPr>
            <w:tcW w:w="249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R² 比较</w:t>
            </w:r>
          </w:p>
        </w:tc>
        <w:tc>
          <w:tcPr>
            <w:tcW w:w="657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8</w:t>
            </w:r>
          </w:p>
        </w:tc>
        <w:tc>
          <w:tcPr>
            <w:tcW w:w="657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8</w:t>
            </w:r>
          </w:p>
        </w:tc>
        <w:tc>
          <w:tcPr>
            <w:tcW w:w="4075" w:type="dxa"/>
          </w:tcPr>
          <w:p>
            <w:pPr>
              <w:spacing w:after="0" w:line="264" w:lineRule="auto"/>
              <w:rPr>
                <w:color w:val="auto"/>
              </w:rPr>
            </w:pPr>
          </w:p>
        </w:tc>
      </w:tr>
      <w:tr>
        <w:trPr>
          <w:jc w:val="center"/>
        </w:trPr>
        <w:tc>
          <w:tcPr>
            <w:tcW w:w="1183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表 5</w:t>
            </w:r>
          </w:p>
        </w:tc>
        <w:tc>
          <w:tcPr>
            <w:tcW w:w="249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因子互相定价</w:t>
            </w:r>
          </w:p>
        </w:tc>
        <w:tc>
          <w:tcPr>
            <w:tcW w:w="657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10</w:t>
            </w:r>
          </w:p>
        </w:tc>
        <w:tc>
          <w:tcPr>
            <w:tcW w:w="657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10</w:t>
            </w:r>
          </w:p>
        </w:tc>
        <w:tc>
          <w:tcPr>
            <w:tcW w:w="4075" w:type="dxa"/>
          </w:tcPr>
          <w:p>
            <w:pPr>
              <w:spacing w:after="0" w:line="264" w:lineRule="auto"/>
              <w:rPr>
                <w:color w:val="auto"/>
              </w:rPr>
            </w:pPr>
          </w:p>
        </w:tc>
      </w:tr>
      <w:tr>
        <w:trPr>
          <w:jc w:val="center"/>
        </w:trPr>
        <w:tc>
          <w:tcPr>
            <w:tcW w:w="1183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表 6–10</w:t>
            </w:r>
          </w:p>
        </w:tc>
        <w:tc>
          <w:tcPr>
            <w:tcW w:w="249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10 个异象与模型比较</w:t>
            </w:r>
          </w:p>
        </w:tc>
        <w:tc>
          <w:tcPr>
            <w:tcW w:w="657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636</w:t>
            </w:r>
          </w:p>
        </w:tc>
        <w:tc>
          <w:tcPr>
            <w:tcW w:w="657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533</w:t>
            </w:r>
          </w:p>
        </w:tc>
        <w:tc>
          <w:tcPr>
            <w:tcW w:w="407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反转、BM、ROE、异常换手的 α 档位有差（LSY-7）</w:t>
            </w:r>
          </w:p>
        </w:tc>
      </w:tr>
      <w:tr>
        <w:trPr>
          <w:jc w:val="center"/>
        </w:trPr>
        <w:tc>
          <w:tcPr>
            <w:tcW w:w="1183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第 5.2 节</w:t>
            </w:r>
          </w:p>
        </w:tc>
        <w:tc>
          <w:tcPr>
            <w:tcW w:w="249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剔除壳价值的稳健性</w:t>
            </w:r>
          </w:p>
        </w:tc>
        <w:tc>
          <w:tcPr>
            <w:tcW w:w="657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6</w:t>
            </w:r>
          </w:p>
        </w:tc>
        <w:tc>
          <w:tcPr>
            <w:tcW w:w="657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5</w:t>
            </w:r>
          </w:p>
        </w:tc>
        <w:tc>
          <w:tcPr>
            <w:tcW w:w="4075" w:type="dxa"/>
          </w:tcPr>
          <w:p>
            <w:pPr>
              <w:spacing w:after="0" w:line="264" w:lineRule="auto"/>
              <w:rPr>
                <w:color w:val="auto"/>
              </w:rPr>
            </w:pPr>
          </w:p>
        </w:tc>
      </w:tr>
      <w:tr>
        <w:trPr>
          <w:jc w:val="center"/>
        </w:trPr>
        <w:tc>
          <w:tcPr>
            <w:tcW w:w="1183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图 1–2</w:t>
            </w:r>
          </w:p>
        </w:tc>
        <w:tc>
          <w:tcPr>
            <w:tcW w:w="249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借壳上市与壳价值</w:t>
            </w:r>
          </w:p>
        </w:tc>
        <w:tc>
          <w:tcPr>
            <w:tcW w:w="657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4</w:t>
            </w:r>
          </w:p>
        </w:tc>
        <w:tc>
          <w:tcPr>
            <w:tcW w:w="657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0</w:t>
            </w:r>
          </w:p>
        </w:tc>
        <w:tc>
          <w:tcPr>
            <w:tcW w:w="407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借壳识别规则不同（LSY-6）</w:t>
            </w:r>
          </w:p>
        </w:tc>
      </w:tr>
      <w:tr>
        <w:trPr>
          <w:jc w:val="center"/>
        </w:trPr>
        <w:tc>
          <w:tcPr>
            <w:tcW w:w="1183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正文数字</w:t>
            </w:r>
          </w:p>
        </w:tc>
        <w:tc>
          <w:tcPr>
            <w:tcW w:w="2498" w:type="dxa"/>
          </w:tcPr>
          <w:p>
            <w:pPr>
              <w:spacing w:after="0" w:line="264" w:lineRule="auto"/>
              <w:rPr>
                <w:color w:val="auto"/>
              </w:rPr>
            </w:pPr>
          </w:p>
        </w:tc>
        <w:tc>
          <w:tcPr>
            <w:tcW w:w="657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49</w:t>
            </w:r>
          </w:p>
        </w:tc>
        <w:tc>
          <w:tcPr>
            <w:tcW w:w="657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33</w:t>
            </w:r>
          </w:p>
        </w:tc>
        <w:tc>
          <w:tcPr>
            <w:tcW w:w="4075" w:type="dxa"/>
          </w:tcPr>
          <w:p>
            <w:pPr>
              <w:spacing w:after="0" w:line="264" w:lineRule="auto"/>
              <w:rPr>
                <w:color w:val="auto"/>
              </w:rPr>
            </w:pPr>
          </w:p>
        </w:tc>
      </w:tr>
      <w:tr>
        <w:trPr>
          <w:jc w:val="center"/>
        </w:trPr>
        <w:tc>
          <w:tcPr>
            <w:tcW w:w="1183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因子逐月对照</w:t>
            </w:r>
          </w:p>
        </w:tc>
        <w:tc>
          <w:tcPr>
            <w:tcW w:w="249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CH 七条序列 vs 官网</w:t>
            </w:r>
          </w:p>
        </w:tc>
        <w:tc>
          <w:tcPr>
            <w:tcW w:w="657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7</w:t>
            </w:r>
          </w:p>
        </w:tc>
        <w:tc>
          <w:tcPr>
            <w:tcW w:w="657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7</w:t>
            </w:r>
          </w:p>
        </w:tc>
        <w:tc>
          <w:tcPr>
            <w:tcW w:w="407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相关均 ≥ 0.96</w:t>
            </w:r>
          </w:p>
        </w:tc>
      </w:tr>
    </w:tbl>
    <w:p>
      <w:pPr>
        <w:spacing w:after="40"/>
        <w:rPr>
          <w:color w:val="auto"/>
        </w:rPr>
      </w:pPr>
    </w:p>
    <w:p>
      <w:pPr>
        <w:rPr>
          <w:color w:val="auto"/>
        </w:rPr>
      </w:pPr>
      <w:r>
        <w:rPr>
          <w:rFonts w:ascii="Times New Roman" w:hAnsi="Times New Roman" w:eastAsia="宋体" w:cs="Times New Roman"/>
          <w:b/>
          <w:color w:val="auto"/>
        </w:rPr>
        <w:t>因子本身复现得很好</w:t>
      </w:r>
      <w:r>
        <w:rPr>
          <w:rFonts w:ascii="Times New Roman" w:hAnsi="Times New Roman" w:eastAsia="宋体" w:cs="Times New Roman"/>
          <w:color w:val="auto"/>
        </w:rPr>
        <w:t>（表 3）：</w:t>
      </w:r>
    </w:p>
    <w:tbl>
      <w:tblPr>
        <w:tblStyle w:val="33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9"/>
        <w:gridCol w:w="2876"/>
        <w:gridCol w:w="2876"/>
      </w:tblGrid>
      <w:tr>
        <w:trPr>
          <w:jc w:val="center"/>
        </w:trPr>
        <w:tc>
          <w:tcPr>
            <w:tcW w:w="3319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</w:p>
        </w:tc>
        <w:tc>
          <w:tcPr>
            <w:tcW w:w="2876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论文</w:t>
            </w:r>
          </w:p>
        </w:tc>
        <w:tc>
          <w:tcPr>
            <w:tcW w:w="2876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我们</w:t>
            </w:r>
          </w:p>
        </w:tc>
      </w:tr>
      <w:tr>
        <w:trPr>
          <w:jc w:val="center"/>
        </w:trPr>
        <w:tc>
          <w:tcPr>
            <w:tcW w:w="3319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VMG 月均（t）</w:t>
            </w:r>
          </w:p>
        </w:tc>
        <w:tc>
          <w:tcPr>
            <w:tcW w:w="2876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1.14%（4.34）</w:t>
            </w:r>
          </w:p>
        </w:tc>
        <w:tc>
          <w:tcPr>
            <w:tcW w:w="2876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1.18%（4.52）</w:t>
            </w:r>
          </w:p>
        </w:tc>
      </w:tr>
      <w:tr>
        <w:trPr>
          <w:jc w:val="center"/>
        </w:trPr>
        <w:tc>
          <w:tcPr>
            <w:tcW w:w="3319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SMB 月均（t）</w:t>
            </w:r>
          </w:p>
        </w:tc>
        <w:tc>
          <w:tcPr>
            <w:tcW w:w="2876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1.03%（3.25）</w:t>
            </w:r>
          </w:p>
        </w:tc>
        <w:tc>
          <w:tcPr>
            <w:tcW w:w="2876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0.98%（3.12）</w:t>
            </w:r>
          </w:p>
        </w:tc>
      </w:tr>
      <w:tr>
        <w:trPr>
          <w:jc w:val="center"/>
        </w:trPr>
        <w:tc>
          <w:tcPr>
            <w:tcW w:w="3319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SMB 与 VMG 的相关</w:t>
            </w:r>
          </w:p>
        </w:tc>
        <w:tc>
          <w:tcPr>
            <w:tcW w:w="2876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−0.62</w:t>
            </w:r>
          </w:p>
        </w:tc>
        <w:tc>
          <w:tcPr>
            <w:tcW w:w="2876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−0.61</w:t>
            </w:r>
          </w:p>
        </w:tc>
      </w:tr>
    </w:tbl>
    <w:p>
      <w:pPr>
        <w:spacing w:after="40"/>
        <w:rPr>
          <w:color w:val="auto"/>
        </w:rPr>
      </w:pPr>
    </w:p>
    <w:p>
      <w:pPr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七条因子序列（CH-3、CH-4 的 MKT / SMB / VMG / PMO）与 Stambaugh 官网序列逐月相关都在 0.96 以上。关键口径是 EP 用</w:t>
      </w:r>
      <w:r>
        <w:rPr>
          <w:rFonts w:ascii="Times New Roman" w:hAnsi="Times New Roman" w:eastAsia="宋体" w:cs="Times New Roman"/>
          <w:b/>
          <w:color w:val="auto"/>
        </w:rPr>
        <w:t>单季度</w:t>
      </w:r>
      <w:r>
        <w:rPr>
          <w:rFonts w:ascii="Times New Roman" w:hAnsi="Times New Roman" w:eastAsia="宋体" w:cs="Times New Roman"/>
          <w:color w:val="auto"/>
        </w:rPr>
        <w:t>盈余（LSY-1）：用年初至今累计盈余时，VMG 只有 1.04%。</w:t>
      </w:r>
    </w:p>
    <w:p>
      <w:pPr>
        <w:rPr>
          <w:color w:val="auto"/>
        </w:rPr>
      </w:pPr>
      <w:r>
        <w:rPr>
          <w:rFonts w:ascii="Times New Roman" w:hAnsi="Times New Roman" w:eastAsia="宋体" w:cs="Times New Roman"/>
          <w:b/>
          <w:color w:val="auto"/>
        </w:rPr>
        <w:t>核心结论成立</w:t>
      </w:r>
      <w:r>
        <w:rPr>
          <w:rFonts w:ascii="Times New Roman" w:hAnsi="Times New Roman" w:eastAsia="宋体" w:cs="Times New Roman"/>
          <w:color w:val="auto"/>
        </w:rPr>
        <w:t>（表 9）：CH-3 对 10 个异象的平均 |α| 为 0.43%，论文 0.45%；CAPM 为 0.94%（论文 1.02%），FF-3 为 0.85%（论文 0.90%）。主要不同是 CH-3 的 GRS 检验（Panel B 的 p 值也一样）：我们 p = 0.018 拒绝"α 全为零"，论文 p = 0.15 不拒绝。拒绝主要来自反转和异常换手两个异象的 α。</w:t>
      </w:r>
    </w:p>
    <w:p>
      <w:pPr>
        <w:pStyle w:val="5"/>
        <w:rPr>
          <w:color w:val="auto"/>
        </w:rPr>
      </w:pPr>
      <w:bookmarkStart w:id="9005" w:name="_TocReport005"/>
      <w:r>
        <w:rPr>
          <w:rFonts w:ascii="Times New Roman" w:hAnsi="Times New Roman" w:eastAsia="黑体" w:cs="Times New Roman"/>
          <w:color w:val="auto"/>
        </w:rPr>
        <w:t>2.2 主要偏差及原因</w:t>
      </w:r>
      <w:bookmarkEnd w:id="9005"/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1. </w:t>
      </w:r>
      <w:r>
        <w:rPr>
          <w:rFonts w:ascii="Times New Roman" w:hAnsi="Times New Roman" w:eastAsia="宋体" w:cs="Times New Roman"/>
          <w:b/>
          <w:color w:val="auto"/>
        </w:rPr>
        <w:t>借壳上市（图 1–2）</w:t>
      </w:r>
      <w:r>
        <w:rPr>
          <w:rFonts w:ascii="Times New Roman" w:hAnsi="Times New Roman" w:eastAsia="宋体" w:cs="Times New Roman"/>
          <w:color w:val="auto"/>
        </w:rPr>
        <w:t>：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◦ LSY 用 WIND 的借壳标记，CSMAR 没有，我们按证监会定义写了规则：重大资产重组、以股份支付且标的资产不低于上年资产的 100%、同时实际控制人变更。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◦ 2007–2016 年识别出 108 起，论文 133 起。来自最小 30% 股票的比例是 66%，论文 83%。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◦ CSMAR 的并购表在 2012 年以前符合条件的交易很少，因此 2009–2016 年壳价值占市值的平均比例只有 8.9%，论文 29.5%。曲线形状对得上（2012 年起上升、2015 年见顶），水平对不上。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2. </w:t>
      </w:r>
      <w:r>
        <w:rPr>
          <w:rFonts w:ascii="Times New Roman" w:hAnsi="Times New Roman" w:eastAsia="宋体" w:cs="Times New Roman"/>
          <w:b/>
          <w:color w:val="auto"/>
        </w:rPr>
        <w:t>表 2 的样本</w:t>
      </w:r>
      <w:r>
        <w:rPr>
          <w:rFonts w:ascii="Times New Roman" w:hAnsi="Times New Roman" w:eastAsia="宋体" w:cs="Times New Roman"/>
          <w:color w:val="auto"/>
        </w:rPr>
        <w:t>：论文正文说剔除最小 30%，但只有不剔除时数字才对得上（logME 系数 −0.0051 对论文 −0.0049）。我们判断表格用的是全样本，两种版本都保留。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3. </w:t>
      </w:r>
      <w:r>
        <w:rPr>
          <w:rFonts w:ascii="Times New Roman" w:hAnsi="Times New Roman" w:eastAsia="宋体" w:cs="Times New Roman"/>
          <w:b/>
          <w:color w:val="auto"/>
        </w:rPr>
        <w:t>个别异象的显著性档位</w:t>
      </w:r>
      <w:r>
        <w:rPr>
          <w:rFonts w:ascii="Times New Roman" w:hAnsi="Times New Roman" w:eastAsia="宋体" w:cs="Times New Roman"/>
          <w:color w:val="auto"/>
        </w:rPr>
        <w:t>：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◦ 反转的 CAPM α 为 1.16%（t 2.41），论文 1.49%（t 3.06）。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◦ 追查三轮后，最可能的原因是 WIND 与 CSMAR 的日度收益在涨跌停日和复牌日不同。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◦ 以 CH-4 为例：平均 |α| 0.44%，论文 0.30%；改用官网 CH-4 因子也是 0.41%，说明差距不在因子，而在用 CSMAR 数据构造的异象组合本身。</w:t>
      </w:r>
    </w:p>
    <w:p>
      <w:pPr>
        <w:pStyle w:val="5"/>
        <w:rPr>
          <w:color w:val="auto"/>
        </w:rPr>
      </w:pPr>
      <w:bookmarkStart w:id="9006" w:name="_TocReport006"/>
      <w:r>
        <w:rPr>
          <w:rFonts w:ascii="Times New Roman" w:hAnsi="Times New Roman" w:eastAsia="黑体" w:cs="Times New Roman"/>
          <w:color w:val="auto"/>
        </w:rPr>
        <w:t>2.3 图</w:t>
      </w:r>
      <w:bookmarkEnd w:id="9006"/>
    </w:p>
    <w:p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19700" cy="3044825"/>
            <wp:effectExtent l="0" t="0" r="1270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color w:val="auto"/>
        </w:rPr>
      </w:pPr>
      <w:r>
        <w:rPr>
          <w:rFonts w:ascii="Times New Roman" w:hAnsi="Times New Roman" w:eastAsia="宋体" w:cs="Times New Roman"/>
          <w:color w:val="auto"/>
          <w:sz w:val="18"/>
        </w:rPr>
        <w:t>LSY 图 1：借壳上市壳公司的规模分布</w:t>
      </w:r>
    </w:p>
    <w:p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19700" cy="4100830"/>
            <wp:effectExtent l="0" t="0" r="1270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eastAsia="宋体" w:cs="Times New Roman"/>
          <w:color w:val="auto"/>
          <w:sz w:val="18"/>
        </w:rPr>
      </w:pPr>
      <w:r>
        <w:rPr>
          <w:rFonts w:ascii="Times New Roman" w:hAnsi="Times New Roman" w:eastAsia="宋体" w:cs="Times New Roman"/>
          <w:color w:val="auto"/>
          <w:sz w:val="18"/>
        </w:rPr>
        <w:t>LSY 图 2：壳价值占市值的比例</w:t>
      </w:r>
    </w:p>
    <w:p>
      <w:pPr>
        <w:jc w:val="center"/>
        <w:rPr>
          <w:rFonts w:ascii="Times New Roman" w:hAnsi="Times New Roman" w:eastAsia="宋体" w:cs="Times New Roman"/>
          <w:color w:val="auto"/>
          <w:sz w:val="18"/>
        </w:rPr>
      </w:pPr>
    </w:p>
    <w:p>
      <w:pPr>
        <w:jc w:val="center"/>
        <w:rPr>
          <w:rFonts w:ascii="Times New Roman" w:hAnsi="Times New Roman" w:eastAsia="宋体" w:cs="Times New Roman"/>
          <w:color w:val="auto"/>
          <w:sz w:val="18"/>
        </w:rPr>
      </w:pPr>
    </w:p>
    <w:p>
      <w:pPr>
        <w:jc w:val="center"/>
        <w:rPr>
          <w:rFonts w:ascii="Times New Roman" w:hAnsi="Times New Roman" w:eastAsia="宋体" w:cs="Times New Roman"/>
          <w:color w:val="auto"/>
          <w:sz w:val="18"/>
        </w:rPr>
      </w:pPr>
    </w:p>
    <w:p>
      <w:pPr>
        <w:pStyle w:val="5"/>
        <w:rPr>
          <w:color w:val="auto"/>
        </w:rPr>
      </w:pPr>
      <w:bookmarkStart w:id="9007" w:name="_TocReport007"/>
      <w:r>
        <w:rPr>
          <w:rFonts w:ascii="Times New Roman" w:hAnsi="Times New Roman" w:eastAsia="黑体" w:cs="Times New Roman"/>
          <w:color w:val="auto"/>
        </w:rPr>
        <w:t>2.4 延长到 2026 年</w:t>
      </w:r>
      <w:bookmarkEnd w:id="9007"/>
    </w:p>
    <w:tbl>
      <w:tblPr>
        <w:tblStyle w:val="33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0"/>
        <w:gridCol w:w="1685"/>
        <w:gridCol w:w="2203"/>
        <w:gridCol w:w="2203"/>
      </w:tblGrid>
      <w:tr>
        <w:trPr>
          <w:jc w:val="center"/>
        </w:trPr>
        <w:tc>
          <w:tcPr>
            <w:tcW w:w="2980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段</w:t>
            </w:r>
          </w:p>
        </w:tc>
        <w:tc>
          <w:tcPr>
            <w:tcW w:w="1685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MKT 月均（t）</w:t>
            </w:r>
          </w:p>
        </w:tc>
        <w:tc>
          <w:tcPr>
            <w:tcW w:w="2203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SMB 月均（t）</w:t>
            </w:r>
          </w:p>
        </w:tc>
        <w:tc>
          <w:tcPr>
            <w:tcW w:w="2203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VMG 月均（t）</w:t>
            </w:r>
          </w:p>
        </w:tc>
      </w:tr>
      <w:tr>
        <w:trPr>
          <w:jc w:val="center"/>
        </w:trPr>
        <w:tc>
          <w:tcPr>
            <w:tcW w:w="298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原文 2000-01 至 2016-12</w:t>
            </w:r>
          </w:p>
        </w:tc>
        <w:tc>
          <w:tcPr>
            <w:tcW w:w="168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0.72%（1.26）</w:t>
            </w:r>
          </w:p>
        </w:tc>
        <w:tc>
          <w:tcPr>
            <w:tcW w:w="2203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0.98%（3.12）</w:t>
            </w:r>
          </w:p>
        </w:tc>
        <w:tc>
          <w:tcPr>
            <w:tcW w:w="2203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1.18%（4.52）</w:t>
            </w:r>
          </w:p>
        </w:tc>
      </w:tr>
      <w:tr>
        <w:trPr>
          <w:jc w:val="center"/>
        </w:trPr>
        <w:tc>
          <w:tcPr>
            <w:tcW w:w="298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延长 2017-01 至 2026-09</w:t>
            </w:r>
          </w:p>
        </w:tc>
        <w:tc>
          <w:tcPr>
            <w:tcW w:w="168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0.32%（0.74）</w:t>
            </w:r>
          </w:p>
        </w:tc>
        <w:tc>
          <w:tcPr>
            <w:tcW w:w="2203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0.03%（0.10）</w:t>
            </w:r>
          </w:p>
        </w:tc>
        <w:tc>
          <w:tcPr>
            <w:tcW w:w="2203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1.04%（2.60）</w:t>
            </w:r>
          </w:p>
        </w:tc>
      </w:tr>
      <w:tr>
        <w:trPr>
          <w:jc w:val="center"/>
        </w:trPr>
        <w:tc>
          <w:tcPr>
            <w:tcW w:w="298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全样本 2000-01 至 2026-09</w:t>
            </w:r>
          </w:p>
        </w:tc>
        <w:tc>
          <w:tcPr>
            <w:tcW w:w="168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0.58%（1.45）</w:t>
            </w:r>
          </w:p>
        </w:tc>
        <w:tc>
          <w:tcPr>
            <w:tcW w:w="2203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0.64%（2.70）</w:t>
            </w:r>
          </w:p>
        </w:tc>
        <w:tc>
          <w:tcPr>
            <w:tcW w:w="2203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1.13%（5.13）</w:t>
            </w:r>
          </w:p>
        </w:tc>
      </w:tr>
    </w:tbl>
    <w:p>
      <w:pPr>
        <w:spacing w:after="40"/>
        <w:rPr>
          <w:color w:val="auto"/>
        </w:rPr>
      </w:pP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</w:t>
      </w:r>
      <w:r>
        <w:rPr>
          <w:rFonts w:ascii="Times New Roman" w:hAnsi="Times New Roman" w:eastAsia="宋体" w:cs="Times New Roman"/>
          <w:b/>
          <w:color w:val="auto"/>
        </w:rPr>
        <w:t>价值效应延续</w:t>
      </w:r>
      <w:r>
        <w:rPr>
          <w:rFonts w:ascii="Times New Roman" w:hAnsi="Times New Roman" w:eastAsia="宋体" w:cs="Times New Roman"/>
          <w:color w:val="auto"/>
        </w:rPr>
        <w:t>：VMG 在 2017 年后仍有月均 1.04%，t = 2.60，样本更短，显著性下降。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</w:t>
      </w:r>
      <w:r>
        <w:rPr>
          <w:rFonts w:ascii="Times New Roman" w:hAnsi="Times New Roman" w:eastAsia="宋体" w:cs="Times New Roman"/>
          <w:b/>
          <w:color w:val="auto"/>
        </w:rPr>
        <w:t>规模效应消失</w:t>
      </w:r>
      <w:r>
        <w:rPr>
          <w:rFonts w:ascii="Times New Roman" w:hAnsi="Times New Roman" w:eastAsia="宋体" w:cs="Times New Roman"/>
          <w:color w:val="auto"/>
        </w:rPr>
        <w:t>：CH-3 的 SMB（已剔除最小 30% 股票）在 2017 年后为零。我们的推测（数据未直接检验）：2017 年起 IPO 提速、借壳需求下降，壳价值缩水，小盘股失去了这部分溢价。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</w:t>
      </w:r>
      <w:r>
        <w:rPr>
          <w:rFonts w:ascii="Times New Roman" w:hAnsi="Times New Roman" w:eastAsia="宋体" w:cs="Times New Roman"/>
          <w:b/>
          <w:color w:val="auto"/>
        </w:rPr>
        <w:t>CH-3 的优势没有延续</w:t>
      </w:r>
      <w:r>
        <w:rPr>
          <w:rFonts w:ascii="Times New Roman" w:hAnsi="Times New Roman" w:eastAsia="宋体" w:cs="Times New Roman"/>
          <w:color w:val="auto"/>
        </w:rPr>
        <w:t>：2017–2026 年 10 个异象的平均 |α| 为 CH-3 0.64%、FF-3 0.54%、CAPM 0.86%。CH-3 不再是三个模型中最好的；全样本上 CH-3（0.56%）仍略优于 FF-3（0.67%）。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• 注意：Stambaugh 官网序列只到 2021-12。延长段用我们按同一方法自建的 CH-3，它与官网序列在 2000–2021 年逐月相关 ≥ 0.96。</w:t>
      </w:r>
    </w:p>
    <w:p>
      <w:pPr>
        <w:pBdr>
          <w:bottom w:val="single" w:color="999999" w:sz="6" w:space="1"/>
        </w:pBdr>
        <w:rPr>
          <w:color w:val="auto"/>
        </w:rPr>
      </w:pPr>
    </w:p>
    <w:p>
      <w:pPr>
        <w:pStyle w:val="4"/>
        <w:rPr>
          <w:color w:val="auto"/>
        </w:rPr>
      </w:pPr>
      <w:bookmarkStart w:id="9008" w:name="_TocReport008"/>
      <w:r>
        <w:rPr>
          <w:rFonts w:ascii="Times New Roman" w:hAnsi="Times New Roman" w:eastAsia="黑体" w:cs="Times New Roman"/>
          <w:color w:val="auto"/>
        </w:rPr>
        <w:t>3. Allen（2024）：Dissecting the long-term performance of the Chinese stock market</w:t>
      </w:r>
      <w:bookmarkEnd w:id="9008"/>
    </w:p>
    <w:p>
      <w:pPr>
        <w:pStyle w:val="5"/>
        <w:rPr>
          <w:color w:val="auto"/>
        </w:rPr>
      </w:pPr>
      <w:bookmarkStart w:id="9009" w:name="_TocReport009"/>
      <w:r>
        <w:rPr>
          <w:rFonts w:ascii="Times New Roman" w:hAnsi="Times New Roman" w:eastAsia="黑体" w:cs="Times New Roman"/>
          <w:color w:val="auto"/>
        </w:rPr>
        <w:t>3.1 我们 vs 论文</w:t>
      </w:r>
      <w:bookmarkEnd w:id="9009"/>
    </w:p>
    <w:tbl>
      <w:tblPr>
        <w:tblStyle w:val="33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8"/>
        <w:gridCol w:w="1792"/>
        <w:gridCol w:w="448"/>
        <w:gridCol w:w="448"/>
        <w:gridCol w:w="4255"/>
      </w:tblGrid>
      <w:tr>
        <w:trPr>
          <w:jc w:val="center"/>
        </w:trPr>
        <w:tc>
          <w:tcPr>
            <w:tcW w:w="2128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表 / 图</w:t>
            </w:r>
          </w:p>
        </w:tc>
        <w:tc>
          <w:tcPr>
            <w:tcW w:w="1792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内容</w:t>
            </w:r>
          </w:p>
        </w:tc>
        <w:tc>
          <w:tcPr>
            <w:tcW w:w="448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打分</w:t>
            </w:r>
          </w:p>
        </w:tc>
        <w:tc>
          <w:tcPr>
            <w:tcW w:w="448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通过</w:t>
            </w:r>
          </w:p>
        </w:tc>
        <w:tc>
          <w:tcPr>
            <w:tcW w:w="4255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说明</w:t>
            </w:r>
          </w:p>
        </w:tc>
      </w:tr>
      <w:tr>
        <w:trPr>
          <w:jc w:val="center"/>
        </w:trPr>
        <w:tc>
          <w:tcPr>
            <w:tcW w:w="212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表 I</w:t>
            </w:r>
          </w:p>
        </w:tc>
        <w:tc>
          <w:tcPr>
            <w:tcW w:w="1792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上市公司数、国企数、平均资产</w:t>
            </w:r>
          </w:p>
        </w:tc>
        <w:tc>
          <w:tcPr>
            <w:tcW w:w="44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60</w:t>
            </w:r>
          </w:p>
        </w:tc>
        <w:tc>
          <w:tcPr>
            <w:tcW w:w="44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41</w:t>
            </w:r>
          </w:p>
        </w:tc>
        <w:tc>
          <w:tcPr>
            <w:tcW w:w="425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公司数 19 年全部在 3% 内；国企数偏差见下（ALN-1）</w:t>
            </w:r>
          </w:p>
        </w:tc>
      </w:tr>
      <w:tr>
        <w:trPr>
          <w:jc w:val="center"/>
        </w:trPr>
        <w:tc>
          <w:tcPr>
            <w:tcW w:w="212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表 VIII–IX</w:t>
            </w:r>
          </w:p>
        </w:tc>
        <w:tc>
          <w:tcPr>
            <w:tcW w:w="1792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治理指数、换手率</w:t>
            </w:r>
          </w:p>
        </w:tc>
        <w:tc>
          <w:tcPr>
            <w:tcW w:w="44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53</w:t>
            </w:r>
          </w:p>
        </w:tc>
        <w:tc>
          <w:tcPr>
            <w:tcW w:w="44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44</w:t>
            </w:r>
          </w:p>
        </w:tc>
        <w:tc>
          <w:tcPr>
            <w:tcW w:w="425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多数分项对得上；G-Index-I、关联交易净流出等未通过（ALN-2）</w:t>
            </w:r>
          </w:p>
        </w:tc>
      </w:tr>
      <w:tr>
        <w:trPr>
          <w:jc w:val="center"/>
        </w:trPr>
        <w:tc>
          <w:tcPr>
            <w:tcW w:w="212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表 X</w:t>
            </w:r>
          </w:p>
        </w:tc>
        <w:tc>
          <w:tcPr>
            <w:tcW w:w="1792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治理、行为偏差与收益</w:t>
            </w:r>
          </w:p>
        </w:tc>
        <w:tc>
          <w:tcPr>
            <w:tcW w:w="44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36</w:t>
            </w:r>
          </w:p>
        </w:tc>
        <w:tc>
          <w:tcPr>
            <w:tcW w:w="44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11</w:t>
            </w:r>
          </w:p>
        </w:tc>
        <w:tc>
          <w:tcPr>
            <w:tcW w:w="425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G-Index-A 系数方向一致但显著性弱（ALN-4）</w:t>
            </w:r>
          </w:p>
        </w:tc>
      </w:tr>
      <w:tr>
        <w:trPr>
          <w:jc w:val="center"/>
        </w:trPr>
        <w:tc>
          <w:tcPr>
            <w:tcW w:w="212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表 XI</w:t>
            </w:r>
          </w:p>
        </w:tc>
        <w:tc>
          <w:tcPr>
            <w:tcW w:w="1792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治理与经营表现</w:t>
            </w:r>
          </w:p>
        </w:tc>
        <w:tc>
          <w:tcPr>
            <w:tcW w:w="44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16</w:t>
            </w:r>
          </w:p>
        </w:tc>
        <w:tc>
          <w:tcPr>
            <w:tcW w:w="44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10</w:t>
            </w:r>
          </w:p>
        </w:tc>
        <w:tc>
          <w:tcPr>
            <w:tcW w:w="4255" w:type="dxa"/>
          </w:tcPr>
          <w:p>
            <w:pPr>
              <w:spacing w:after="0" w:line="264" w:lineRule="auto"/>
              <w:rPr>
                <w:color w:val="auto"/>
              </w:rPr>
            </w:pPr>
          </w:p>
        </w:tc>
      </w:tr>
      <w:tr>
        <w:trPr>
          <w:jc w:val="center"/>
        </w:trPr>
        <w:tc>
          <w:tcPr>
            <w:tcW w:w="212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表 XII（A 股部分）</w:t>
            </w:r>
          </w:p>
        </w:tc>
        <w:tc>
          <w:tcPr>
            <w:tcW w:w="1792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大盘股与国企</w:t>
            </w:r>
          </w:p>
        </w:tc>
        <w:tc>
          <w:tcPr>
            <w:tcW w:w="44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32</w:t>
            </w:r>
          </w:p>
        </w:tc>
        <w:tc>
          <w:tcPr>
            <w:tcW w:w="44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21</w:t>
            </w:r>
          </w:p>
        </w:tc>
        <w:tc>
          <w:tcPr>
            <w:tcW w:w="425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大盘股系数四列同号同档（ALN-9）</w:t>
            </w:r>
          </w:p>
        </w:tc>
      </w:tr>
      <w:tr>
        <w:trPr>
          <w:jc w:val="center"/>
        </w:trPr>
        <w:tc>
          <w:tcPr>
            <w:tcW w:w="212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表 XIII</w:t>
            </w:r>
          </w:p>
        </w:tc>
        <w:tc>
          <w:tcPr>
            <w:tcW w:w="1792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关联交易与 A+H 交叉上市</w:t>
            </w:r>
          </w:p>
        </w:tc>
        <w:tc>
          <w:tcPr>
            <w:tcW w:w="44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41</w:t>
            </w:r>
          </w:p>
        </w:tc>
        <w:tc>
          <w:tcPr>
            <w:tcW w:w="44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18</w:t>
            </w:r>
          </w:p>
        </w:tc>
        <w:tc>
          <w:tcPr>
            <w:tcW w:w="425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关联交易口径（ALN-5）</w:t>
            </w:r>
          </w:p>
        </w:tc>
      </w:tr>
      <w:tr>
        <w:trPr>
          <w:jc w:val="center"/>
        </w:trPr>
        <w:tc>
          <w:tcPr>
            <w:tcW w:w="212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图 1–2</w:t>
            </w:r>
          </w:p>
        </w:tc>
        <w:tc>
          <w:tcPr>
            <w:tcW w:w="1792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买入持有实际收益</w:t>
            </w:r>
          </w:p>
        </w:tc>
        <w:tc>
          <w:tcPr>
            <w:tcW w:w="44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</w:t>
            </w:r>
          </w:p>
        </w:tc>
        <w:tc>
          <w:tcPr>
            <w:tcW w:w="44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</w:t>
            </w:r>
          </w:p>
        </w:tc>
        <w:tc>
          <w:tcPr>
            <w:tcW w:w="425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终值 1.10，论文 1.01</w:t>
            </w:r>
          </w:p>
        </w:tc>
      </w:tr>
      <w:tr>
        <w:trPr>
          <w:jc w:val="center"/>
        </w:trPr>
        <w:tc>
          <w:tcPr>
            <w:tcW w:w="212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图 4–5、第 III.A.2 节</w:t>
            </w:r>
          </w:p>
        </w:tc>
        <w:tc>
          <w:tcPr>
            <w:tcW w:w="1792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ST、投资、退市</w:t>
            </w:r>
          </w:p>
        </w:tc>
        <w:tc>
          <w:tcPr>
            <w:tcW w:w="44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6</w:t>
            </w:r>
          </w:p>
        </w:tc>
        <w:tc>
          <w:tcPr>
            <w:tcW w:w="44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</w:t>
            </w:r>
          </w:p>
        </w:tc>
        <w:tc>
          <w:tcPr>
            <w:tcW w:w="4255" w:type="dxa"/>
          </w:tcPr>
          <w:p>
            <w:pPr>
              <w:spacing w:after="0" w:line="264" w:lineRule="auto"/>
              <w:rPr>
                <w:color w:val="auto"/>
              </w:rPr>
            </w:pPr>
          </w:p>
        </w:tc>
      </w:tr>
      <w:tr>
        <w:trPr>
          <w:jc w:val="center"/>
        </w:trPr>
        <w:tc>
          <w:tcPr>
            <w:tcW w:w="212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正文数字</w:t>
            </w:r>
          </w:p>
        </w:tc>
        <w:tc>
          <w:tcPr>
            <w:tcW w:w="1792" w:type="dxa"/>
          </w:tcPr>
          <w:p>
            <w:pPr>
              <w:spacing w:after="0" w:line="264" w:lineRule="auto"/>
              <w:rPr>
                <w:color w:val="auto"/>
              </w:rPr>
            </w:pPr>
          </w:p>
        </w:tc>
        <w:tc>
          <w:tcPr>
            <w:tcW w:w="44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12</w:t>
            </w:r>
          </w:p>
        </w:tc>
        <w:tc>
          <w:tcPr>
            <w:tcW w:w="44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3</w:t>
            </w:r>
          </w:p>
        </w:tc>
        <w:tc>
          <w:tcPr>
            <w:tcW w:w="4255" w:type="dxa"/>
          </w:tcPr>
          <w:p>
            <w:pPr>
              <w:spacing w:after="0" w:line="264" w:lineRule="auto"/>
              <w:rPr>
                <w:color w:val="auto"/>
              </w:rPr>
            </w:pPr>
          </w:p>
        </w:tc>
      </w:tr>
    </w:tbl>
    <w:p>
      <w:pPr>
        <w:spacing w:after="40"/>
        <w:rPr>
          <w:color w:val="auto"/>
        </w:rPr>
      </w:pPr>
    </w:p>
    <w:p>
      <w:pPr>
        <w:rPr>
          <w:color w:val="auto"/>
        </w:rPr>
      </w:pPr>
      <w:r>
        <w:rPr>
          <w:rFonts w:ascii="Times New Roman" w:hAnsi="Times New Roman" w:eastAsia="宋体" w:cs="Times New Roman"/>
          <w:b/>
          <w:color w:val="auto"/>
        </w:rPr>
        <w:t>核心结论成立</w:t>
      </w:r>
      <w:r>
        <w:rPr>
          <w:rFonts w:ascii="Times New Roman" w:hAnsi="Times New Roman" w:eastAsia="宋体" w:cs="Times New Roman"/>
          <w:color w:val="auto"/>
        </w:rPr>
        <w:t>：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</w:t>
      </w:r>
      <w:r>
        <w:rPr>
          <w:rFonts w:ascii="Times New Roman" w:hAnsi="Times New Roman" w:eastAsia="宋体" w:cs="Times New Roman"/>
          <w:b/>
          <w:color w:val="auto"/>
        </w:rPr>
        <w:t>A 股长期实际收益很低</w:t>
      </w:r>
      <w:r>
        <w:rPr>
          <w:rFonts w:ascii="Times New Roman" w:hAnsi="Times New Roman" w:eastAsia="宋体" w:cs="Times New Roman"/>
          <w:color w:val="auto"/>
        </w:rPr>
        <w:t>：2000-12 买入 1 元（实际值），到 2018-12 值 1.10 元，论文 1.01 元。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</w:t>
      </w:r>
      <w:r>
        <w:rPr>
          <w:rFonts w:ascii="Times New Roman" w:hAnsi="Times New Roman" w:eastAsia="宋体" w:cs="Times New Roman"/>
          <w:b/>
          <w:color w:val="auto"/>
        </w:rPr>
        <w:t>大盘股显著跑输</w:t>
      </w:r>
      <w:r>
        <w:rPr>
          <w:rFonts w:ascii="Times New Roman" w:hAnsi="Times New Roman" w:eastAsia="宋体" w:cs="Times New Roman"/>
          <w:color w:val="auto"/>
        </w:rPr>
        <w:t>：表 XII 第 1 列 Large 系数为 −8.0 个百分点/年（t −3.4），论文 −6.4（t −4.0）。投资列 0.58（t 6.8），论文 0.46（t 6.0）。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</w:t>
      </w:r>
      <w:r>
        <w:rPr>
          <w:rFonts w:ascii="Times New Roman" w:hAnsi="Times New Roman" w:eastAsia="宋体" w:cs="Times New Roman"/>
          <w:b/>
          <w:color w:val="auto"/>
        </w:rPr>
        <w:t>IPO 前后业绩大幅下滑</w:t>
      </w:r>
      <w:r>
        <w:rPr>
          <w:rFonts w:ascii="Times New Roman" w:hAnsi="Times New Roman" w:eastAsia="宋体" w:cs="Times New Roman"/>
          <w:color w:val="auto"/>
        </w:rPr>
        <w:t>：上市前一年 ROA 14.3%，上市后一年 7.2%；论文 13% → 6%。</w:t>
      </w:r>
    </w:p>
    <w:p>
      <w:pPr>
        <w:spacing w:after="40"/>
        <w:ind w:left="425" w:hanging="283"/>
        <w:rPr>
          <w:rFonts w:ascii="Times New Roman" w:hAnsi="Times New Roman" w:eastAsia="宋体" w:cs="Times New Roman"/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</w:t>
      </w:r>
      <w:r>
        <w:rPr>
          <w:rFonts w:ascii="Times New Roman" w:hAnsi="Times New Roman" w:eastAsia="宋体" w:cs="Times New Roman"/>
          <w:b/>
          <w:color w:val="auto"/>
        </w:rPr>
        <w:t>ST 公司</w:t>
      </w:r>
      <w:r>
        <w:rPr>
          <w:rFonts w:ascii="Times New Roman" w:hAnsi="Times New Roman" w:eastAsia="宋体" w:cs="Times New Roman"/>
          <w:color w:val="auto"/>
        </w:rPr>
        <w:t>：2000–2018 年首次被 ST 的公司 562 家，论文 572 家。</w:t>
      </w:r>
    </w:p>
    <w:p>
      <w:pPr>
        <w:spacing w:after="40"/>
        <w:ind w:left="425" w:hanging="283"/>
        <w:rPr>
          <w:rFonts w:ascii="Times New Roman" w:hAnsi="Times New Roman" w:eastAsia="宋体" w:cs="Times New Roman"/>
          <w:color w:val="auto"/>
        </w:rPr>
      </w:pPr>
    </w:p>
    <w:p>
      <w:pPr>
        <w:spacing w:after="40"/>
        <w:ind w:left="425" w:hanging="283"/>
        <w:rPr>
          <w:rFonts w:ascii="Times New Roman" w:hAnsi="Times New Roman" w:eastAsia="宋体" w:cs="Times New Roman"/>
          <w:color w:val="auto"/>
        </w:rPr>
      </w:pPr>
    </w:p>
    <w:p>
      <w:pPr>
        <w:pStyle w:val="5"/>
        <w:rPr>
          <w:color w:val="auto"/>
        </w:rPr>
      </w:pPr>
      <w:bookmarkStart w:id="9010" w:name="_TocReport010"/>
      <w:r>
        <w:rPr>
          <w:rFonts w:ascii="Times New Roman" w:hAnsi="Times New Roman" w:eastAsia="黑体" w:cs="Times New Roman"/>
          <w:color w:val="auto"/>
        </w:rPr>
        <w:t>3.2 主要偏差及原因</w:t>
      </w:r>
      <w:bookmarkEnd w:id="9010"/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1. </w:t>
      </w:r>
      <w:r>
        <w:rPr>
          <w:rFonts w:ascii="Times New Roman" w:hAnsi="Times New Roman" w:eastAsia="宋体" w:cs="Times New Roman"/>
          <w:b/>
          <w:color w:val="auto"/>
        </w:rPr>
        <w:t>国企口径</w:t>
      </w:r>
      <w:r>
        <w:rPr>
          <w:rFonts w:ascii="Times New Roman" w:hAnsi="Times New Roman" w:eastAsia="宋体" w:cs="Times New Roman"/>
          <w:color w:val="auto"/>
        </w:rPr>
        <w:t>：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◦ 我们用 CSMAR 实际控制人性质定义国企，论文用 WIND 的"最终控制人"。2003–2014 年我们的国企数比论文多 10–19%，2015 年论文序列跳升 23%，而我们的几乎不变。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◦ 控制人文件从 2003 年开始，2000–2002 年按每家公司最早观测到的状态回溯。回溯后 2000 年国企占比 73.2%，论文正文为 70%。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◦ 这影响所有含国企的回归。例如表 XII 投资列的国企系数，我们为负且显著，论文为正、不显著。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2. </w:t>
      </w:r>
      <w:r>
        <w:rPr>
          <w:rFonts w:ascii="Times New Roman" w:hAnsi="Times New Roman" w:eastAsia="宋体" w:cs="Times New Roman"/>
          <w:b/>
          <w:color w:val="auto"/>
        </w:rPr>
        <w:t>治理与收益的关系弱于论文</w:t>
      </w:r>
      <w:r>
        <w:rPr>
          <w:rFonts w:ascii="Times New Roman" w:hAnsi="Times New Roman" w:eastAsia="宋体" w:cs="Times New Roman"/>
          <w:color w:val="auto"/>
        </w:rPr>
        <w:t>：表 X 第 1 列 G-Index-A 系数为 1.09（t 1.90），论文 1.45（t 2.89），系数大小在容差内，但显著性低两档：我们在 5% 水平不显著。回归观测数为 30,256，论文为 36,044（ALN-4）。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3. </w:t>
      </w:r>
      <w:r>
        <w:rPr>
          <w:rFonts w:ascii="Times New Roman" w:hAnsi="Times New Roman" w:eastAsia="宋体" w:cs="Times New Roman"/>
          <w:b/>
          <w:color w:val="auto"/>
        </w:rPr>
        <w:t>关联交易方向</w:t>
      </w:r>
      <w:r>
        <w:rPr>
          <w:rFonts w:ascii="Times New Roman" w:hAnsi="Times New Roman" w:eastAsia="宋体" w:cs="Times New Roman"/>
          <w:color w:val="auto"/>
        </w:rPr>
        <w:t>：用 CSMAR 关联交易表算出的"关联交易净流出"均值为负（−0.0068），论文为正（0.007）。三种口径（只算资金往来、按类别算现金流、把向关联方销售算作流出）都是负数（ALN-2）。表 XIII 中关联交易流出的系数方向也与论文相反；ALN-5 认为更可能是 CSMAR 资金往来的规模小于论文所用数据，与这个均值的符号无直接关系。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4. </w:t>
      </w:r>
      <w:r>
        <w:rPr>
          <w:rFonts w:ascii="Times New Roman" w:hAnsi="Times New Roman" w:eastAsia="宋体" w:cs="Times New Roman"/>
          <w:b/>
          <w:color w:val="auto"/>
        </w:rPr>
        <w:t>做不了的</w:t>
      </w:r>
      <w:r>
        <w:rPr>
          <w:rFonts w:ascii="Times New Roman" w:hAnsi="Times New Roman" w:eastAsia="宋体" w:cs="Times New Roman"/>
          <w:color w:val="auto"/>
        </w:rPr>
        <w:t>：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◦ 所有跨国表（表 II–VII、表 XII Panel B–C）需要 Worldscope、BoardEx、RiskMetrics；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◦ AH 溢价需要港股价格，NYU 未订阅港股市场库。</w:t>
      </w:r>
    </w:p>
    <w:p>
      <w:pPr>
        <w:pStyle w:val="5"/>
        <w:rPr>
          <w:color w:val="auto"/>
        </w:rPr>
      </w:pPr>
      <w:bookmarkStart w:id="9011" w:name="_TocReport011"/>
      <w:r>
        <w:rPr>
          <w:rFonts w:ascii="Times New Roman" w:hAnsi="Times New Roman" w:eastAsia="黑体" w:cs="Times New Roman"/>
          <w:color w:val="auto"/>
        </w:rPr>
        <w:t>3.3 图</w:t>
      </w:r>
      <w:bookmarkEnd w:id="9011"/>
    </w:p>
    <w:p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19700" cy="2982595"/>
            <wp:effectExtent l="0" t="0" r="1270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8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color w:val="auto"/>
        </w:rPr>
      </w:pPr>
      <w:r>
        <w:rPr>
          <w:rFonts w:ascii="Times New Roman" w:hAnsi="Times New Roman" w:eastAsia="宋体" w:cs="Times New Roman"/>
          <w:color w:val="auto"/>
          <w:sz w:val="18"/>
        </w:rPr>
        <w:t>Allen 图 1–2：A 股买入持有实际收益（原文段）</w:t>
      </w:r>
    </w:p>
    <w:p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19700" cy="3340735"/>
            <wp:effectExtent l="0" t="0" r="1270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color w:val="auto"/>
        </w:rPr>
      </w:pPr>
      <w:r>
        <w:rPr>
          <w:rFonts w:ascii="Times New Roman" w:hAnsi="Times New Roman" w:eastAsia="宋体" w:cs="Times New Roman"/>
          <w:color w:val="auto"/>
          <w:sz w:val="18"/>
        </w:rPr>
        <w:t>Allen 图 4：永久 ST 公司被 ST 前后的 ROA</w:t>
      </w:r>
    </w:p>
    <w:p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19700" cy="4349750"/>
            <wp:effectExtent l="0" t="0" r="12700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color w:val="auto"/>
        </w:rPr>
      </w:pPr>
      <w:r>
        <w:rPr>
          <w:rFonts w:ascii="Times New Roman" w:hAnsi="Times New Roman" w:eastAsia="宋体" w:cs="Times New Roman"/>
          <w:color w:val="auto"/>
          <w:sz w:val="18"/>
        </w:rPr>
        <w:t>Allen 图 5：投资与净现金流</w:t>
      </w:r>
    </w:p>
    <w:p>
      <w:pPr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图 4 的形态与论文一致：ST 前五年到三年 ROA 为正，前两年转负，被 ST 当年为 −25.9%。</w:t>
      </w:r>
    </w:p>
    <w:p>
      <w:pPr>
        <w:pStyle w:val="5"/>
        <w:rPr>
          <w:color w:val="auto"/>
        </w:rPr>
      </w:pPr>
      <w:bookmarkStart w:id="9012" w:name="_TocReport012"/>
      <w:r>
        <w:rPr>
          <w:rFonts w:ascii="Times New Roman" w:hAnsi="Times New Roman" w:eastAsia="黑体" w:cs="Times New Roman"/>
          <w:color w:val="auto"/>
        </w:rPr>
        <w:t>3.4 延长到 2025 年</w:t>
      </w:r>
      <w:bookmarkEnd w:id="9012"/>
    </w:p>
    <w:tbl>
      <w:tblPr>
        <w:tblStyle w:val="33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3"/>
        <w:gridCol w:w="2528"/>
        <w:gridCol w:w="1859"/>
        <w:gridCol w:w="1561"/>
      </w:tblGrid>
      <w:tr>
        <w:trPr>
          <w:jc w:val="center"/>
        </w:trPr>
        <w:tc>
          <w:tcPr>
            <w:tcW w:w="3123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段</w:t>
            </w:r>
          </w:p>
        </w:tc>
        <w:tc>
          <w:tcPr>
            <w:tcW w:w="2528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买入持有终值（实际，月度）：全市场 / 小盘 / 中盘 / 大盘</w:t>
            </w:r>
          </w:p>
        </w:tc>
        <w:tc>
          <w:tcPr>
            <w:tcW w:w="1859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表 XII Large 系数（t）（年度回归）</w:t>
            </w:r>
          </w:p>
        </w:tc>
        <w:tc>
          <w:tcPr>
            <w:tcW w:w="1561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表 X G-Index-A 系数（t）</w:t>
            </w:r>
          </w:p>
        </w:tc>
      </w:tr>
      <w:tr>
        <w:trPr>
          <w:jc w:val="center"/>
        </w:trPr>
        <w:tc>
          <w:tcPr>
            <w:tcW w:w="3123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原文（买入持有 2000-12 至 2018-12；回归 2000–2018）</w:t>
            </w:r>
          </w:p>
        </w:tc>
        <w:tc>
          <w:tcPr>
            <w:tcW w:w="252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1.10 / 4.31 / 1.70 / 1.08</w:t>
            </w:r>
          </w:p>
        </w:tc>
        <w:tc>
          <w:tcPr>
            <w:tcW w:w="1859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−8.0（−3.4）</w:t>
            </w:r>
          </w:p>
        </w:tc>
        <w:tc>
          <w:tcPr>
            <w:tcW w:w="1561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1.09（1.90）</w:t>
            </w:r>
          </w:p>
        </w:tc>
      </w:tr>
      <w:tr>
        <w:trPr>
          <w:jc w:val="center"/>
        </w:trPr>
        <w:tc>
          <w:tcPr>
            <w:tcW w:w="3123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延长（买入持有 2019-01 至 2026-08；回归 2019–2025）</w:t>
            </w:r>
          </w:p>
        </w:tc>
        <w:tc>
          <w:tcPr>
            <w:tcW w:w="252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1.85 / 2.79 / 1.85 / 1.80</w:t>
            </w:r>
          </w:p>
        </w:tc>
        <w:tc>
          <w:tcPr>
            <w:tcW w:w="1859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−5.1（−1.6）</w:t>
            </w:r>
          </w:p>
        </w:tc>
        <w:tc>
          <w:tcPr>
            <w:tcW w:w="1561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0.36（0.65）</w:t>
            </w:r>
          </w:p>
        </w:tc>
      </w:tr>
      <w:tr>
        <w:trPr>
          <w:jc w:val="center"/>
        </w:trPr>
        <w:tc>
          <w:tcPr>
            <w:tcW w:w="3123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全样本（买入持有 2000-01 至 2026-08；回归 2000–2025）</w:t>
            </w:r>
          </w:p>
        </w:tc>
        <w:tc>
          <w:tcPr>
            <w:tcW w:w="2528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2.09 / 12.6 / 3.29 / 1.99</w:t>
            </w:r>
          </w:p>
        </w:tc>
        <w:tc>
          <w:tcPr>
            <w:tcW w:w="1859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−6.2（−2.9）</w:t>
            </w:r>
          </w:p>
        </w:tc>
        <w:tc>
          <w:tcPr>
            <w:tcW w:w="1561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0.74（1.49）</w:t>
            </w:r>
          </w:p>
        </w:tc>
      </w:tr>
    </w:tbl>
    <w:p>
      <w:pPr>
        <w:spacing w:after="40"/>
        <w:rPr>
          <w:color w:val="auto"/>
        </w:rPr>
      </w:pP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</w:t>
      </w:r>
      <w:r>
        <w:rPr>
          <w:rFonts w:ascii="Times New Roman" w:hAnsi="Times New Roman" w:eastAsia="宋体" w:cs="Times New Roman"/>
          <w:b/>
          <w:color w:val="auto"/>
        </w:rPr>
        <w:t>"A 股长期表现差"在 2019 年后明显改善</w:t>
      </w:r>
      <w:r>
        <w:rPr>
          <w:rFonts w:ascii="Times New Roman" w:hAnsi="Times New Roman" w:eastAsia="宋体" w:cs="Times New Roman"/>
          <w:color w:val="auto"/>
        </w:rPr>
        <w:t>：2019-01 至 2026-08 约 7.7 年实际收益 85%（终值 1.85；截至 2025-12 为 1.77），全样本终值 2.09。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</w:t>
      </w:r>
      <w:r>
        <w:rPr>
          <w:rFonts w:ascii="Times New Roman" w:hAnsi="Times New Roman" w:eastAsia="宋体" w:cs="Times New Roman"/>
          <w:b/>
          <w:color w:val="auto"/>
        </w:rPr>
        <w:t>大盘股跑输小盘股的现象延续</w:t>
      </w:r>
      <w:r>
        <w:rPr>
          <w:rFonts w:ascii="Times New Roman" w:hAnsi="Times New Roman" w:eastAsia="宋体" w:cs="Times New Roman"/>
          <w:color w:val="auto"/>
        </w:rPr>
        <w:t>：延长段大盘 1.80、小盘 2.79。但控制其他变量后，Large 系数在延长段已不显著（t −1.6）。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</w:t>
      </w:r>
      <w:r>
        <w:rPr>
          <w:rFonts w:ascii="Times New Roman" w:hAnsi="Times New Roman" w:eastAsia="宋体" w:cs="Times New Roman"/>
          <w:b/>
          <w:color w:val="auto"/>
        </w:rPr>
        <w:t>治理指数与收益的关系在延长段消失</w:t>
      </w:r>
      <w:r>
        <w:rPr>
          <w:rFonts w:ascii="Times New Roman" w:hAnsi="Times New Roman" w:eastAsia="宋体" w:cs="Times New Roman"/>
          <w:color w:val="auto"/>
        </w:rPr>
        <w:t>（t 0.65）。</w:t>
      </w:r>
    </w:p>
    <w:p>
      <w:pPr>
        <w:pBdr>
          <w:bottom w:val="single" w:color="999999" w:sz="6" w:space="1"/>
        </w:pBdr>
        <w:rPr>
          <w:color w:val="auto"/>
        </w:rPr>
      </w:pPr>
    </w:p>
    <w:p>
      <w:pPr>
        <w:pStyle w:val="4"/>
        <w:rPr>
          <w:color w:val="auto"/>
        </w:rPr>
      </w:pPr>
      <w:bookmarkStart w:id="9013" w:name="_TocReport013"/>
      <w:r>
        <w:rPr>
          <w:rFonts w:ascii="Times New Roman" w:hAnsi="Times New Roman" w:eastAsia="黑体" w:cs="Times New Roman"/>
          <w:color w:val="auto"/>
        </w:rPr>
        <w:t>4. Li（2024）：Replicating and digesting anomalies in the Chinese A-share market</w:t>
      </w:r>
      <w:bookmarkEnd w:id="9013"/>
    </w:p>
    <w:p>
      <w:pPr>
        <w:pStyle w:val="5"/>
        <w:rPr>
          <w:color w:val="auto"/>
        </w:rPr>
      </w:pPr>
      <w:bookmarkStart w:id="9014" w:name="_TocReport014"/>
      <w:r>
        <w:rPr>
          <w:rFonts w:ascii="Times New Roman" w:hAnsi="Times New Roman" w:eastAsia="黑体" w:cs="Times New Roman"/>
          <w:color w:val="auto"/>
        </w:rPr>
        <w:t>4.1 我们 vs 论文</w:t>
      </w:r>
      <w:bookmarkEnd w:id="9014"/>
    </w:p>
    <w:tbl>
      <w:tblPr>
        <w:tblStyle w:val="33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1910"/>
        <w:gridCol w:w="835"/>
        <w:gridCol w:w="835"/>
        <w:gridCol w:w="3819"/>
      </w:tblGrid>
      <w:tr>
        <w:trPr>
          <w:jc w:val="center"/>
        </w:trPr>
        <w:tc>
          <w:tcPr>
            <w:tcW w:w="1671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表</w:t>
            </w:r>
          </w:p>
        </w:tc>
        <w:tc>
          <w:tcPr>
            <w:tcW w:w="1910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内容</w:t>
            </w:r>
          </w:p>
        </w:tc>
        <w:tc>
          <w:tcPr>
            <w:tcW w:w="835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打分</w:t>
            </w:r>
          </w:p>
        </w:tc>
        <w:tc>
          <w:tcPr>
            <w:tcW w:w="835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通过</w:t>
            </w:r>
          </w:p>
        </w:tc>
        <w:tc>
          <w:tcPr>
            <w:tcW w:w="3819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说明</w:t>
            </w:r>
          </w:p>
        </w:tc>
      </w:tr>
      <w:tr>
        <w:trPr>
          <w:jc w:val="center"/>
        </w:trPr>
        <w:tc>
          <w:tcPr>
            <w:tcW w:w="1671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表 1</w:t>
            </w:r>
          </w:p>
        </w:tc>
        <w:tc>
          <w:tcPr>
            <w:tcW w:w="191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样本、11 个因子、相关矩阵</w:t>
            </w:r>
          </w:p>
        </w:tc>
        <w:tc>
          <w:tcPr>
            <w:tcW w:w="83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530</w:t>
            </w:r>
          </w:p>
        </w:tc>
        <w:tc>
          <w:tcPr>
            <w:tcW w:w="83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526</w:t>
            </w:r>
          </w:p>
        </w:tc>
        <w:tc>
          <w:tcPr>
            <w:tcW w:w="3819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样本 300 格中 299 格一致；CH 系列一致</w:t>
            </w:r>
          </w:p>
        </w:tc>
      </w:tr>
      <w:tr>
        <w:trPr>
          <w:jc w:val="center"/>
        </w:trPr>
        <w:tc>
          <w:tcPr>
            <w:tcW w:w="1671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表 2</w:t>
            </w:r>
          </w:p>
        </w:tc>
        <w:tc>
          <w:tcPr>
            <w:tcW w:w="191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微盘股与投资容量</w:t>
            </w:r>
          </w:p>
        </w:tc>
        <w:tc>
          <w:tcPr>
            <w:tcW w:w="83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208</w:t>
            </w:r>
          </w:p>
        </w:tc>
        <w:tc>
          <w:tcPr>
            <w:tcW w:w="83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143</w:t>
            </w:r>
          </w:p>
        </w:tc>
        <w:tc>
          <w:tcPr>
            <w:tcW w:w="3819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微盘股权重 56 格中 53 格通过</w:t>
            </w:r>
          </w:p>
        </w:tc>
      </w:tr>
      <w:tr>
        <w:trPr>
          <w:jc w:val="center"/>
        </w:trPr>
        <w:tc>
          <w:tcPr>
            <w:tcW w:w="1671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表 3</w:t>
            </w:r>
          </w:p>
        </w:tc>
        <w:tc>
          <w:tcPr>
            <w:tcW w:w="191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四种构造的显著率</w:t>
            </w:r>
          </w:p>
        </w:tc>
        <w:tc>
          <w:tcPr>
            <w:tcW w:w="83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168</w:t>
            </w:r>
          </w:p>
        </w:tc>
        <w:tc>
          <w:tcPr>
            <w:tcW w:w="83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52</w:t>
            </w:r>
          </w:p>
        </w:tc>
        <w:tc>
          <w:tcPr>
            <w:tcW w:w="3819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总显著率接近，分类构成不同</w:t>
            </w:r>
          </w:p>
        </w:tc>
      </w:tr>
      <w:tr>
        <w:trPr>
          <w:jc w:val="center"/>
        </w:trPr>
        <w:tc>
          <w:tcPr>
            <w:tcW w:w="1671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表 4</w:t>
            </w:r>
          </w:p>
        </w:tc>
        <w:tc>
          <w:tcPr>
            <w:tcW w:w="191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显著异象的多空收益</w:t>
            </w:r>
          </w:p>
        </w:tc>
        <w:tc>
          <w:tcPr>
            <w:tcW w:w="83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280</w:t>
            </w:r>
          </w:p>
        </w:tc>
        <w:tc>
          <w:tcPr>
            <w:tcW w:w="83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142</w:t>
            </w:r>
          </w:p>
        </w:tc>
        <w:tc>
          <w:tcPr>
            <w:tcW w:w="3819" w:type="dxa"/>
          </w:tcPr>
          <w:p>
            <w:pPr>
              <w:spacing w:after="0" w:line="264" w:lineRule="auto"/>
              <w:rPr>
                <w:color w:val="auto"/>
              </w:rPr>
            </w:pPr>
          </w:p>
        </w:tc>
      </w:tr>
      <w:tr>
        <w:trPr>
          <w:jc w:val="center"/>
        </w:trPr>
        <w:tc>
          <w:tcPr>
            <w:tcW w:w="1671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表 5–6</w:t>
            </w:r>
          </w:p>
        </w:tc>
        <w:tc>
          <w:tcPr>
            <w:tcW w:w="191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七个因子模型</w:t>
            </w:r>
          </w:p>
        </w:tc>
        <w:tc>
          <w:tcPr>
            <w:tcW w:w="83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2,616</w:t>
            </w:r>
          </w:p>
        </w:tc>
        <w:tc>
          <w:tcPr>
            <w:tcW w:w="83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1,499</w:t>
            </w:r>
          </w:p>
        </w:tc>
        <w:tc>
          <w:tcPr>
            <w:tcW w:w="3819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价差类缺失影响最大</w:t>
            </w:r>
          </w:p>
        </w:tc>
      </w:tr>
      <w:tr>
        <w:trPr>
          <w:jc w:val="center"/>
        </w:trPr>
        <w:tc>
          <w:tcPr>
            <w:tcW w:w="1671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表 7</w:t>
            </w:r>
          </w:p>
        </w:tc>
        <w:tc>
          <w:tcPr>
            <w:tcW w:w="191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国企 / 非国企</w:t>
            </w:r>
          </w:p>
        </w:tc>
        <w:tc>
          <w:tcPr>
            <w:tcW w:w="83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448</w:t>
            </w:r>
          </w:p>
        </w:tc>
        <w:tc>
          <w:tcPr>
            <w:tcW w:w="83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139</w:t>
            </w:r>
          </w:p>
        </w:tc>
        <w:tc>
          <w:tcPr>
            <w:tcW w:w="3819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国企子样本显著个数 43，论文 44</w:t>
            </w:r>
          </w:p>
        </w:tc>
      </w:tr>
      <w:tr>
        <w:trPr>
          <w:jc w:val="center"/>
        </w:trPr>
        <w:tc>
          <w:tcPr>
            <w:tcW w:w="1671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正文数字、第 4.2 节</w:t>
            </w:r>
          </w:p>
        </w:tc>
        <w:tc>
          <w:tcPr>
            <w:tcW w:w="1910" w:type="dxa"/>
          </w:tcPr>
          <w:p>
            <w:pPr>
              <w:spacing w:after="0" w:line="264" w:lineRule="auto"/>
              <w:rPr>
                <w:color w:val="auto"/>
              </w:rPr>
            </w:pPr>
          </w:p>
        </w:tc>
        <w:tc>
          <w:tcPr>
            <w:tcW w:w="83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20</w:t>
            </w:r>
          </w:p>
        </w:tc>
        <w:tc>
          <w:tcPr>
            <w:tcW w:w="835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9</w:t>
            </w:r>
          </w:p>
        </w:tc>
        <w:tc>
          <w:tcPr>
            <w:tcW w:w="3819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美国对照 2008 年后显著率 16.04%，与论文完全相同</w:t>
            </w:r>
          </w:p>
        </w:tc>
      </w:tr>
    </w:tbl>
    <w:p>
      <w:pPr>
        <w:spacing w:after="40"/>
        <w:rPr>
          <w:color w:val="auto"/>
        </w:rPr>
      </w:pPr>
    </w:p>
    <w:p>
      <w:pPr>
        <w:rPr>
          <w:color w:val="auto"/>
        </w:rPr>
      </w:pPr>
      <w:r>
        <w:rPr>
          <w:rFonts w:ascii="Times New Roman" w:hAnsi="Times New Roman" w:eastAsia="宋体" w:cs="Times New Roman"/>
          <w:b/>
          <w:color w:val="auto"/>
        </w:rPr>
        <w:t>数据和工具的复现程度很高</w:t>
      </w:r>
      <w:r>
        <w:rPr>
          <w:rFonts w:ascii="Times New Roman" w:hAnsi="Times New Roman" w:eastAsia="宋体" w:cs="Times New Roman"/>
          <w:color w:val="auto"/>
        </w:rPr>
        <w:t>：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• 样本：表 1 Panel A 各板块公司数、总市值、流通市值 20 年 × 15 列，300 格中 299 格与论文一致。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• 无风险利率：三个月存款利率与作者的月度序列 228 个月全部一致。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• 因子：11 个自建因子中 9 个与作者序列逐月相关 ≥ 0.95，RMW 为 0.906（差距几乎全在 2006-10 一个月），MOM 为 0.70（LI-1）。</w:t>
      </w:r>
    </w:p>
    <w:p>
      <w:pPr>
        <w:spacing w:after="40"/>
        <w:ind w:left="425" w:hanging="283"/>
        <w:rPr>
          <w:rFonts w:ascii="Times New Roman" w:hAnsi="Times New Roman" w:eastAsia="宋体" w:cs="Times New Roman"/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• 异象：作者复现包里有 139 条显著异象的五分位收益序列（2000–2019 和 2008–2019 两个样本期的文件合计），我们能构造其中 117 条，99 条逐月相关 ≥ 0.90。最高的 Srev 为 1.000，Ivc 为 0.998。</w:t>
      </w:r>
    </w:p>
    <w:p>
      <w:pPr>
        <w:spacing w:after="40"/>
        <w:ind w:left="425" w:hanging="283"/>
        <w:rPr>
          <w:rFonts w:ascii="Times New Roman" w:hAnsi="Times New Roman" w:eastAsia="宋体" w:cs="Times New Roman"/>
          <w:color w:val="auto"/>
        </w:rPr>
      </w:pPr>
    </w:p>
    <w:p>
      <w:pPr>
        <w:spacing w:after="40"/>
        <w:ind w:left="425" w:hanging="283"/>
        <w:rPr>
          <w:rFonts w:ascii="Times New Roman" w:hAnsi="Times New Roman" w:eastAsia="宋体" w:cs="Times New Roman"/>
          <w:color w:val="auto"/>
        </w:rPr>
      </w:pPr>
    </w:p>
    <w:p>
      <w:pPr>
        <w:spacing w:after="40"/>
        <w:ind w:left="425" w:hanging="283"/>
        <w:rPr>
          <w:rFonts w:ascii="Times New Roman" w:hAnsi="Times New Roman" w:eastAsia="宋体" w:cs="Times New Roman"/>
          <w:color w:val="auto"/>
        </w:rPr>
      </w:pPr>
    </w:p>
    <w:p>
      <w:pPr>
        <w:rPr>
          <w:color w:val="auto"/>
        </w:rPr>
      </w:pPr>
      <w:r>
        <w:rPr>
          <w:rFonts w:ascii="Times New Roman" w:hAnsi="Times New Roman" w:eastAsia="宋体" w:cs="Times New Roman"/>
          <w:b/>
          <w:color w:val="auto"/>
        </w:rPr>
        <w:t>核心结论成立</w:t>
      </w:r>
      <w:r>
        <w:rPr>
          <w:rFonts w:ascii="Times New Roman" w:hAnsi="Times New Roman" w:eastAsia="宋体" w:cs="Times New Roman"/>
          <w:color w:val="auto"/>
        </w:rPr>
        <w:t>：</w:t>
      </w:r>
    </w:p>
    <w:tbl>
      <w:tblPr>
        <w:tblStyle w:val="33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2709"/>
        <w:gridCol w:w="2709"/>
      </w:tblGrid>
      <w:tr>
        <w:trPr>
          <w:jc w:val="center"/>
        </w:trPr>
        <w:tc>
          <w:tcPr>
            <w:tcW w:w="3652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</w:p>
        </w:tc>
        <w:tc>
          <w:tcPr>
            <w:tcW w:w="2709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论文</w:t>
            </w:r>
          </w:p>
        </w:tc>
        <w:tc>
          <w:tcPr>
            <w:tcW w:w="2709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我们</w:t>
            </w:r>
          </w:p>
        </w:tc>
      </w:tr>
      <w:tr>
        <w:trPr>
          <w:jc w:val="center"/>
        </w:trPr>
        <w:tc>
          <w:tcPr>
            <w:tcW w:w="3652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主板-VW 显著率（|t| ≥ 1.96）</w:t>
            </w:r>
          </w:p>
        </w:tc>
        <w:tc>
          <w:tcPr>
            <w:tcW w:w="2709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16.6%（78/469）</w:t>
            </w:r>
          </w:p>
        </w:tc>
        <w:tc>
          <w:tcPr>
            <w:tcW w:w="2709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17.4%（79/453）</w:t>
            </w:r>
          </w:p>
        </w:tc>
      </w:tr>
      <w:tr>
        <w:trPr>
          <w:jc w:val="center"/>
        </w:trPr>
        <w:tc>
          <w:tcPr>
            <w:tcW w:w="3652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失败率：原始 / CAPM / FF3</w:t>
            </w:r>
          </w:p>
        </w:tc>
        <w:tc>
          <w:tcPr>
            <w:tcW w:w="2709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83.4% / 84.2% / 87.0%</w:t>
            </w:r>
          </w:p>
        </w:tc>
        <w:tc>
          <w:tcPr>
            <w:tcW w:w="2709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82.6% / 82.8% / 85.4%</w:t>
            </w:r>
          </w:p>
        </w:tc>
      </w:tr>
      <w:tr>
        <w:trPr>
          <w:jc w:val="center"/>
        </w:trPr>
        <w:tc>
          <w:tcPr>
            <w:tcW w:w="3652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主板-VW vs 全 A 等权显著率</w:t>
            </w:r>
          </w:p>
        </w:tc>
        <w:tc>
          <w:tcPr>
            <w:tcW w:w="2709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16.6% vs 47.6%</w:t>
            </w:r>
          </w:p>
        </w:tc>
        <w:tc>
          <w:tcPr>
            <w:tcW w:w="2709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17.4% vs 37.3%</w:t>
            </w:r>
          </w:p>
        </w:tc>
      </w:tr>
      <w:tr>
        <w:trPr>
          <w:jc w:val="center"/>
        </w:trPr>
        <w:tc>
          <w:tcPr>
            <w:tcW w:w="3652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最低五分位里的微盘股权重：主板-VW vs 全 A 等权</w:t>
            </w:r>
          </w:p>
        </w:tc>
        <w:tc>
          <w:tcPr>
            <w:tcW w:w="2709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8.2% vs 26.9%</w:t>
            </w:r>
          </w:p>
        </w:tc>
        <w:tc>
          <w:tcPr>
            <w:tcW w:w="2709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7.7% vs 26.6%</w:t>
            </w:r>
          </w:p>
        </w:tc>
      </w:tr>
      <w:tr>
        <w:trPr>
          <w:jc w:val="center"/>
        </w:trPr>
        <w:tc>
          <w:tcPr>
            <w:tcW w:w="3652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2008 年后显著个数</w:t>
            </w:r>
          </w:p>
        </w:tc>
        <w:tc>
          <w:tcPr>
            <w:tcW w:w="2709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61</w:t>
            </w:r>
          </w:p>
        </w:tc>
        <w:tc>
          <w:tcPr>
            <w:tcW w:w="2709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58</w:t>
            </w:r>
          </w:p>
        </w:tc>
      </w:tr>
      <w:tr>
        <w:trPr>
          <w:jc w:val="center"/>
        </w:trPr>
        <w:tc>
          <w:tcPr>
            <w:tcW w:w="3652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被各模型"解释"的显著异象比例：CH3 / CH4 / q</w:t>
            </w:r>
          </w:p>
        </w:tc>
        <w:tc>
          <w:tcPr>
            <w:tcW w:w="2709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54% / 47% / 26%</w:t>
            </w:r>
          </w:p>
        </w:tc>
        <w:tc>
          <w:tcPr>
            <w:tcW w:w="2709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73% / 73% / 54%</w:t>
            </w:r>
          </w:p>
        </w:tc>
      </w:tr>
    </w:tbl>
    <w:p>
      <w:pPr>
        <w:spacing w:after="40"/>
        <w:rPr>
          <w:color w:val="auto"/>
        </w:rPr>
      </w:pPr>
    </w:p>
    <w:p>
      <w:pPr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关于最后一行：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• 两边的排序一致（CH3、CH4 强于 q），2008 年后都是 q 最强（论文 74%，我们 90%）。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• 我们的"解释比例"整体偏高，因为论文中 12 个难以解释的价差 / VPIN 异象我们做不了（LI-7）。用论文自己的显著集合重算后，CH3 下仍显著的个数为 22/66，论文为 36/78，扣掉这 12 个后约 24。</w:t>
      </w:r>
    </w:p>
    <w:p>
      <w:pPr>
        <w:pStyle w:val="5"/>
        <w:rPr>
          <w:color w:val="auto"/>
        </w:rPr>
      </w:pPr>
      <w:bookmarkStart w:id="9015" w:name="_TocReport015"/>
      <w:r>
        <w:rPr>
          <w:rFonts w:ascii="Times New Roman" w:hAnsi="Times New Roman" w:eastAsia="黑体" w:cs="Times New Roman"/>
          <w:color w:val="auto"/>
        </w:rPr>
        <w:t>4.2 主要偏差及原因</w:t>
      </w:r>
      <w:bookmarkEnd w:id="9015"/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1. </w:t>
      </w:r>
      <w:r>
        <w:rPr>
          <w:rFonts w:ascii="Times New Roman" w:hAnsi="Times New Roman" w:eastAsia="宋体" w:cs="Times New Roman"/>
          <w:b/>
          <w:color w:val="auto"/>
        </w:rPr>
        <w:t>数据未订阅（16 个异象）</w:t>
      </w:r>
      <w:r>
        <w:rPr>
          <w:rFonts w:ascii="Times New Roman" w:hAnsi="Times New Roman" w:eastAsia="宋体" w:cs="Times New Roman"/>
          <w:color w:val="auto"/>
        </w:rPr>
        <w:t>：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◦ 有效价差、报价价差、VPIN（共 15 个）需要 CSMAR"已实现指标"库，专利（Parc，1 个）需要"上市公司研发创新"库，NYU 都没有订阅。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◦ 论文 78 个显著异象中有 12 个在其中，所以我们的交易摩擦类显著率偏低（21.9%，论文 32.2%）。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2. </w:t>
      </w:r>
      <w:r>
        <w:rPr>
          <w:rFonts w:ascii="Times New Roman" w:hAnsi="Times New Roman" w:eastAsia="宋体" w:cs="Times New Roman"/>
          <w:b/>
          <w:color w:val="auto"/>
        </w:rPr>
        <w:t>用替代数据构造的变量</w:t>
      </w:r>
      <w:r>
        <w:rPr>
          <w:rFonts w:ascii="Times New Roman" w:hAnsi="Times New Roman" w:eastAsia="宋体" w:cs="Times New Roman"/>
          <w:color w:val="auto"/>
        </w:rPr>
        <w:t>：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◦ 研发支出：数据手册所用的研发投入表未订阅，用管理费用代替，与作者在季度研发变量中的做法相同；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◦ 治理指数：缺机构持股，用其余 6 个输入；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◦ 操控性应计：按修正 Jones 模型自建；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◦ Pástor–Stambaugh 流动性：CSMAR 序列未订阅，按原方法自建，与作者序列相关 0.67。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3. </w:t>
      </w:r>
      <w:r>
        <w:rPr>
          <w:rFonts w:ascii="Times New Roman" w:hAnsi="Times New Roman" w:eastAsia="宋体" w:cs="Times New Roman"/>
          <w:b/>
          <w:color w:val="auto"/>
        </w:rPr>
        <w:t>季度盈利类异象比论文强</w:t>
      </w:r>
      <w:r>
        <w:rPr>
          <w:rFonts w:ascii="Times New Roman" w:hAnsi="Times New Roman" w:eastAsia="宋体" w:cs="Times New Roman"/>
          <w:color w:val="auto"/>
        </w:rPr>
        <w:t>：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◦ 例如 Roeq1 月均 0.81%（t 2.29），论文 0.48% 且不显著。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◦ 时点规则用作者序列校准过：Sue、dRoe、dRoa 的相关在 0.87–0.99。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◦ 最可能的原因是 CSMAR 季度报表和公告日期的数据版本不同（作者 2019–2021 年取数）。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4. </w:t>
      </w:r>
      <w:r>
        <w:rPr>
          <w:rFonts w:ascii="Times New Roman" w:hAnsi="Times New Roman" w:eastAsia="宋体" w:cs="Times New Roman"/>
          <w:b/>
          <w:color w:val="auto"/>
        </w:rPr>
        <w:t>作者流程里的前视</w:t>
      </w:r>
      <w:r>
        <w:rPr>
          <w:rFonts w:ascii="Times New Roman" w:hAnsi="Times New Roman" w:eastAsia="宋体" w:cs="Times New Roman"/>
          <w:color w:val="auto"/>
        </w:rPr>
        <w:t>（LI-2）：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◦ 数据手册说剔除 5 元以下股票，但只有同时剔除"</w:t>
      </w:r>
      <w:r>
        <w:rPr>
          <w:rFonts w:ascii="Times New Roman" w:hAnsi="Times New Roman" w:eastAsia="宋体" w:cs="Times New Roman"/>
          <w:b/>
          <w:color w:val="auto"/>
        </w:rPr>
        <w:t>持有月月末</w:t>
      </w:r>
      <w:r>
        <w:rPr>
          <w:rFonts w:ascii="Times New Roman" w:hAnsi="Times New Roman" w:eastAsia="宋体" w:cs="Times New Roman"/>
          <w:color w:val="auto"/>
        </w:rPr>
        <w:t>价格低于 5 元或交易状态异常"的股票，组合收益才能与作者逐月吻合：价格排序各组差距中位数为 0.000–0.002 个百分点，相关 0.997–1.000。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◦ 持有月月末的价格和状态在建仓时并不知道，这是作者流程里的前视。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◦ 处理方式（您的决定）：原文段与论文对照时用作者流程；延长段和全样本以无前视版为主，作者流程版附后。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◦ 去掉前视后，原文段显著率从 17.4% 升到 26.7%（121 个），原因还没查清。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5. </w:t>
      </w:r>
      <w:r>
        <w:rPr>
          <w:rFonts w:ascii="Times New Roman" w:hAnsi="Times New Roman" w:eastAsia="宋体" w:cs="Times New Roman"/>
          <w:b/>
          <w:color w:val="auto"/>
        </w:rPr>
        <w:t>作者实现与数据手册文字不一致的其他地方</w:t>
      </w:r>
      <w:r>
        <w:rPr>
          <w:rFonts w:ascii="Times New Roman" w:hAnsi="Times New Roman" w:eastAsia="宋体" w:cs="Times New Roman"/>
          <w:color w:val="auto"/>
        </w:rPr>
        <w:t>（按作者序列校准后采纳，均记录在 LI-3）：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◦ Rdmq 的市值用 t−1 月末而非上年末：相关从 0.83 升到 0.977；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◦ 季节性变量允许部分滞后月缺失。</w:t>
      </w:r>
    </w:p>
    <w:p>
      <w:pPr>
        <w:pStyle w:val="5"/>
        <w:rPr>
          <w:color w:val="auto"/>
        </w:rPr>
      </w:pPr>
      <w:bookmarkStart w:id="9016" w:name="_TocReport016"/>
      <w:r>
        <w:rPr>
          <w:rFonts w:ascii="Times New Roman" w:hAnsi="Times New Roman" w:eastAsia="黑体" w:cs="Times New Roman"/>
          <w:color w:val="auto"/>
        </w:rPr>
        <w:t>4.3 延长到 2026 年</w:t>
      </w:r>
      <w:bookmarkEnd w:id="9016"/>
    </w:p>
    <w:p>
      <w:pPr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以无前视版为主：</w:t>
      </w:r>
    </w:p>
    <w:tbl>
      <w:tblPr>
        <w:tblStyle w:val="33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3132"/>
        <w:gridCol w:w="3456"/>
      </w:tblGrid>
      <w:tr>
        <w:trPr>
          <w:jc w:val="center"/>
        </w:trPr>
        <w:tc>
          <w:tcPr>
            <w:tcW w:w="2484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段</w:t>
            </w:r>
          </w:p>
        </w:tc>
        <w:tc>
          <w:tcPr>
            <w:tcW w:w="3132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主板-VW 显著个数（比例）</w:t>
            </w:r>
          </w:p>
        </w:tc>
        <w:tc>
          <w:tcPr>
            <w:tcW w:w="3456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剩余显著最少的因子模型</w:t>
            </w:r>
          </w:p>
        </w:tc>
      </w:tr>
      <w:tr>
        <w:trPr>
          <w:jc w:val="center"/>
        </w:trPr>
        <w:tc>
          <w:tcPr>
            <w:tcW w:w="2484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原文 2000-07 至 2019-06</w:t>
            </w:r>
          </w:p>
        </w:tc>
        <w:tc>
          <w:tcPr>
            <w:tcW w:w="3132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121（26.7%）；作者流程版 79（17.4%）</w:t>
            </w:r>
          </w:p>
        </w:tc>
        <w:tc>
          <w:tcPr>
            <w:tcW w:w="3456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q</w:t>
            </w:r>
          </w:p>
        </w:tc>
      </w:tr>
      <w:tr>
        <w:trPr>
          <w:jc w:val="center"/>
        </w:trPr>
        <w:tc>
          <w:tcPr>
            <w:tcW w:w="2484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延长 2019-07 至 2026-09</w:t>
            </w:r>
          </w:p>
        </w:tc>
        <w:tc>
          <w:tcPr>
            <w:tcW w:w="3132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20（4.4%）</w:t>
            </w: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；作者流程版 12（2.6%）</w:t>
            </w:r>
          </w:p>
        </w:tc>
        <w:tc>
          <w:tcPr>
            <w:tcW w:w="3456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q（20 个中仍显著 9 个，平均 |α| 0.65%）</w:t>
            </w:r>
          </w:p>
        </w:tc>
      </w:tr>
      <w:tr>
        <w:trPr>
          <w:jc w:val="center"/>
        </w:trPr>
        <w:tc>
          <w:tcPr>
            <w:tcW w:w="2484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全样本 2000-07 至 2026-09</w:t>
            </w:r>
          </w:p>
        </w:tc>
        <w:tc>
          <w:tcPr>
            <w:tcW w:w="3132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109（24.1%）</w:t>
            </w:r>
          </w:p>
        </w:tc>
        <w:tc>
          <w:tcPr>
            <w:tcW w:w="3456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q（109 个中仍显著 33 个）</w:t>
            </w:r>
          </w:p>
        </w:tc>
      </w:tr>
    </w:tbl>
    <w:p>
      <w:pPr>
        <w:spacing w:after="40"/>
        <w:rPr>
          <w:color w:val="auto"/>
        </w:rPr>
      </w:pP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</w:t>
      </w:r>
      <w:r>
        <w:rPr>
          <w:rFonts w:ascii="Times New Roman" w:hAnsi="Times New Roman" w:eastAsia="宋体" w:cs="Times New Roman"/>
          <w:b/>
          <w:color w:val="auto"/>
        </w:rPr>
        <w:t>异象在 2019 年后几乎全部衰减</w:t>
      </w:r>
      <w:r>
        <w:rPr>
          <w:rFonts w:ascii="Times New Roman" w:hAnsi="Times New Roman" w:eastAsia="宋体" w:cs="Times New Roman"/>
          <w:color w:val="auto"/>
        </w:rPr>
        <w:t>，延长段显著率只有 4.4%，接近随机水平（5%）。可能的解释包括：注册制改革后供给增加、量化资金增加使异象被套利、样本期短（87 个月）检验力不足。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</w:t>
      </w:r>
      <w:r>
        <w:rPr>
          <w:rFonts w:ascii="Times New Roman" w:hAnsi="Times New Roman" w:eastAsia="宋体" w:cs="Times New Roman"/>
          <w:b/>
          <w:color w:val="auto"/>
        </w:rPr>
        <w:t>q 因子模型仍是解释力最强的模型</w:t>
      </w:r>
      <w:r>
        <w:rPr>
          <w:rFonts w:ascii="Times New Roman" w:hAnsi="Times New Roman" w:eastAsia="宋体" w:cs="Times New Roman"/>
          <w:color w:val="auto"/>
        </w:rPr>
        <w:t>，与论文 2008 年后的结论一致。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• CH-3 / CH-4 只能算到 2021-12（官网数据截止）。</w:t>
      </w:r>
    </w:p>
    <w:p>
      <w:pPr>
        <w:pBdr>
          <w:bottom w:val="single" w:color="999999" w:sz="6" w:space="1"/>
        </w:pBdr>
        <w:rPr>
          <w:color w:val="auto"/>
        </w:rPr>
      </w:pPr>
    </w:p>
    <w:p>
      <w:pPr>
        <w:pStyle w:val="4"/>
        <w:rPr>
          <w:color w:val="auto"/>
        </w:rPr>
      </w:pPr>
      <w:bookmarkStart w:id="9017" w:name="_TocReport017"/>
      <w:r>
        <w:rPr>
          <w:rFonts w:ascii="Times New Roman" w:hAnsi="Times New Roman" w:eastAsia="黑体" w:cs="Times New Roman"/>
          <w:color w:val="auto"/>
        </w:rPr>
        <w:t>5. 做不了的部分及原因</w:t>
      </w:r>
      <w:bookmarkEnd w:id="9017"/>
    </w:p>
    <w:tbl>
      <w:tblPr>
        <w:tblStyle w:val="33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3740"/>
        <w:gridCol w:w="4774"/>
      </w:tblGrid>
      <w:tr>
        <w:trPr>
          <w:jc w:val="center"/>
        </w:trPr>
        <w:tc>
          <w:tcPr>
            <w:tcW w:w="557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论文</w:t>
            </w:r>
          </w:p>
        </w:tc>
        <w:tc>
          <w:tcPr>
            <w:tcW w:w="3740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项目</w:t>
            </w:r>
          </w:p>
        </w:tc>
        <w:tc>
          <w:tcPr>
            <w:tcW w:w="4774" w:type="dxa"/>
            <w:shd w:val="clear" w:color="auto" w:fill="DCE6F0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18"/>
              </w:rPr>
              <w:t>原因</w:t>
            </w:r>
          </w:p>
        </w:tc>
      </w:tr>
      <w:tr>
        <w:trPr>
          <w:jc w:val="center"/>
        </w:trPr>
        <w:tc>
          <w:tcPr>
            <w:tcW w:w="557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LSY</w:t>
            </w:r>
          </w:p>
        </w:tc>
        <w:tc>
          <w:tcPr>
            <w:tcW w:w="374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第 6.1 节中价反转（mid-price reversal）</w:t>
            </w:r>
          </w:p>
        </w:tc>
        <w:tc>
          <w:tcPr>
            <w:tcW w:w="4774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需要买卖报价，CSMAR 订阅中没有</w:t>
            </w:r>
          </w:p>
        </w:tc>
      </w:tr>
      <w:tr>
        <w:trPr>
          <w:jc w:val="center"/>
        </w:trPr>
        <w:tc>
          <w:tcPr>
            <w:tcW w:w="557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LSY</w:t>
            </w:r>
          </w:p>
        </w:tc>
        <w:tc>
          <w:tcPr>
            <w:tcW w:w="374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借壳上市的 WIND 标记</w:t>
            </w:r>
          </w:p>
        </w:tc>
        <w:tc>
          <w:tcPr>
            <w:tcW w:w="4774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CSMAR 无此字段，改用规则识别（需您确认规则）</w:t>
            </w:r>
          </w:p>
        </w:tc>
      </w:tr>
      <w:tr>
        <w:trPr>
          <w:jc w:val="center"/>
        </w:trPr>
        <w:tc>
          <w:tcPr>
            <w:tcW w:w="557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Allen</w:t>
            </w:r>
          </w:p>
        </w:tc>
        <w:tc>
          <w:tcPr>
            <w:tcW w:w="374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表 II–VII、表 XII Panel B–C（跨国比较、上市前财务、与未上市公司匹配）</w:t>
            </w:r>
          </w:p>
        </w:tc>
        <w:tc>
          <w:tcPr>
            <w:tcW w:w="4774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需要 Worldscope、BoardEx、RiskMetrics、工业企业数据库，不在 lighthouse 范围</w:t>
            </w:r>
          </w:p>
        </w:tc>
      </w:tr>
      <w:tr>
        <w:trPr>
          <w:jc w:val="center"/>
        </w:trPr>
        <w:tc>
          <w:tcPr>
            <w:tcW w:w="557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Allen</w:t>
            </w:r>
          </w:p>
        </w:tc>
        <w:tc>
          <w:tcPr>
            <w:tcW w:w="374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AH 溢价（表 IX、表 X 第 2、5 列）</w:t>
            </w:r>
          </w:p>
        </w:tc>
        <w:tc>
          <w:tcPr>
            <w:tcW w:w="4774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NYU 未订阅港股市场库</w:t>
            </w:r>
          </w:p>
        </w:tc>
      </w:tr>
      <w:tr>
        <w:trPr>
          <w:jc w:val="center"/>
        </w:trPr>
        <w:tc>
          <w:tcPr>
            <w:tcW w:w="557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Allen</w:t>
            </w:r>
          </w:p>
        </w:tc>
        <w:tc>
          <w:tcPr>
            <w:tcW w:w="374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2000 年国企数（表 I 2000–2002 年）</w:t>
            </w:r>
          </w:p>
        </w:tc>
        <w:tc>
          <w:tcPr>
            <w:tcW w:w="4774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控制人文件从 2003 年开始，用回溯值代替，已打分</w:t>
            </w:r>
          </w:p>
        </w:tc>
      </w:tr>
      <w:tr>
        <w:trPr>
          <w:jc w:val="center"/>
        </w:trPr>
        <w:tc>
          <w:tcPr>
            <w:tcW w:w="557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Allen</w:t>
            </w:r>
          </w:p>
        </w:tc>
        <w:tc>
          <w:tcPr>
            <w:tcW w:w="374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图 4 与美国退市公司对比的 t 值</w:t>
            </w:r>
          </w:p>
        </w:tc>
        <w:tc>
          <w:tcPr>
            <w:tcW w:w="4774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需要美国数据</w:t>
            </w:r>
          </w:p>
        </w:tc>
      </w:tr>
      <w:tr>
        <w:trPr>
          <w:jc w:val="center"/>
        </w:trPr>
        <w:tc>
          <w:tcPr>
            <w:tcW w:w="557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Li</w:t>
            </w:r>
          </w:p>
        </w:tc>
        <w:tc>
          <w:tcPr>
            <w:tcW w:w="374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Esba、Qsba、Vpin（15 个异象）</w:t>
            </w:r>
          </w:p>
        </w:tc>
        <w:tc>
          <w:tcPr>
            <w:tcW w:w="4774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CSMAR 已实现指标库未订阅（2026-10-13 核对）</w:t>
            </w:r>
          </w:p>
        </w:tc>
      </w:tr>
      <w:tr>
        <w:trPr>
          <w:jc w:val="center"/>
        </w:trPr>
        <w:tc>
          <w:tcPr>
            <w:tcW w:w="557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Li</w:t>
            </w:r>
          </w:p>
        </w:tc>
        <w:tc>
          <w:tcPr>
            <w:tcW w:w="3740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Parc（1 个异象）</w:t>
            </w:r>
          </w:p>
        </w:tc>
        <w:tc>
          <w:tcPr>
            <w:tcW w:w="4774" w:type="dxa"/>
          </w:tcPr>
          <w:p>
            <w:pPr>
              <w:spacing w:after="0" w:line="264" w:lineRule="auto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</w:rPr>
              <w:t>专利库未订阅</w:t>
            </w:r>
          </w:p>
        </w:tc>
      </w:tr>
    </w:tbl>
    <w:p>
      <w:pPr>
        <w:spacing w:after="40"/>
        <w:rPr>
          <w:color w:val="auto"/>
        </w:rPr>
      </w:pPr>
    </w:p>
    <w:p>
      <w:pPr>
        <w:pBdr>
          <w:bottom w:val="single" w:color="999999" w:sz="6" w:space="1"/>
        </w:pBdr>
        <w:rPr>
          <w:color w:val="auto"/>
        </w:rPr>
      </w:pPr>
    </w:p>
    <w:p>
      <w:pPr>
        <w:pStyle w:val="4"/>
        <w:rPr>
          <w:color w:val="auto"/>
        </w:rPr>
      </w:pPr>
      <w:bookmarkStart w:id="9018" w:name="_TocReport018"/>
      <w:r>
        <w:rPr>
          <w:rFonts w:ascii="Times New Roman" w:hAnsi="Times New Roman" w:eastAsia="黑体" w:cs="Times New Roman"/>
          <w:color w:val="auto"/>
        </w:rPr>
        <w:t>6. 数据与已知偏差</w:t>
      </w:r>
      <w:bookmarkEnd w:id="9018"/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1. </w:t>
      </w:r>
      <w:r>
        <w:rPr>
          <w:rFonts w:ascii="Times New Roman" w:hAnsi="Times New Roman" w:eastAsia="宋体" w:cs="Times New Roman"/>
          <w:b/>
          <w:color w:val="auto"/>
        </w:rPr>
        <w:t>CSMAR 文本字段缺陷</w:t>
      </w:r>
      <w:r>
        <w:rPr>
          <w:rFonts w:ascii="Times New Roman" w:hAnsi="Times New Roman" w:eastAsia="宋体" w:cs="Times New Roman"/>
          <w:color w:val="auto"/>
        </w:rPr>
        <w:t>：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◦ 交易停复牌表和并购重组表中有 21 条记录的文本字段含未转义的引号，Python 标准 CSV 解析会把记录拆错或并错。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◦ 我们写了按 CSMAR 固定引号格式切分的解析器，每个分块的行数都与平台显示的记录数一致，受影响的记录原样保留并在每次读取时记录（D-009）。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◦ 控制人文件、关联交易表等含长文本的表，在下载时就不选这些文本字段，只保留结构化字段。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2. </w:t>
      </w:r>
      <w:r>
        <w:rPr>
          <w:rFonts w:ascii="Times New Roman" w:hAnsi="Times New Roman" w:eastAsia="宋体" w:cs="Times New Roman"/>
          <w:b/>
          <w:color w:val="auto"/>
        </w:rPr>
        <w:t>差错更正</w:t>
      </w:r>
      <w:r>
        <w:rPr>
          <w:rFonts w:ascii="Times New Roman" w:hAnsi="Times New Roman" w:eastAsia="宋体" w:cs="Times New Roman"/>
          <w:color w:val="auto"/>
        </w:rPr>
        <w:t>：CSMAR 资产负债表有 7.8% 的行标记"发生差错更正"。核查后确认，期末行保存的是</w:t>
      </w:r>
      <w:r>
        <w:rPr>
          <w:rFonts w:ascii="Times New Roman" w:hAnsi="Times New Roman" w:eastAsia="宋体" w:cs="Times New Roman"/>
          <w:b/>
          <w:color w:val="auto"/>
        </w:rPr>
        <w:t>原始报告值</w:t>
      </w:r>
      <w:r>
        <w:rPr>
          <w:rFonts w:ascii="Times New Roman" w:hAnsi="Times New Roman" w:eastAsia="宋体" w:cs="Times New Roman"/>
          <w:color w:val="auto"/>
        </w:rPr>
        <w:t>，更正后的值只出现在下一年的期初行（YYYY-01-01）。因此我们只用期末行，不存在用更正值造成的前视。期初行永远不当作报告期使用。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3. </w:t>
      </w:r>
      <w:r>
        <w:rPr>
          <w:rFonts w:ascii="Times New Roman" w:hAnsi="Times New Roman" w:eastAsia="宋体" w:cs="Times New Roman"/>
          <w:b/>
          <w:color w:val="auto"/>
        </w:rPr>
        <w:t>CPI 缺口</w:t>
      </w:r>
      <w:r>
        <w:rPr>
          <w:rFonts w:ascii="Times New Roman" w:hAnsi="Times New Roman" w:eastAsia="宋体" w:cs="Times New Roman"/>
          <w:color w:val="auto"/>
        </w:rPr>
        <w:t>：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◦ FRED 的 OECD 中国 CPI 只到 2025-04；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◦ 2025-05 之后用国家统计局网页的环比指数接续，重叠期核对差距约 0.2（最大 0.21 个指数点）；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◦ Allen 的实际收益最晚做到 2026-08。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4. </w:t>
      </w:r>
      <w:r>
        <w:rPr>
          <w:rFonts w:ascii="Times New Roman" w:hAnsi="Times New Roman" w:eastAsia="宋体" w:cs="Times New Roman"/>
          <w:b/>
          <w:color w:val="auto"/>
        </w:rPr>
        <w:t>行业代码只有当前值</w:t>
      </w:r>
      <w:r>
        <w:rPr>
          <w:rFonts w:ascii="Times New Roman" w:hAnsi="Times New Roman" w:eastAsia="宋体" w:cs="Times New Roman"/>
          <w:color w:val="auto"/>
        </w:rPr>
        <w:t>（D-001）：CSMAR 公司文件的行业代码是最新分类，历史年份的行业归属可能与当时不同，影响需按行业分组的变量（如 Li 的 dIi、Allen 的行业固定效应）。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5. </w:t>
      </w:r>
      <w:r>
        <w:rPr>
          <w:rFonts w:ascii="Times New Roman" w:hAnsi="Times New Roman" w:eastAsia="宋体" w:cs="Times New Roman"/>
          <w:b/>
          <w:color w:val="auto"/>
        </w:rPr>
        <w:t>无风险利率口径</w:t>
      </w:r>
      <w:r>
        <w:rPr>
          <w:rFonts w:ascii="Times New Roman" w:hAnsi="Times New Roman" w:eastAsia="宋体" w:cs="Times New Roman"/>
          <w:color w:val="auto"/>
        </w:rPr>
        <w:t>：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◦ LSY 用一年期存款利率。CSMAR 的这条序列在 2022-09 后从央行基准切换为大行挂牌利率（D-005），延长段已注明。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◦ Li 用三个月存款基准利率，央行自 2015-10 后未调整。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6. </w:t>
      </w:r>
      <w:r>
        <w:rPr>
          <w:rFonts w:ascii="Times New Roman" w:hAnsi="Times New Roman" w:eastAsia="宋体" w:cs="Times New Roman"/>
          <w:b/>
          <w:color w:val="auto"/>
        </w:rPr>
        <w:t>数据版本</w:t>
      </w:r>
      <w:r>
        <w:rPr>
          <w:rFonts w:ascii="Times New Roman" w:hAnsi="Times New Roman" w:eastAsia="宋体" w:cs="Times New Roman"/>
          <w:color w:val="auto"/>
        </w:rPr>
        <w:t>：三篇论文分别在 2018–2023 年取数，CSMAR 此后修订过部分历史数据（季度报表、公告日期、复权收益）。有作者序列可对照时：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◦ 差距多集中在少数月份（如 2006-10、2015 年股灾停牌期）；</w:t>
      </w:r>
    </w:p>
    <w:p>
      <w:pPr>
        <w:spacing w:after="40"/>
        <w:ind w:left="794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◦ 少数大公司的分组归属不同，而不是整体口径错误。</w:t>
      </w:r>
    </w:p>
    <w:p>
      <w:pPr>
        <w:spacing w:after="40"/>
        <w:ind w:left="425" w:hanging="283"/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7. </w:t>
      </w:r>
      <w:r>
        <w:rPr>
          <w:rFonts w:ascii="Times New Roman" w:hAnsi="Times New Roman" w:eastAsia="宋体" w:cs="Times New Roman"/>
          <w:b/>
          <w:color w:val="auto"/>
        </w:rPr>
        <w:t>国企口径</w:t>
      </w:r>
      <w:r>
        <w:rPr>
          <w:rFonts w:ascii="Times New Roman" w:hAnsi="Times New Roman" w:eastAsia="宋体" w:cs="Times New Roman"/>
          <w:color w:val="auto"/>
        </w:rPr>
        <w:t>：Li 和 Allen 原用的国企数据源（CSMAR 股权性质库、WIND）都不可得，统一用 CSMAR 上市公司控制人文件。2003 年末国企占比 75.1%，Li 论文为 74.57%。</w:t>
      </w:r>
    </w:p>
    <w:p>
      <w:pPr>
        <w:pStyle w:val="4"/>
        <w:rPr>
          <w:color w:val="auto"/>
        </w:rPr>
      </w:pPr>
      <w:bookmarkStart w:id="9019" w:name="_TocReport019"/>
      <w:r>
        <w:rPr>
          <w:rFonts w:ascii="Times New Roman" w:hAnsi="Times New Roman" w:eastAsia="黑体" w:cs="Times New Roman"/>
          <w:color w:val="auto"/>
        </w:rPr>
        <w:t>附：复跑方式</w:t>
      </w:r>
      <w:bookmarkEnd w:id="9019"/>
    </w:p>
    <w:p>
      <w:pPr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 xml:space="preserve">在项目根目录 </w:t>
      </w:r>
      <w:r>
        <w:rPr>
          <w:rFonts w:ascii="Menlo" w:hAnsi="Menlo" w:eastAsia="宋体" w:cs="Menlo"/>
          <w:color w:val="auto"/>
          <w:sz w:val="19"/>
        </w:rPr>
        <w:t>~/Downloads/stock-exploration</w:t>
      </w:r>
      <w:r>
        <w:rPr>
          <w:rFonts w:ascii="Times New Roman" w:hAnsi="Times New Roman" w:eastAsia="宋体" w:cs="Times New Roman"/>
          <w:color w:val="auto"/>
        </w:rPr>
        <w:t>：</w:t>
      </w:r>
    </w:p>
    <w:p>
      <w:pPr>
        <w:spacing w:after="0"/>
        <w:ind w:left="425"/>
        <w:rPr>
          <w:color w:val="auto"/>
        </w:rPr>
      </w:pPr>
      <w:r>
        <w:rPr>
          <w:rFonts w:ascii="Menlo" w:hAnsi="Menlo" w:eastAsia="宋体" w:cs="Menlo"/>
          <w:color w:val="auto"/>
          <w:sz w:val="18"/>
        </w:rPr>
        <w:t>.venv/bin/python -m csmar.build &amp;&amp; .venv/bin/python -m csmar.validate</w:t>
      </w:r>
    </w:p>
    <w:p>
      <w:pPr>
        <w:spacing w:after="0"/>
        <w:ind w:left="425"/>
        <w:rPr>
          <w:color w:val="auto"/>
        </w:rPr>
      </w:pPr>
      <w:r>
        <w:rPr>
          <w:rFonts w:ascii="Menlo" w:hAnsi="Menlo" w:eastAsia="宋体" w:cs="Menlo"/>
          <w:color w:val="auto"/>
          <w:sz w:val="18"/>
        </w:rPr>
        <w:t>.venv/bin/python -m replication.lsy</w:t>
      </w:r>
    </w:p>
    <w:p>
      <w:pPr>
        <w:spacing w:after="0"/>
        <w:ind w:left="425"/>
        <w:rPr>
          <w:color w:val="auto"/>
        </w:rPr>
      </w:pPr>
      <w:r>
        <w:rPr>
          <w:rFonts w:ascii="Menlo" w:hAnsi="Menlo" w:eastAsia="宋体" w:cs="Menlo"/>
          <w:color w:val="auto"/>
          <w:sz w:val="18"/>
        </w:rPr>
        <w:t>.venv/bin/python -m replication.allen</w:t>
      </w:r>
    </w:p>
    <w:p>
      <w:pPr>
        <w:spacing w:after="0"/>
        <w:ind w:left="425"/>
        <w:rPr>
          <w:color w:val="auto"/>
        </w:rPr>
      </w:pPr>
      <w:r>
        <w:rPr>
          <w:rFonts w:ascii="Menlo" w:hAnsi="Menlo" w:eastAsia="宋体" w:cs="Menlo"/>
          <w:color w:val="auto"/>
          <w:sz w:val="18"/>
        </w:rPr>
        <w:t>.venv/bin/python -m replication.li --build</w:t>
      </w:r>
    </w:p>
    <w:p>
      <w:pPr>
        <w:spacing w:after="0"/>
        <w:ind w:left="425"/>
        <w:rPr>
          <w:color w:val="auto"/>
        </w:rPr>
      </w:pPr>
      <w:r>
        <w:rPr>
          <w:rFonts w:ascii="Menlo" w:hAnsi="Menlo" w:eastAsia="宋体" w:cs="Menlo"/>
          <w:color w:val="auto"/>
          <w:sz w:val="18"/>
        </w:rPr>
        <w:t>LI_VARIANT=clean .venv/bin/python -m replication.li --build</w:t>
      </w:r>
    </w:p>
    <w:p>
      <w:pPr>
        <w:rPr>
          <w:color w:val="auto"/>
        </w:rPr>
      </w:pPr>
      <w:r>
        <w:rPr>
          <w:rFonts w:ascii="Times New Roman" w:hAnsi="Times New Roman" w:eastAsia="宋体" w:cs="Times New Roman"/>
          <w:color w:val="auto"/>
        </w:rPr>
        <w:t>逐个数字的对照：</w:t>
      </w:r>
      <w:r>
        <w:rPr>
          <w:rFonts w:ascii="Menlo" w:hAnsi="Menlo" w:eastAsia="宋体" w:cs="Menlo"/>
          <w:color w:val="auto"/>
          <w:sz w:val="19"/>
        </w:rPr>
        <w:t>对照表/lsy_comparison.csv</w:t>
      </w:r>
      <w:r>
        <w:rPr>
          <w:rFonts w:ascii="Times New Roman" w:hAnsi="Times New Roman" w:eastAsia="宋体" w:cs="Times New Roman"/>
          <w:color w:val="auto"/>
        </w:rPr>
        <w:t>、</w:t>
      </w:r>
      <w:r>
        <w:rPr>
          <w:rFonts w:ascii="Menlo" w:hAnsi="Menlo" w:eastAsia="宋体" w:cs="Menlo"/>
          <w:color w:val="auto"/>
          <w:sz w:val="19"/>
        </w:rPr>
        <w:t>对照表/allen_comparison.csv</w:t>
      </w:r>
      <w:r>
        <w:rPr>
          <w:rFonts w:ascii="Times New Roman" w:hAnsi="Times New Roman" w:eastAsia="宋体" w:cs="Times New Roman"/>
          <w:color w:val="auto"/>
        </w:rPr>
        <w:t>、</w:t>
      </w:r>
      <w:r>
        <w:rPr>
          <w:rFonts w:ascii="Menlo" w:hAnsi="Menlo" w:eastAsia="宋体" w:cs="Menlo"/>
          <w:color w:val="auto"/>
          <w:sz w:val="19"/>
        </w:rPr>
        <w:t>对照表/li_comparison.csv</w:t>
      </w:r>
      <w:r>
        <w:rPr>
          <w:rFonts w:ascii="Times New Roman" w:hAnsi="Times New Roman" w:eastAsia="宋体" w:cs="Times New Roman"/>
          <w:color w:val="auto"/>
        </w:rPr>
        <w:t>（每行含论文值、我们的值、容差类型、是否通过、偏差日志编号）。</w:t>
      </w:r>
    </w:p>
    <w:sectPr>
      <w:pgSz w:w="11906" w:h="16838"/>
      <w:pgMar w:top="1304" w:right="1417" w:bottom="130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634B23"/>
    <w:rsid w:val="537FF50C"/>
    <w:rsid w:val="6DDE2876"/>
    <w:rsid w:val="6DDFA8ED"/>
    <w:rsid w:val="6F6FDB08"/>
    <w:rsid w:val="7B974F49"/>
    <w:rsid w:val="7DF98B50"/>
    <w:rsid w:val="B75F6D40"/>
    <w:rsid w:val="E8BD7D4B"/>
    <w:rsid w:val="EFAD34D4"/>
    <w:rsid w:val="FB7F32F2"/>
    <w:rsid w:val="FBF7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Times New Roman" w:hAnsi="Times New Roman" w:eastAsia="宋体" w:cs="Times New Roman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Times New Roman" w:hAnsi="Times New Roman" w:eastAsia="黑体" w:cs="Times New Roman"/>
      <w:b/>
      <w:bCs/>
      <w:color w:val="1F3A5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="Times New Roman" w:hAnsi="Times New Roman" w:eastAsia="黑体" w:cs="Times New Roman"/>
      <w:b/>
      <w:bCs/>
      <w:color w:val="1F3A5F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Times New Roman" w:hAnsi="Times New Roman" w:eastAsia="黑体" w:cs="Times New Roman"/>
      <w:b/>
      <w:bCs/>
      <w:color w:val="1F3A5F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Times New Roman" w:hAnsi="Times New Roman" w:eastAsia="黑体" w:cs="Times New Roman"/>
      <w:color w:val="1F3A5F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4120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2013-12-23T18:15:00Z</dcterms:created>
  <dc:creator>python-docx</dc:creator>
  <dc:description>generated by python-docx</dc:description>
  <cp:lastModifiedBy> </cp:lastModifiedBy>
  <dcterms:modified xsi:type="dcterms:W3CDTF">2026-10-19T20:21:33Z</dcterms:modified>
  <dc:title>用 CSMAR 复现三篇 A 股论文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F71F4C940E0E90239BB3D66A46F3C3CF_42</vt:lpwstr>
  </property>
</Properties>
</file>