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cs="Times New Roman" w:eastAsia="宋体"/>
        </w:rPr>
        <w:t>用 CSMAR 复现三篇 A 股论文：结果、偏差与延长到 2026 年</w:t>
      </w:r>
    </w:p>
    <w:p>
      <w:pPr>
        <w:ind w:left="227"/>
      </w:pPr>
      <w:r>
        <w:rPr>
          <w:rFonts w:ascii="Times New Roman" w:hAnsi="Times New Roman" w:cs="Times New Roman" w:eastAsia="宋体"/>
          <w:color w:val="444444"/>
        </w:rPr>
        <w:t>复现对象：</w:t>
      </w:r>
    </w:p>
    <w:p>
      <w:pPr>
        <w:spacing w:after="40"/>
        <w:ind w:left="510" w:hanging="283"/>
      </w:pPr>
      <w:r>
        <w:rPr>
          <w:rFonts w:ascii="Times New Roman" w:hAnsi="Times New Roman" w:cs="Times New Roman" w:eastAsia="宋体"/>
          <w:color w:val="444444"/>
        </w:rPr>
        <w:t xml:space="preserve">• </w:t>
      </w:r>
      <w:r>
        <w:rPr>
          <w:rFonts w:ascii="Times New Roman" w:hAnsi="Times New Roman" w:cs="Times New Roman" w:eastAsia="宋体"/>
          <w:color w:val="444444"/>
        </w:rPr>
        <w:t>Liu、Stambaugh、Yuan（2019，JFE），"Size and value in China"（下称 LSY）；</w:t>
      </w:r>
    </w:p>
    <w:p>
      <w:pPr>
        <w:spacing w:after="40"/>
        <w:ind w:left="510" w:hanging="283"/>
      </w:pPr>
      <w:r>
        <w:rPr>
          <w:rFonts w:ascii="Times New Roman" w:hAnsi="Times New Roman" w:cs="Times New Roman" w:eastAsia="宋体"/>
          <w:color w:val="444444"/>
        </w:rPr>
        <w:t xml:space="preserve">• </w:t>
      </w:r>
      <w:r>
        <w:rPr>
          <w:rFonts w:ascii="Times New Roman" w:hAnsi="Times New Roman" w:cs="Times New Roman" w:eastAsia="宋体"/>
          <w:color w:val="444444"/>
        </w:rPr>
        <w:t>Allen、Qian、Shan、Zhu（2024，JF），"Dissecting the long-term performance of the Chinese stock market"（下称 Allen）；</w:t>
      </w:r>
    </w:p>
    <w:p>
      <w:pPr>
        <w:spacing w:after="40"/>
        <w:ind w:left="510" w:hanging="283"/>
      </w:pPr>
      <w:r>
        <w:rPr>
          <w:rFonts w:ascii="Times New Roman" w:hAnsi="Times New Roman" w:cs="Times New Roman" w:eastAsia="宋体"/>
          <w:color w:val="444444"/>
        </w:rPr>
        <w:t xml:space="preserve">• </w:t>
      </w:r>
      <w:r>
        <w:rPr>
          <w:rFonts w:ascii="Times New Roman" w:hAnsi="Times New Roman" w:cs="Times New Roman" w:eastAsia="宋体"/>
          <w:color w:val="444444"/>
        </w:rPr>
        <w:t>Li、Liu、Liu、Wei（2024，Management Science），"Replicating and digesting anomalies in the Chinese A-share market"（下称 Li）。</w:t>
      </w:r>
    </w:p>
    <w:p>
      <w:pPr>
        <w:ind w:left="227"/>
      </w:pPr>
      <w:r>
        <w:rPr>
          <w:rFonts w:ascii="Times New Roman" w:hAnsi="Times New Roman" w:cs="Times New Roman" w:eastAsia="宋体"/>
          <w:color w:val="444444"/>
        </w:rPr>
        <w:t>数据：CSMAR（NYU 订阅），以及少量公开外部数据（Stambaugh 官网 CH 因子、FRED、国家统计局 CPI、global-q.org）。</w:t>
      </w:r>
    </w:p>
    <w:p>
      <w:pPr>
        <w:ind w:left="227"/>
      </w:pPr>
      <w:r>
        <w:rPr>
          <w:rFonts w:ascii="Times New Roman" w:hAnsi="Times New Roman" w:cs="Times New Roman" w:eastAsia="宋体"/>
          <w:color w:val="444444"/>
        </w:rPr>
        <w:t xml:space="preserve">报告日期：2026-10-14。逐个数字的对照在 </w:t>
      </w:r>
      <w:r>
        <w:rPr>
          <w:rFonts w:ascii="Menlo" w:hAnsi="Menlo" w:cs="Menlo" w:eastAsia="宋体"/>
          <w:color w:val="444444"/>
          <w:sz w:val="19"/>
        </w:rPr>
        <w:t>results/*_comparison.csv</w:t>
      </w:r>
      <w:r>
        <w:rPr>
          <w:rFonts w:ascii="Times New Roman" w:hAnsi="Times New Roman" w:cs="Times New Roman" w:eastAsia="宋体"/>
          <w:color w:val="444444"/>
        </w:rPr>
        <w:t xml:space="preserve">，每个未通过项的追查过程在 </w:t>
      </w:r>
      <w:r>
        <w:rPr>
          <w:rFonts w:ascii="Menlo" w:hAnsi="Menlo" w:cs="Menlo" w:eastAsia="宋体"/>
          <w:color w:val="444444"/>
          <w:sz w:val="19"/>
        </w:rPr>
        <w:t>docs/deviation_log.md</w:t>
      </w:r>
      <w:r>
        <w:rPr>
          <w:rFonts w:ascii="Times New Roman" w:hAnsi="Times New Roman" w:cs="Times New Roman" w:eastAsia="宋体"/>
          <w:color w:val="444444"/>
        </w:rPr>
        <w:t>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Times New Roman" w:hAnsi="Times New Roman" w:cs="Times New Roman" w:eastAsia="黑体"/>
          <w:color w:val="1F3A5F"/>
        </w:rPr>
        <w:t>0. 结论一页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310"/>
            <w:shd w:val="clear" w:color="auto" w:fill="DCE6F0"/>
          </w:tcPr>
          <w:p>
            <w:pPr>
              <w:spacing w:after="0" w:line="264" w:lineRule="auto"/>
            </w:pPr>
          </w:p>
        </w:tc>
        <w:tc>
          <w:tcPr>
            <w:tcW w:type="dxa" w:w="2894"/>
            <w:shd w:val="clear" w:color="auto" w:fill="DCE6F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LSY（2019）</w:t>
            </w:r>
          </w:p>
        </w:tc>
        <w:tc>
          <w:tcPr>
            <w:tcW w:type="dxa" w:w="2920"/>
            <w:shd w:val="clear" w:color="auto" w:fill="DCE6F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Allen（2024）</w:t>
            </w:r>
          </w:p>
        </w:tc>
        <w:tc>
          <w:tcPr>
            <w:tcW w:type="dxa" w:w="2946"/>
            <w:shd w:val="clear" w:color="auto" w:fill="DCE6F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Li（2024）</w:t>
            </w:r>
          </w:p>
        </w:tc>
      </w:tr>
      <w:tr>
        <w:tc>
          <w:tcPr>
            <w:tcW w:type="dxa" w:w="31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复现范围</w:t>
            </w:r>
          </w:p>
        </w:tc>
        <w:tc>
          <w:tcPr>
            <w:tcW w:type="dxa" w:w="2894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正文全部表、图 1–2、正文数字</w:t>
            </w:r>
          </w:p>
        </w:tc>
        <w:tc>
          <w:tcPr>
            <w:tcW w:type="dxa" w:w="292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所有 A 股部分（跨国部分做不了）</w:t>
            </w:r>
          </w:p>
        </w:tc>
        <w:tc>
          <w:tcPr>
            <w:tcW w:type="dxa" w:w="2946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469 个异象、四种组合构造、表 1–7、第 4.2 节</w:t>
            </w:r>
          </w:p>
        </w:tc>
      </w:tr>
      <w:tr>
        <w:tc>
          <w:tcPr>
            <w:tcW w:type="dxa" w:w="31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打分的数字</w:t>
            </w:r>
          </w:p>
        </w:tc>
        <w:tc>
          <w:tcPr>
            <w:tcW w:type="dxa" w:w="2894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836</w:t>
            </w:r>
          </w:p>
        </w:tc>
        <w:tc>
          <w:tcPr>
            <w:tcW w:type="dxa" w:w="292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257</w:t>
            </w:r>
          </w:p>
        </w:tc>
        <w:tc>
          <w:tcPr>
            <w:tcW w:type="dxa" w:w="2946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4,270</w:t>
            </w:r>
          </w:p>
        </w:tc>
      </w:tr>
      <w:tr>
        <w:tc>
          <w:tcPr>
            <w:tcW w:type="dxa" w:w="31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在容差内</w:t>
            </w:r>
          </w:p>
        </w:tc>
        <w:tc>
          <w:tcPr>
            <w:tcW w:type="dxa" w:w="2894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699（84%）</w:t>
            </w:r>
          </w:p>
        </w:tc>
        <w:tc>
          <w:tcPr>
            <w:tcW w:type="dxa" w:w="292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150（58%）</w:t>
            </w:r>
          </w:p>
        </w:tc>
        <w:tc>
          <w:tcPr>
            <w:tcW w:type="dxa" w:w="2946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2,510（59%）</w:t>
            </w:r>
          </w:p>
        </w:tc>
      </w:tr>
      <w:tr>
        <w:tc>
          <w:tcPr>
            <w:tcW w:type="dxa" w:w="31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核心结论是否复现</w:t>
            </w:r>
          </w:p>
        </w:tc>
        <w:tc>
          <w:tcPr>
            <w:tcW w:type="dxa" w:w="2894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是</w:t>
            </w:r>
            <w:r>
              <w:rPr>
                <w:rFonts w:ascii="Times New Roman" w:hAnsi="Times New Roman" w:cs="Times New Roman" w:eastAsia="宋体"/>
                <w:sz w:val="18"/>
              </w:rPr>
              <w:t>。CH-3 因子（MKT、SMB、VMG）与官网序列逐月相关 ≥ 0.96；CH-3 对 10 个异象的平均 |α| 为 0.43%（论文 0.45%），远低于 FF-3 的 0.85%（论文 0.90%）</w:t>
            </w:r>
          </w:p>
        </w:tc>
        <w:tc>
          <w:tcPr>
            <w:tcW w:type="dxa" w:w="292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大体是</w:t>
            </w:r>
            <w:r>
              <w:rPr>
                <w:rFonts w:ascii="Times New Roman" w:hAnsi="Times New Roman" w:cs="Times New Roman" w:eastAsia="宋体"/>
                <w:sz w:val="18"/>
              </w:rPr>
              <w:t>。A 股长期实际收益很低（2000-12 至 2018-12 买入持有终值 1.10，论文 1.01）；大盘股显著跑输（表 XII 中 Large 系数 −8.0，t −3.4；论文 −6.4，t −4.0）</w:t>
            </w:r>
          </w:p>
        </w:tc>
        <w:tc>
          <w:tcPr>
            <w:tcW w:type="dxa" w:w="2946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是</w:t>
            </w:r>
            <w:r>
              <w:rPr>
                <w:rFonts w:ascii="Times New Roman" w:hAnsi="Times New Roman" w:cs="Times New Roman" w:eastAsia="宋体"/>
                <w:sz w:val="18"/>
              </w:rPr>
              <w:t>。多数异象在中国不显著：失败率 82.6% / 82.8% / 85.4%（论文 83.4% / 84.2% / 87.0%）；主板断点加市值加权大幅降低显著率（主板-VW 17.4% 对全 A 等权 37.3%）</w:t>
            </w:r>
          </w:p>
        </w:tc>
      </w:tr>
      <w:tr>
        <w:tc>
          <w:tcPr>
            <w:tcW w:type="dxa" w:w="31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主要偏差</w:t>
            </w:r>
          </w:p>
        </w:tc>
        <w:tc>
          <w:tcPr>
            <w:tcW w:type="dxa" w:w="2894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借壳上市识别（CSMAR 无 WIND 的借壳标记）；个别异象 α 的显著性档位</w:t>
            </w:r>
          </w:p>
        </w:tc>
        <w:tc>
          <w:tcPr>
            <w:tcW w:type="dxa" w:w="292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国企口径（CSMAR 实际控制人 vs WIND）；治理指数与收益的关系变弱（G-Index-A t = 1.90，论文 2.89）</w:t>
            </w:r>
          </w:p>
        </w:tc>
        <w:tc>
          <w:tcPr>
            <w:tcW w:type="dxa" w:w="2946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价差、VPIN 类 15 个异象和专利 1 个数据未订阅；季度盈利类异象比论文强；作者流程里有前视（见 4.2 第 4 条）</w:t>
            </w:r>
          </w:p>
        </w:tc>
      </w:tr>
      <w:tr>
        <w:tc>
          <w:tcPr>
            <w:tcW w:type="dxa" w:w="31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延长到 2026 年</w:t>
            </w:r>
          </w:p>
        </w:tc>
        <w:tc>
          <w:tcPr>
            <w:tcW w:type="dxa" w:w="2894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VMG 仍显著（2017-01 至 2026-09，月均 1.04%，t 2.60）；SMB 消失（0.03%）；CH-3 不再优于 FF-3</w:t>
            </w:r>
          </w:p>
        </w:tc>
        <w:tc>
          <w:tcPr>
            <w:tcW w:type="dxa" w:w="292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A 股实际收益明显改善（2019-01 至 2026-08 买入持有终值 1.85）；大盘股跑输小盘股持续，但回归系数不再显著</w:t>
            </w:r>
          </w:p>
        </w:tc>
        <w:tc>
          <w:tcPr>
            <w:tcW w:type="dxa" w:w="2946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异象几乎全部衰减（2019-07 至 2026-09 仅 4.4% 显著）；q 因子模型仍是解释力最强的模型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cs="Times New Roman" w:eastAsia="宋体"/>
        </w:rPr>
        <w:t>"容差"的定义在 lighthouse 3.3，主要几条：</w:t>
      </w: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• </w:t>
      </w:r>
      <w:r>
        <w:rPr>
          <w:rFonts w:ascii="Times New Roman" w:hAnsi="Times New Roman" w:cs="Times New Roman" w:eastAsia="宋体"/>
        </w:rPr>
        <w:t>月均收益：与论文相差不超过 0.10 个百分点；</w:t>
      </w: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• </w:t>
      </w:r>
      <w:r>
        <w:rPr>
          <w:rFonts w:ascii="Times New Roman" w:hAnsi="Times New Roman" w:cs="Times New Roman" w:eastAsia="宋体"/>
        </w:rPr>
        <w:t>t 值：落在同一显著性档（|t| &lt; 1.96、1.96–2.78、&gt; 2.78）；</w:t>
      </w: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• </w:t>
      </w:r>
      <w:r>
        <w:rPr>
          <w:rFonts w:ascii="Times New Roman" w:hAnsi="Times New Roman" w:cs="Times New Roman" w:eastAsia="宋体"/>
        </w:rPr>
        <w:t>比例：相差不超过 3 个百分点；</w:t>
      </w: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• </w:t>
      </w:r>
      <w:r>
        <w:rPr>
          <w:rFonts w:ascii="Times New Roman" w:hAnsi="Times New Roman" w:cs="Times New Roman" w:eastAsia="宋体"/>
        </w:rPr>
        <w:t>计数：相对误差不超过 3%；</w:t>
      </w: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• </w:t>
      </w:r>
      <w:r>
        <w:rPr>
          <w:rFonts w:ascii="Times New Roman" w:hAnsi="Times New Roman" w:cs="Times New Roman" w:eastAsia="宋体"/>
        </w:rPr>
        <w:t>连续型描述统计：相对误差不超过 10%（2026-10-10 修订）。</w:t>
      </w:r>
    </w:p>
    <w:p>
      <w:r>
        <w:rPr>
          <w:rFonts w:ascii="Times New Roman" w:hAnsi="Times New Roman" w:cs="Times New Roman" w:eastAsia="宋体"/>
        </w:rPr>
        <w:t>这些标准相当严，尤其是计数。例如 Li 表 5、表 7 里个数只有十几到几十的格子，差一个异象就会判为未通过。所以通过率宜理解为"逐格一致的程度"，不宜理解为"结论是否成立"。下文对每篇分别给出结论层面的判断。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Times New Roman" w:hAnsi="Times New Roman" w:cs="Times New Roman" w:eastAsia="黑体"/>
          <w:color w:val="1F3A5F"/>
        </w:rPr>
        <w:t>1. 做法要点</w:t>
      </w: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• </w:t>
      </w:r>
      <w:r>
        <w:rPr>
          <w:rFonts w:ascii="Times New Roman" w:hAnsi="Times New Roman" w:cs="Times New Roman" w:eastAsia="宋体"/>
          <w:b/>
        </w:rPr>
        <w:t>每篇按它自己的原始口径</w:t>
      </w:r>
      <w:r>
        <w:rPr>
          <w:rFonts w:ascii="Times New Roman" w:hAnsi="Times New Roman" w:cs="Times New Roman" w:eastAsia="宋体"/>
        </w:rPr>
        <w:t>复现，不统一三篇的口径：样本期、市值口径、剔除规则、无风险利率都按各自论文。</w:t>
      </w:r>
    </w:p>
    <w:p>
      <w:pPr>
        <w:spacing w:after="40"/>
        <w:ind w:left="794" w:hanging="283"/>
      </w:pPr>
      <w:r>
        <w:rPr>
          <w:rFonts w:ascii="Times New Roman" w:hAnsi="Times New Roman" w:cs="Times New Roman" w:eastAsia="宋体"/>
        </w:rPr>
        <w:t xml:space="preserve">◦ </w:t>
      </w:r>
      <w:r>
        <w:rPr>
          <w:rFonts w:ascii="Times New Roman" w:hAnsi="Times New Roman" w:cs="Times New Roman" w:eastAsia="宋体"/>
        </w:rPr>
        <w:t>LSY：总市值加权，剔除最小 30%，一年期存款利率；</w:t>
      </w:r>
    </w:p>
    <w:p>
      <w:pPr>
        <w:spacing w:after="40"/>
        <w:ind w:left="794" w:hanging="283"/>
      </w:pPr>
      <w:r>
        <w:rPr>
          <w:rFonts w:ascii="Times New Roman" w:hAnsi="Times New Roman" w:cs="Times New Roman" w:eastAsia="宋体"/>
        </w:rPr>
        <w:t xml:space="preserve">◦ </w:t>
      </w:r>
      <w:r>
        <w:rPr>
          <w:rFonts w:ascii="Times New Roman" w:hAnsi="Times New Roman" w:cs="Times New Roman" w:eastAsia="宋体"/>
        </w:rPr>
        <w:t>Li：流通市值加权，主板断点，三个月存款利率；</w:t>
      </w:r>
    </w:p>
    <w:p>
      <w:pPr>
        <w:spacing w:after="40"/>
        <w:ind w:left="794" w:hanging="283"/>
      </w:pPr>
      <w:r>
        <w:rPr>
          <w:rFonts w:ascii="Times New Roman" w:hAnsi="Times New Roman" w:cs="Times New Roman" w:eastAsia="宋体"/>
        </w:rPr>
        <w:t xml:space="preserve">◦ </w:t>
      </w:r>
      <w:r>
        <w:rPr>
          <w:rFonts w:ascii="Times New Roman" w:hAnsi="Times New Roman" w:cs="Times New Roman" w:eastAsia="宋体"/>
        </w:rPr>
        <w:t>Allen：年度面板，美元市值加权回归。</w:t>
      </w: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• </w:t>
      </w:r>
      <w:r>
        <w:rPr>
          <w:rFonts w:ascii="Times New Roman" w:hAnsi="Times New Roman" w:cs="Times New Roman" w:eastAsia="宋体"/>
          <w:b/>
        </w:rPr>
        <w:t>三段</w:t>
      </w:r>
      <w:r>
        <w:rPr>
          <w:rFonts w:ascii="Times New Roman" w:hAnsi="Times New Roman" w:cs="Times New Roman" w:eastAsia="宋体"/>
        </w:rPr>
        <w:t>：原文样本期 / 原文截止后至最新月份 / 2000 年起全样本。三段由同一段代码只改日期产出。</w:t>
      </w: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• </w:t>
      </w:r>
      <w:r>
        <w:rPr>
          <w:rFonts w:ascii="Times New Roman" w:hAnsi="Times New Roman" w:cs="Times New Roman" w:eastAsia="宋体"/>
          <w:b/>
        </w:rPr>
        <w:t>防前视</w:t>
      </w:r>
      <w:r>
        <w:rPr>
          <w:rFonts w:ascii="Times New Roman" w:hAnsi="Times New Roman" w:cs="Times New Roman" w:eastAsia="宋体"/>
        </w:rPr>
        <w:t xml:space="preserve">：财务数据只在实际披露日（CSMAR </w:t>
      </w:r>
      <w:r>
        <w:rPr>
          <w:rFonts w:ascii="Menlo" w:hAnsi="Menlo" w:cs="Menlo" w:eastAsia="宋体"/>
          <w:sz w:val="19"/>
        </w:rPr>
        <w:t>IAR_Rept</w:t>
      </w:r>
      <w:r>
        <w:rPr>
          <w:rFonts w:ascii="Times New Roman" w:hAnsi="Times New Roman" w:cs="Times New Roman" w:eastAsia="宋体"/>
        </w:rPr>
        <w:t xml:space="preserve"> 的报告公布日期）之后使用；原文明确用固定滞后规则的，按原文规则（Li 的"6 月末用上年年报"、"季度科目滞后 4 个月"）。</w:t>
      </w: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• </w:t>
      </w:r>
      <w:r>
        <w:rPr>
          <w:rFonts w:ascii="Times New Roman" w:hAnsi="Times New Roman" w:cs="Times New Roman" w:eastAsia="宋体"/>
          <w:b/>
        </w:rPr>
        <w:t>对不上时</w:t>
      </w:r>
      <w:r>
        <w:rPr>
          <w:rFonts w:ascii="Times New Roman" w:hAnsi="Times New Roman" w:cs="Times New Roman" w:eastAsia="宋体"/>
        </w:rPr>
        <w:t>：每个未通过项最多追查三轮（假设 → 改动 → 结果），记入偏差日志；追查不出的如实标注。</w:t>
      </w: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• </w:t>
      </w:r>
      <w:r>
        <w:rPr>
          <w:rFonts w:ascii="Times New Roman" w:hAnsi="Times New Roman" w:cs="Times New Roman" w:eastAsia="宋体"/>
          <w:b/>
        </w:rPr>
        <w:t>有作者材料时逐月对照</w:t>
      </w:r>
      <w:r>
        <w:rPr>
          <w:rFonts w:ascii="Times New Roman" w:hAnsi="Times New Roman" w:cs="Times New Roman" w:eastAsia="宋体"/>
        </w:rPr>
        <w:t>，这比对表格数字更强：</w:t>
      </w:r>
    </w:p>
    <w:p>
      <w:pPr>
        <w:spacing w:after="40"/>
        <w:ind w:left="794" w:hanging="283"/>
      </w:pPr>
      <w:r>
        <w:rPr>
          <w:rFonts w:ascii="Times New Roman" w:hAnsi="Times New Roman" w:cs="Times New Roman" w:eastAsia="宋体"/>
        </w:rPr>
        <w:t xml:space="preserve">◦ </w:t>
      </w:r>
      <w:r>
        <w:rPr>
          <w:rFonts w:ascii="Times New Roman" w:hAnsi="Times New Roman" w:cs="Times New Roman" w:eastAsia="宋体"/>
        </w:rPr>
        <w:t>LSY 的 CH 因子对照 Stambaugh 官网序列；</w:t>
      </w:r>
    </w:p>
    <w:p>
      <w:pPr>
        <w:spacing w:after="40"/>
        <w:ind w:left="794" w:hanging="283"/>
      </w:pPr>
      <w:r>
        <w:rPr>
          <w:rFonts w:ascii="Times New Roman" w:hAnsi="Times New Roman" w:cs="Times New Roman" w:eastAsia="宋体"/>
        </w:rPr>
        <w:t xml:space="preserve">◦ </w:t>
      </w:r>
      <w:r>
        <w:rPr>
          <w:rFonts w:ascii="Times New Roman" w:hAnsi="Times New Roman" w:cs="Times New Roman" w:eastAsia="宋体"/>
        </w:rPr>
        <w:t xml:space="preserve">Li 的因子对照作者复现包里的 </w:t>
      </w:r>
      <w:r>
        <w:rPr>
          <w:rFonts w:ascii="Menlo" w:hAnsi="Menlo" w:cs="Menlo" w:eastAsia="宋体"/>
          <w:sz w:val="19"/>
        </w:rPr>
        <w:t>allfactors</w:t>
      </w:r>
      <w:r>
        <w:rPr>
          <w:rFonts w:ascii="Times New Roman" w:hAnsi="Times New Roman" w:cs="Times New Roman" w:eastAsia="宋体"/>
        </w:rPr>
        <w:t xml:space="preserve">，每个显著异象的五分位收益对照作者的 </w:t>
      </w:r>
      <w:r>
        <w:rPr>
          <w:rFonts w:ascii="Menlo" w:hAnsi="Menlo" w:cs="Menlo" w:eastAsia="宋体"/>
          <w:sz w:val="19"/>
        </w:rPr>
        <w:t>g5_g1</w:t>
      </w:r>
      <w:r>
        <w:rPr>
          <w:rFonts w:ascii="Times New Roman" w:hAnsi="Times New Roman" w:cs="Times New Roman" w:eastAsia="宋体"/>
        </w:rPr>
        <w:t xml:space="preserve"> 序列；</w:t>
      </w:r>
    </w:p>
    <w:p>
      <w:pPr>
        <w:spacing w:after="40"/>
        <w:ind w:left="794" w:hanging="283"/>
      </w:pPr>
      <w:r>
        <w:rPr>
          <w:rFonts w:ascii="Times New Roman" w:hAnsi="Times New Roman" w:cs="Times New Roman" w:eastAsia="宋体"/>
        </w:rPr>
        <w:t xml:space="preserve">◦ </w:t>
      </w:r>
      <w:r>
        <w:rPr>
          <w:rFonts w:ascii="Times New Roman" w:hAnsi="Times New Roman" w:cs="Times New Roman" w:eastAsia="宋体"/>
        </w:rPr>
        <w:t>Allen 的 SAS 代码只用来核对口径（缺输入数据，不能运行）。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Times New Roman" w:hAnsi="Times New Roman" w:cs="Times New Roman" w:eastAsia="黑体"/>
          <w:color w:val="1F3A5F"/>
        </w:rPr>
        <w:t>2. LSY（2019）：Size and value in China</w:t>
      </w:r>
    </w:p>
    <w:p>
      <w:pPr>
        <w:pStyle w:val="Heading3"/>
      </w:pPr>
      <w:r>
        <w:rPr>
          <w:rFonts w:ascii="Times New Roman" w:hAnsi="Times New Roman" w:cs="Times New Roman" w:eastAsia="黑体"/>
          <w:color w:val="1F3A5F"/>
        </w:rPr>
        <w:t>2.1 我们 vs 论文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83"/>
            <w:shd w:val="clear" w:color="auto" w:fill="DCE6F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表</w:t>
            </w:r>
          </w:p>
        </w:tc>
        <w:tc>
          <w:tcPr>
            <w:tcW w:type="dxa" w:w="2498"/>
            <w:shd w:val="clear" w:color="auto" w:fill="DCE6F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内容</w:t>
            </w:r>
          </w:p>
        </w:tc>
        <w:tc>
          <w:tcPr>
            <w:tcW w:type="dxa" w:w="657"/>
            <w:shd w:val="clear" w:color="auto" w:fill="DCE6F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打分</w:t>
            </w:r>
          </w:p>
        </w:tc>
        <w:tc>
          <w:tcPr>
            <w:tcW w:type="dxa" w:w="657"/>
            <w:shd w:val="clear" w:color="auto" w:fill="DCE6F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通过</w:t>
            </w:r>
          </w:p>
        </w:tc>
        <w:tc>
          <w:tcPr>
            <w:tcW w:type="dxa" w:w="4075"/>
            <w:shd w:val="clear" w:color="auto" w:fill="DCE6F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183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表 1</w:t>
            </w:r>
          </w:p>
        </w:tc>
        <w:tc>
          <w:tcPr>
            <w:tcW w:type="dxa" w:w="2498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盈余公告收益与规模</w:t>
            </w:r>
          </w:p>
        </w:tc>
        <w:tc>
          <w:tcPr>
            <w:tcW w:type="dxa" w:w="657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18</w:t>
            </w:r>
          </w:p>
        </w:tc>
        <w:tc>
          <w:tcPr>
            <w:tcW w:type="dxa" w:w="657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18</w:t>
            </w:r>
          </w:p>
        </w:tc>
        <w:tc>
          <w:tcPr>
            <w:tcW w:type="dxa" w:w="4075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需剔除停牌期间的公告窗口（LSY-5，口径为我们所加）</w:t>
            </w:r>
          </w:p>
        </w:tc>
      </w:tr>
      <w:tr>
        <w:tc>
          <w:tcPr>
            <w:tcW w:type="dxa" w:w="1183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表 2</w:t>
            </w:r>
          </w:p>
        </w:tc>
        <w:tc>
          <w:tcPr>
            <w:tcW w:type="dxa" w:w="2498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估值比率 Fama–MacBeth</w:t>
            </w:r>
          </w:p>
        </w:tc>
        <w:tc>
          <w:tcPr>
            <w:tcW w:type="dxa" w:w="657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80</w:t>
            </w:r>
          </w:p>
        </w:tc>
        <w:tc>
          <w:tcPr>
            <w:tcW w:type="dxa" w:w="657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68</w:t>
            </w:r>
          </w:p>
        </w:tc>
        <w:tc>
          <w:tcPr>
            <w:tcW w:type="dxa" w:w="4075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采用"不剔除最小 30%"的样本才能对上数字（LSY-3）</w:t>
            </w:r>
          </w:p>
        </w:tc>
      </w:tr>
      <w:tr>
        <w:tc>
          <w:tcPr>
            <w:tcW w:type="dxa" w:w="1183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表 3</w:t>
            </w:r>
          </w:p>
        </w:tc>
        <w:tc>
          <w:tcPr>
            <w:tcW w:type="dxa" w:w="2498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CH-3 因子</w:t>
            </w:r>
          </w:p>
        </w:tc>
        <w:tc>
          <w:tcPr>
            <w:tcW w:type="dxa" w:w="657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18</w:t>
            </w:r>
          </w:p>
        </w:tc>
        <w:tc>
          <w:tcPr>
            <w:tcW w:type="dxa" w:w="657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17</w:t>
            </w:r>
          </w:p>
        </w:tc>
        <w:tc>
          <w:tcPr>
            <w:tcW w:type="dxa" w:w="4075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唯一未通过：MKT 的双因子 α 1.76 vs 1.57</w:t>
            </w:r>
          </w:p>
        </w:tc>
      </w:tr>
      <w:tr>
        <w:tc>
          <w:tcPr>
            <w:tcW w:type="dxa" w:w="1183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表 4</w:t>
            </w:r>
          </w:p>
        </w:tc>
        <w:tc>
          <w:tcPr>
            <w:tcW w:type="dxa" w:w="2498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R² 比较</w:t>
            </w:r>
          </w:p>
        </w:tc>
        <w:tc>
          <w:tcPr>
            <w:tcW w:type="dxa" w:w="657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8</w:t>
            </w:r>
          </w:p>
        </w:tc>
        <w:tc>
          <w:tcPr>
            <w:tcW w:type="dxa" w:w="657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8</w:t>
            </w:r>
          </w:p>
        </w:tc>
        <w:tc>
          <w:tcPr>
            <w:tcW w:type="dxa" w:w="4075"/>
          </w:tcPr>
          <w:p>
            <w:pPr>
              <w:spacing w:after="0" w:line="264" w:lineRule="auto"/>
            </w:pPr>
          </w:p>
        </w:tc>
      </w:tr>
      <w:tr>
        <w:tc>
          <w:tcPr>
            <w:tcW w:type="dxa" w:w="1183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表 5</w:t>
            </w:r>
          </w:p>
        </w:tc>
        <w:tc>
          <w:tcPr>
            <w:tcW w:type="dxa" w:w="2498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因子互相定价</w:t>
            </w:r>
          </w:p>
        </w:tc>
        <w:tc>
          <w:tcPr>
            <w:tcW w:type="dxa" w:w="657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10</w:t>
            </w:r>
          </w:p>
        </w:tc>
        <w:tc>
          <w:tcPr>
            <w:tcW w:type="dxa" w:w="657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10</w:t>
            </w:r>
          </w:p>
        </w:tc>
        <w:tc>
          <w:tcPr>
            <w:tcW w:type="dxa" w:w="4075"/>
          </w:tcPr>
          <w:p>
            <w:pPr>
              <w:spacing w:after="0" w:line="264" w:lineRule="auto"/>
            </w:pPr>
          </w:p>
        </w:tc>
      </w:tr>
      <w:tr>
        <w:tc>
          <w:tcPr>
            <w:tcW w:type="dxa" w:w="1183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表 6–10</w:t>
            </w:r>
          </w:p>
        </w:tc>
        <w:tc>
          <w:tcPr>
            <w:tcW w:type="dxa" w:w="2498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10 个异象与模型比较</w:t>
            </w:r>
          </w:p>
        </w:tc>
        <w:tc>
          <w:tcPr>
            <w:tcW w:type="dxa" w:w="657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636</w:t>
            </w:r>
          </w:p>
        </w:tc>
        <w:tc>
          <w:tcPr>
            <w:tcW w:type="dxa" w:w="657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533</w:t>
            </w:r>
          </w:p>
        </w:tc>
        <w:tc>
          <w:tcPr>
            <w:tcW w:type="dxa" w:w="4075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反转、BM、ROE、异常换手的 α 档位有差（LSY-7）</w:t>
            </w:r>
          </w:p>
        </w:tc>
      </w:tr>
      <w:tr>
        <w:tc>
          <w:tcPr>
            <w:tcW w:type="dxa" w:w="1183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第 5.2 节</w:t>
            </w:r>
          </w:p>
        </w:tc>
        <w:tc>
          <w:tcPr>
            <w:tcW w:type="dxa" w:w="2498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剔除壳价值的稳健性</w:t>
            </w:r>
          </w:p>
        </w:tc>
        <w:tc>
          <w:tcPr>
            <w:tcW w:type="dxa" w:w="657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6</w:t>
            </w:r>
          </w:p>
        </w:tc>
        <w:tc>
          <w:tcPr>
            <w:tcW w:type="dxa" w:w="657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5</w:t>
            </w:r>
          </w:p>
        </w:tc>
        <w:tc>
          <w:tcPr>
            <w:tcW w:type="dxa" w:w="4075"/>
          </w:tcPr>
          <w:p>
            <w:pPr>
              <w:spacing w:after="0" w:line="264" w:lineRule="auto"/>
            </w:pPr>
          </w:p>
        </w:tc>
      </w:tr>
      <w:tr>
        <w:tc>
          <w:tcPr>
            <w:tcW w:type="dxa" w:w="1183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图 1–2</w:t>
            </w:r>
          </w:p>
        </w:tc>
        <w:tc>
          <w:tcPr>
            <w:tcW w:type="dxa" w:w="2498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借壳上市与壳价值</w:t>
            </w:r>
          </w:p>
        </w:tc>
        <w:tc>
          <w:tcPr>
            <w:tcW w:type="dxa" w:w="657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4</w:t>
            </w:r>
          </w:p>
        </w:tc>
        <w:tc>
          <w:tcPr>
            <w:tcW w:type="dxa" w:w="657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0</w:t>
            </w:r>
          </w:p>
        </w:tc>
        <w:tc>
          <w:tcPr>
            <w:tcW w:type="dxa" w:w="4075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借壳识别规则不同（LSY-6）</w:t>
            </w:r>
          </w:p>
        </w:tc>
      </w:tr>
      <w:tr>
        <w:tc>
          <w:tcPr>
            <w:tcW w:type="dxa" w:w="1183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正文数字</w:t>
            </w:r>
          </w:p>
        </w:tc>
        <w:tc>
          <w:tcPr>
            <w:tcW w:type="dxa" w:w="2498"/>
          </w:tcPr>
          <w:p>
            <w:pPr>
              <w:spacing w:after="0" w:line="264" w:lineRule="auto"/>
            </w:pPr>
          </w:p>
        </w:tc>
        <w:tc>
          <w:tcPr>
            <w:tcW w:type="dxa" w:w="657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49</w:t>
            </w:r>
          </w:p>
        </w:tc>
        <w:tc>
          <w:tcPr>
            <w:tcW w:type="dxa" w:w="657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33</w:t>
            </w:r>
          </w:p>
        </w:tc>
        <w:tc>
          <w:tcPr>
            <w:tcW w:type="dxa" w:w="4075"/>
          </w:tcPr>
          <w:p>
            <w:pPr>
              <w:spacing w:after="0" w:line="264" w:lineRule="auto"/>
            </w:pPr>
          </w:p>
        </w:tc>
      </w:tr>
      <w:tr>
        <w:tc>
          <w:tcPr>
            <w:tcW w:type="dxa" w:w="1183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因子逐月对照</w:t>
            </w:r>
          </w:p>
        </w:tc>
        <w:tc>
          <w:tcPr>
            <w:tcW w:type="dxa" w:w="2498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CH 七条序列 vs 官网</w:t>
            </w:r>
          </w:p>
        </w:tc>
        <w:tc>
          <w:tcPr>
            <w:tcW w:type="dxa" w:w="657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7</w:t>
            </w:r>
          </w:p>
        </w:tc>
        <w:tc>
          <w:tcPr>
            <w:tcW w:type="dxa" w:w="657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7</w:t>
            </w:r>
          </w:p>
        </w:tc>
        <w:tc>
          <w:tcPr>
            <w:tcW w:type="dxa" w:w="4075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相关均 ≥ 0.96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cs="Times New Roman" w:eastAsia="宋体"/>
          <w:b/>
        </w:rPr>
        <w:t>因子本身复现得很好</w:t>
      </w:r>
      <w:r>
        <w:rPr>
          <w:rFonts w:ascii="Times New Roman" w:hAnsi="Times New Roman" w:cs="Times New Roman" w:eastAsia="宋体"/>
        </w:rPr>
        <w:t>（表 3）：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024"/>
        <w:gridCol w:w="3024"/>
        <w:gridCol w:w="3024"/>
      </w:tblGrid>
      <w:tr>
        <w:tc>
          <w:tcPr>
            <w:tcW w:type="dxa" w:w="3319"/>
            <w:shd w:val="clear" w:color="auto" w:fill="DCE6F0"/>
          </w:tcPr>
          <w:p>
            <w:pPr>
              <w:spacing w:after="0" w:line="264" w:lineRule="auto"/>
            </w:pPr>
          </w:p>
        </w:tc>
        <w:tc>
          <w:tcPr>
            <w:tcW w:type="dxa" w:w="2876"/>
            <w:shd w:val="clear" w:color="auto" w:fill="DCE6F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论文</w:t>
            </w:r>
          </w:p>
        </w:tc>
        <w:tc>
          <w:tcPr>
            <w:tcW w:type="dxa" w:w="2876"/>
            <w:shd w:val="clear" w:color="auto" w:fill="DCE6F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我们</w:t>
            </w:r>
          </w:p>
        </w:tc>
      </w:tr>
      <w:tr>
        <w:tc>
          <w:tcPr>
            <w:tcW w:type="dxa" w:w="3319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VMG 月均（t）</w:t>
            </w:r>
          </w:p>
        </w:tc>
        <w:tc>
          <w:tcPr>
            <w:tcW w:type="dxa" w:w="2876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1.14%（4.34）</w:t>
            </w:r>
          </w:p>
        </w:tc>
        <w:tc>
          <w:tcPr>
            <w:tcW w:type="dxa" w:w="2876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1.18%（4.52）</w:t>
            </w:r>
          </w:p>
        </w:tc>
      </w:tr>
      <w:tr>
        <w:tc>
          <w:tcPr>
            <w:tcW w:type="dxa" w:w="3319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SMB 月均（t）</w:t>
            </w:r>
          </w:p>
        </w:tc>
        <w:tc>
          <w:tcPr>
            <w:tcW w:type="dxa" w:w="2876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1.03%（3.25）</w:t>
            </w:r>
          </w:p>
        </w:tc>
        <w:tc>
          <w:tcPr>
            <w:tcW w:type="dxa" w:w="2876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0.98%（3.12）</w:t>
            </w:r>
          </w:p>
        </w:tc>
      </w:tr>
      <w:tr>
        <w:tc>
          <w:tcPr>
            <w:tcW w:type="dxa" w:w="3319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SMB 与 VMG 的相关</w:t>
            </w:r>
          </w:p>
        </w:tc>
        <w:tc>
          <w:tcPr>
            <w:tcW w:type="dxa" w:w="2876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−0.62</w:t>
            </w:r>
          </w:p>
        </w:tc>
        <w:tc>
          <w:tcPr>
            <w:tcW w:type="dxa" w:w="2876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−0.61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cs="Times New Roman" w:eastAsia="宋体"/>
        </w:rPr>
        <w:t>七条因子序列（CH-3、CH-4 的 MKT / SMB / VMG / PMO）与 Stambaugh 官网序列逐月相关都在 0.96 以上。关键口径是 EP 用</w:t>
      </w:r>
      <w:r>
        <w:rPr>
          <w:rFonts w:ascii="Times New Roman" w:hAnsi="Times New Roman" w:cs="Times New Roman" w:eastAsia="宋体"/>
          <w:b/>
        </w:rPr>
        <w:t>单季度</w:t>
      </w:r>
      <w:r>
        <w:rPr>
          <w:rFonts w:ascii="Times New Roman" w:hAnsi="Times New Roman" w:cs="Times New Roman" w:eastAsia="宋体"/>
        </w:rPr>
        <w:t>盈余（LSY-1）：用年初至今累计盈余时，VMG 只有 1.04%。</w:t>
      </w:r>
    </w:p>
    <w:p>
      <w:r>
        <w:rPr>
          <w:rFonts w:ascii="Times New Roman" w:hAnsi="Times New Roman" w:cs="Times New Roman" w:eastAsia="宋体"/>
          <w:b/>
        </w:rPr>
        <w:t>核心结论成立</w:t>
      </w:r>
      <w:r>
        <w:rPr>
          <w:rFonts w:ascii="Times New Roman" w:hAnsi="Times New Roman" w:cs="Times New Roman" w:eastAsia="宋体"/>
        </w:rPr>
        <w:t>（表 9）：CH-3 对 10 个异象的平均 |α| 为 0.43%，论文 0.45%；CAPM 为 0.94%（论文 1.02%），FF-3 为 0.85%（论文 0.90%）。主要不同是 CH-3 的 GRS 检验（Panel B 的 p 值也一样）：我们 p = 0.018 拒绝"α 全为零"，论文 p = 0.15 不拒绝。拒绝主要来自反转和异常换手两个异象的 α。</w:t>
      </w:r>
    </w:p>
    <w:p>
      <w:pPr>
        <w:pStyle w:val="Heading3"/>
      </w:pPr>
      <w:r>
        <w:rPr>
          <w:rFonts w:ascii="Times New Roman" w:hAnsi="Times New Roman" w:cs="Times New Roman" w:eastAsia="黑体"/>
          <w:color w:val="1F3A5F"/>
        </w:rPr>
        <w:t>2.2 主要偏差及原因</w:t>
      </w: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1. </w:t>
      </w:r>
      <w:r>
        <w:rPr>
          <w:rFonts w:ascii="Times New Roman" w:hAnsi="Times New Roman" w:cs="Times New Roman" w:eastAsia="宋体"/>
          <w:b/>
        </w:rPr>
        <w:t>借壳上市（图 1–2）</w:t>
      </w:r>
      <w:r>
        <w:rPr>
          <w:rFonts w:ascii="Times New Roman" w:hAnsi="Times New Roman" w:cs="Times New Roman" w:eastAsia="宋体"/>
        </w:rPr>
        <w:t>：</w:t>
      </w:r>
    </w:p>
    <w:p>
      <w:pPr>
        <w:spacing w:after="40"/>
        <w:ind w:left="794" w:hanging="283"/>
      </w:pPr>
      <w:r>
        <w:rPr>
          <w:rFonts w:ascii="Times New Roman" w:hAnsi="Times New Roman" w:cs="Times New Roman" w:eastAsia="宋体"/>
        </w:rPr>
        <w:t xml:space="preserve">◦ </w:t>
      </w:r>
      <w:r>
        <w:rPr>
          <w:rFonts w:ascii="Times New Roman" w:hAnsi="Times New Roman" w:cs="Times New Roman" w:eastAsia="宋体"/>
        </w:rPr>
        <w:t>LSY 用 WIND 的借壳标记，CSMAR 没有，我们按证监会定义写了规则：重大资产重组、以股份支付且标的资产不低于上年资产的 100%、同时实际控制人变更。</w:t>
      </w:r>
    </w:p>
    <w:p>
      <w:pPr>
        <w:spacing w:after="40"/>
        <w:ind w:left="794" w:hanging="283"/>
      </w:pPr>
      <w:r>
        <w:rPr>
          <w:rFonts w:ascii="Times New Roman" w:hAnsi="Times New Roman" w:cs="Times New Roman" w:eastAsia="宋体"/>
        </w:rPr>
        <w:t xml:space="preserve">◦ </w:t>
      </w:r>
      <w:r>
        <w:rPr>
          <w:rFonts w:ascii="Times New Roman" w:hAnsi="Times New Roman" w:cs="Times New Roman" w:eastAsia="宋体"/>
        </w:rPr>
        <w:t>2007–2016 年识别出 108 起，论文 133 起。来自最小 30% 股票的比例是 66%，论文 83%。</w:t>
      </w:r>
    </w:p>
    <w:p>
      <w:pPr>
        <w:spacing w:after="40"/>
        <w:ind w:left="794" w:hanging="283"/>
      </w:pPr>
      <w:r>
        <w:rPr>
          <w:rFonts w:ascii="Times New Roman" w:hAnsi="Times New Roman" w:cs="Times New Roman" w:eastAsia="宋体"/>
        </w:rPr>
        <w:t xml:space="preserve">◦ </w:t>
      </w:r>
      <w:r>
        <w:rPr>
          <w:rFonts w:ascii="Times New Roman" w:hAnsi="Times New Roman" w:cs="Times New Roman" w:eastAsia="宋体"/>
        </w:rPr>
        <w:t>CSMAR 的并购表在 2012 年以前符合条件的交易很少，因此 2009–2016 年壳价值占市值的平均比例只有 8.9%，论文 29.5%。曲线形状对得上（2012 年起上升、2015 年见顶），水平对不上。</w:t>
      </w:r>
    </w:p>
    <w:p>
      <w:pPr>
        <w:spacing w:after="40"/>
        <w:ind w:left="794" w:hanging="283"/>
      </w:pPr>
      <w:r>
        <w:rPr>
          <w:rFonts w:ascii="Times New Roman" w:hAnsi="Times New Roman" w:cs="Times New Roman" w:eastAsia="宋体"/>
        </w:rPr>
        <w:t xml:space="preserve">◦ </w:t>
      </w:r>
      <w:r>
        <w:rPr>
          <w:rFonts w:ascii="Times New Roman" w:hAnsi="Times New Roman" w:cs="Times New Roman" w:eastAsia="宋体"/>
          <w:b/>
        </w:rPr>
        <w:t>识别规则需要您确认</w:t>
      </w:r>
      <w:r>
        <w:rPr>
          <w:rFonts w:ascii="Times New Roman" w:hAnsi="Times New Roman" w:cs="Times New Roman" w:eastAsia="宋体"/>
        </w:rPr>
        <w:t>（lighthouse 第 8 节）。</w:t>
      </w: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2. </w:t>
      </w:r>
      <w:r>
        <w:rPr>
          <w:rFonts w:ascii="Times New Roman" w:hAnsi="Times New Roman" w:cs="Times New Roman" w:eastAsia="宋体"/>
          <w:b/>
        </w:rPr>
        <w:t>表 2 的样本</w:t>
      </w:r>
      <w:r>
        <w:rPr>
          <w:rFonts w:ascii="Times New Roman" w:hAnsi="Times New Roman" w:cs="Times New Roman" w:eastAsia="宋体"/>
        </w:rPr>
        <w:t>：论文正文说剔除最小 30%，但只有不剔除时数字才对得上（logME 系数 −0.0051 对论文 −0.0049）。我们判断表格用的是全样本，两种版本都保留。</w:t>
      </w: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3. </w:t>
      </w:r>
      <w:r>
        <w:rPr>
          <w:rFonts w:ascii="Times New Roman" w:hAnsi="Times New Roman" w:cs="Times New Roman" w:eastAsia="宋体"/>
          <w:b/>
        </w:rPr>
        <w:t>个别异象的显著性档位</w:t>
      </w:r>
      <w:r>
        <w:rPr>
          <w:rFonts w:ascii="Times New Roman" w:hAnsi="Times New Roman" w:cs="Times New Roman" w:eastAsia="宋体"/>
        </w:rPr>
        <w:t>：</w:t>
      </w:r>
    </w:p>
    <w:p>
      <w:pPr>
        <w:spacing w:after="40"/>
        <w:ind w:left="794" w:hanging="283"/>
      </w:pPr>
      <w:r>
        <w:rPr>
          <w:rFonts w:ascii="Times New Roman" w:hAnsi="Times New Roman" w:cs="Times New Roman" w:eastAsia="宋体"/>
        </w:rPr>
        <w:t xml:space="preserve">◦ </w:t>
      </w:r>
      <w:r>
        <w:rPr>
          <w:rFonts w:ascii="Times New Roman" w:hAnsi="Times New Roman" w:cs="Times New Roman" w:eastAsia="宋体"/>
        </w:rPr>
        <w:t>反转的 CAPM α 为 1.16%（t 2.41），论文 1.49%（t 3.06）。</w:t>
      </w:r>
    </w:p>
    <w:p>
      <w:pPr>
        <w:spacing w:after="40"/>
        <w:ind w:left="794" w:hanging="283"/>
      </w:pPr>
      <w:r>
        <w:rPr>
          <w:rFonts w:ascii="Times New Roman" w:hAnsi="Times New Roman" w:cs="Times New Roman" w:eastAsia="宋体"/>
        </w:rPr>
        <w:t xml:space="preserve">◦ </w:t>
      </w:r>
      <w:r>
        <w:rPr>
          <w:rFonts w:ascii="Times New Roman" w:hAnsi="Times New Roman" w:cs="Times New Roman" w:eastAsia="宋体"/>
        </w:rPr>
        <w:t>追查三轮后，最可能的原因是 WIND 与 CSMAR 的日度收益在涨跌停日和复牌日不同。</w:t>
      </w:r>
    </w:p>
    <w:p>
      <w:pPr>
        <w:spacing w:after="40"/>
        <w:ind w:left="794" w:hanging="283"/>
      </w:pPr>
      <w:r>
        <w:rPr>
          <w:rFonts w:ascii="Times New Roman" w:hAnsi="Times New Roman" w:cs="Times New Roman" w:eastAsia="宋体"/>
        </w:rPr>
        <w:t xml:space="preserve">◦ </w:t>
      </w:r>
      <w:r>
        <w:rPr>
          <w:rFonts w:ascii="Times New Roman" w:hAnsi="Times New Roman" w:cs="Times New Roman" w:eastAsia="宋体"/>
        </w:rPr>
        <w:t>以 CH-4 为例：平均 |α| 0.44%，论文 0.30%；改用官网 CH-4 因子也是 0.41%，说明差距不在因子，而在用 CSMAR 数据构造的异象组合本身。</w:t>
      </w:r>
    </w:p>
    <w:p>
      <w:pPr>
        <w:pStyle w:val="Heading3"/>
      </w:pPr>
      <w:r>
        <w:rPr>
          <w:rFonts w:ascii="Times New Roman" w:hAnsi="Times New Roman" w:cs="Times New Roman" w:eastAsia="黑体"/>
          <w:color w:val="1F3A5F"/>
        </w:rPr>
        <w:t>2.3 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04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hell_size_deciles_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宋体"/>
          <w:color w:val="555555"/>
          <w:sz w:val="18"/>
        </w:rPr>
        <w:t>LSY 图 1：借壳上市壳公司的规模分布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101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hell_value_origi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10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宋体"/>
          <w:color w:val="555555"/>
          <w:sz w:val="18"/>
        </w:rPr>
        <w:t>LSY 图 2：壳价值占市值的比例</w:t>
      </w:r>
    </w:p>
    <w:p>
      <w:pPr>
        <w:pStyle w:val="Heading3"/>
      </w:pPr>
      <w:r>
        <w:rPr>
          <w:rFonts w:ascii="Times New Roman" w:hAnsi="Times New Roman" w:cs="Times New Roman" w:eastAsia="黑体"/>
          <w:color w:val="1F3A5F"/>
        </w:rPr>
        <w:t>2.4 延长到 2026 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980"/>
            <w:shd w:val="clear" w:color="auto" w:fill="DCE6F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段</w:t>
            </w:r>
          </w:p>
        </w:tc>
        <w:tc>
          <w:tcPr>
            <w:tcW w:type="dxa" w:w="1685"/>
            <w:shd w:val="clear" w:color="auto" w:fill="DCE6F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MKT 月均（t）</w:t>
            </w:r>
          </w:p>
        </w:tc>
        <w:tc>
          <w:tcPr>
            <w:tcW w:type="dxa" w:w="2203"/>
            <w:shd w:val="clear" w:color="auto" w:fill="DCE6F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SMB 月均（t）</w:t>
            </w:r>
          </w:p>
        </w:tc>
        <w:tc>
          <w:tcPr>
            <w:tcW w:type="dxa" w:w="2203"/>
            <w:shd w:val="clear" w:color="auto" w:fill="DCE6F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VMG 月均（t）</w:t>
            </w:r>
          </w:p>
        </w:tc>
      </w:tr>
      <w:tr>
        <w:tc>
          <w:tcPr>
            <w:tcW w:type="dxa" w:w="298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原文 2000-01 至 2016-12</w:t>
            </w:r>
          </w:p>
        </w:tc>
        <w:tc>
          <w:tcPr>
            <w:tcW w:type="dxa" w:w="1685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0.72%（1.26）</w:t>
            </w:r>
          </w:p>
        </w:tc>
        <w:tc>
          <w:tcPr>
            <w:tcW w:type="dxa" w:w="2203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0.98%（3.12）</w:t>
            </w:r>
          </w:p>
        </w:tc>
        <w:tc>
          <w:tcPr>
            <w:tcW w:type="dxa" w:w="2203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1.18%（4.52）</w:t>
            </w:r>
          </w:p>
        </w:tc>
      </w:tr>
      <w:tr>
        <w:tc>
          <w:tcPr>
            <w:tcW w:type="dxa" w:w="298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延长 2017-01 至 2026-09</w:t>
            </w:r>
          </w:p>
        </w:tc>
        <w:tc>
          <w:tcPr>
            <w:tcW w:type="dxa" w:w="1685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0.32%（0.74）</w:t>
            </w:r>
          </w:p>
        </w:tc>
        <w:tc>
          <w:tcPr>
            <w:tcW w:type="dxa" w:w="2203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0.03%（0.10）</w:t>
            </w:r>
          </w:p>
        </w:tc>
        <w:tc>
          <w:tcPr>
            <w:tcW w:type="dxa" w:w="2203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1.04%（2.60）</w:t>
            </w:r>
          </w:p>
        </w:tc>
      </w:tr>
      <w:tr>
        <w:tc>
          <w:tcPr>
            <w:tcW w:type="dxa" w:w="298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全样本 2000-01 至 2026-09</w:t>
            </w:r>
          </w:p>
        </w:tc>
        <w:tc>
          <w:tcPr>
            <w:tcW w:type="dxa" w:w="1685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0.58%（1.45）</w:t>
            </w:r>
          </w:p>
        </w:tc>
        <w:tc>
          <w:tcPr>
            <w:tcW w:type="dxa" w:w="2203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0.64%（2.70）</w:t>
            </w:r>
          </w:p>
        </w:tc>
        <w:tc>
          <w:tcPr>
            <w:tcW w:type="dxa" w:w="2203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1.13%（5.13）</w:t>
            </w:r>
          </w:p>
        </w:tc>
      </w:tr>
    </w:tbl>
    <w:p>
      <w:pPr>
        <w:spacing w:after="40"/>
      </w:pP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• </w:t>
      </w:r>
      <w:r>
        <w:rPr>
          <w:rFonts w:ascii="Times New Roman" w:hAnsi="Times New Roman" w:cs="Times New Roman" w:eastAsia="宋体"/>
          <w:b/>
        </w:rPr>
        <w:t>价值效应延续</w:t>
      </w:r>
      <w:r>
        <w:rPr>
          <w:rFonts w:ascii="Times New Roman" w:hAnsi="Times New Roman" w:cs="Times New Roman" w:eastAsia="宋体"/>
        </w:rPr>
        <w:t>：VMG 在 2017 年后仍有月均 1.04%，t = 2.60，样本更短，显著性下降。</w:t>
      </w: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• </w:t>
      </w:r>
      <w:r>
        <w:rPr>
          <w:rFonts w:ascii="Times New Roman" w:hAnsi="Times New Roman" w:cs="Times New Roman" w:eastAsia="宋体"/>
          <w:b/>
        </w:rPr>
        <w:t>规模效应消失</w:t>
      </w:r>
      <w:r>
        <w:rPr>
          <w:rFonts w:ascii="Times New Roman" w:hAnsi="Times New Roman" w:cs="Times New Roman" w:eastAsia="宋体"/>
        </w:rPr>
        <w:t>：CH-3 的 SMB（已剔除最小 30% 股票）在 2017 年后为零。我们的推测（数据未直接检验）：2017 年起 IPO 提速、借壳需求下降，壳价值缩水，小盘股失去了这部分溢价。</w:t>
      </w: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• </w:t>
      </w:r>
      <w:r>
        <w:rPr>
          <w:rFonts w:ascii="Times New Roman" w:hAnsi="Times New Roman" w:cs="Times New Roman" w:eastAsia="宋体"/>
          <w:b/>
        </w:rPr>
        <w:t>CH-3 的优势没有延续</w:t>
      </w:r>
      <w:r>
        <w:rPr>
          <w:rFonts w:ascii="Times New Roman" w:hAnsi="Times New Roman" w:cs="Times New Roman" w:eastAsia="宋体"/>
        </w:rPr>
        <w:t>：2017–2026 年 10 个异象的平均 |α| 为 CH-3 0.64%、FF-3 0.54%、CAPM 0.86%。CH-3 不再是三个模型中最好的；全样本上 CH-3（0.56%）仍略优于 FF-3（0.67%）。</w:t>
      </w: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• </w:t>
      </w:r>
      <w:r>
        <w:rPr>
          <w:rFonts w:ascii="Times New Roman" w:hAnsi="Times New Roman" w:cs="Times New Roman" w:eastAsia="宋体"/>
        </w:rPr>
        <w:t>注意：Stambaugh 官网序列只到 2021-12。延长段用我们按同一方法自建的 CH-3，它与官网序列在 2000–2021 年逐月相关 ≥ 0.96。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Times New Roman" w:hAnsi="Times New Roman" w:cs="Times New Roman" w:eastAsia="黑体"/>
          <w:color w:val="1F3A5F"/>
        </w:rPr>
        <w:t>3. Allen（2024）：Dissecting the long-term performance of the Chinese stock market</w:t>
      </w:r>
    </w:p>
    <w:p>
      <w:pPr>
        <w:pStyle w:val="Heading3"/>
      </w:pPr>
      <w:r>
        <w:rPr>
          <w:rFonts w:ascii="Times New Roman" w:hAnsi="Times New Roman" w:cs="Times New Roman" w:eastAsia="黑体"/>
          <w:color w:val="1F3A5F"/>
        </w:rPr>
        <w:t>3.1 我们 vs 论文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128"/>
            <w:shd w:val="clear" w:color="auto" w:fill="DCE6F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表 / 图</w:t>
            </w:r>
          </w:p>
        </w:tc>
        <w:tc>
          <w:tcPr>
            <w:tcW w:type="dxa" w:w="1792"/>
            <w:shd w:val="clear" w:color="auto" w:fill="DCE6F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内容</w:t>
            </w:r>
          </w:p>
        </w:tc>
        <w:tc>
          <w:tcPr>
            <w:tcW w:type="dxa" w:w="448"/>
            <w:shd w:val="clear" w:color="auto" w:fill="DCE6F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打分</w:t>
            </w:r>
          </w:p>
        </w:tc>
        <w:tc>
          <w:tcPr>
            <w:tcW w:type="dxa" w:w="448"/>
            <w:shd w:val="clear" w:color="auto" w:fill="DCE6F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通过</w:t>
            </w:r>
          </w:p>
        </w:tc>
        <w:tc>
          <w:tcPr>
            <w:tcW w:type="dxa" w:w="4255"/>
            <w:shd w:val="clear" w:color="auto" w:fill="DCE6F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128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表 I</w:t>
            </w:r>
          </w:p>
        </w:tc>
        <w:tc>
          <w:tcPr>
            <w:tcW w:type="dxa" w:w="1792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上市公司数、国企数、平均资产</w:t>
            </w:r>
          </w:p>
        </w:tc>
        <w:tc>
          <w:tcPr>
            <w:tcW w:type="dxa" w:w="448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60</w:t>
            </w:r>
          </w:p>
        </w:tc>
        <w:tc>
          <w:tcPr>
            <w:tcW w:type="dxa" w:w="448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41</w:t>
            </w:r>
          </w:p>
        </w:tc>
        <w:tc>
          <w:tcPr>
            <w:tcW w:type="dxa" w:w="4255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公司数 19 年全部在 3% 内；国企数偏差见下（ALN-1）</w:t>
            </w:r>
          </w:p>
        </w:tc>
      </w:tr>
      <w:tr>
        <w:tc>
          <w:tcPr>
            <w:tcW w:type="dxa" w:w="2128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表 VIII–IX</w:t>
            </w:r>
          </w:p>
        </w:tc>
        <w:tc>
          <w:tcPr>
            <w:tcW w:type="dxa" w:w="1792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治理指数、换手率</w:t>
            </w:r>
          </w:p>
        </w:tc>
        <w:tc>
          <w:tcPr>
            <w:tcW w:type="dxa" w:w="448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53</w:t>
            </w:r>
          </w:p>
        </w:tc>
        <w:tc>
          <w:tcPr>
            <w:tcW w:type="dxa" w:w="448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44</w:t>
            </w:r>
          </w:p>
        </w:tc>
        <w:tc>
          <w:tcPr>
            <w:tcW w:type="dxa" w:w="4255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多数分项对得上；G-Index-I、关联交易净流出等未通过（ALN-2）</w:t>
            </w:r>
          </w:p>
        </w:tc>
      </w:tr>
      <w:tr>
        <w:tc>
          <w:tcPr>
            <w:tcW w:type="dxa" w:w="2128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表 X</w:t>
            </w:r>
          </w:p>
        </w:tc>
        <w:tc>
          <w:tcPr>
            <w:tcW w:type="dxa" w:w="1792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治理、行为偏差与收益</w:t>
            </w:r>
          </w:p>
        </w:tc>
        <w:tc>
          <w:tcPr>
            <w:tcW w:type="dxa" w:w="448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36</w:t>
            </w:r>
          </w:p>
        </w:tc>
        <w:tc>
          <w:tcPr>
            <w:tcW w:type="dxa" w:w="448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11</w:t>
            </w:r>
          </w:p>
        </w:tc>
        <w:tc>
          <w:tcPr>
            <w:tcW w:type="dxa" w:w="4255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G-Index-A 系数方向一致但显著性弱（ALN-4）</w:t>
            </w:r>
          </w:p>
        </w:tc>
      </w:tr>
      <w:tr>
        <w:tc>
          <w:tcPr>
            <w:tcW w:type="dxa" w:w="2128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表 XI</w:t>
            </w:r>
          </w:p>
        </w:tc>
        <w:tc>
          <w:tcPr>
            <w:tcW w:type="dxa" w:w="1792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治理与经营表现</w:t>
            </w:r>
          </w:p>
        </w:tc>
        <w:tc>
          <w:tcPr>
            <w:tcW w:type="dxa" w:w="448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16</w:t>
            </w:r>
          </w:p>
        </w:tc>
        <w:tc>
          <w:tcPr>
            <w:tcW w:type="dxa" w:w="448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10</w:t>
            </w:r>
          </w:p>
        </w:tc>
        <w:tc>
          <w:tcPr>
            <w:tcW w:type="dxa" w:w="4255"/>
          </w:tcPr>
          <w:p>
            <w:pPr>
              <w:spacing w:after="0" w:line="264" w:lineRule="auto"/>
            </w:pPr>
          </w:p>
        </w:tc>
      </w:tr>
      <w:tr>
        <w:tc>
          <w:tcPr>
            <w:tcW w:type="dxa" w:w="2128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表 XII（A 股部分）</w:t>
            </w:r>
          </w:p>
        </w:tc>
        <w:tc>
          <w:tcPr>
            <w:tcW w:type="dxa" w:w="1792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大盘股与国企</w:t>
            </w:r>
          </w:p>
        </w:tc>
        <w:tc>
          <w:tcPr>
            <w:tcW w:type="dxa" w:w="448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32</w:t>
            </w:r>
          </w:p>
        </w:tc>
        <w:tc>
          <w:tcPr>
            <w:tcW w:type="dxa" w:w="448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21</w:t>
            </w:r>
          </w:p>
        </w:tc>
        <w:tc>
          <w:tcPr>
            <w:tcW w:type="dxa" w:w="4255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大盘股系数四列同号同档（ALN-9）</w:t>
            </w:r>
          </w:p>
        </w:tc>
      </w:tr>
      <w:tr>
        <w:tc>
          <w:tcPr>
            <w:tcW w:type="dxa" w:w="2128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表 XIII</w:t>
            </w:r>
          </w:p>
        </w:tc>
        <w:tc>
          <w:tcPr>
            <w:tcW w:type="dxa" w:w="1792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关联交易与 A+H 交叉上市</w:t>
            </w:r>
          </w:p>
        </w:tc>
        <w:tc>
          <w:tcPr>
            <w:tcW w:type="dxa" w:w="448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41</w:t>
            </w:r>
          </w:p>
        </w:tc>
        <w:tc>
          <w:tcPr>
            <w:tcW w:type="dxa" w:w="448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18</w:t>
            </w:r>
          </w:p>
        </w:tc>
        <w:tc>
          <w:tcPr>
            <w:tcW w:type="dxa" w:w="4255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关联交易口径（ALN-5）</w:t>
            </w:r>
          </w:p>
        </w:tc>
      </w:tr>
      <w:tr>
        <w:tc>
          <w:tcPr>
            <w:tcW w:type="dxa" w:w="2128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图 1–2</w:t>
            </w:r>
          </w:p>
        </w:tc>
        <w:tc>
          <w:tcPr>
            <w:tcW w:type="dxa" w:w="1792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买入持有实际收益</w:t>
            </w:r>
          </w:p>
        </w:tc>
        <w:tc>
          <w:tcPr>
            <w:tcW w:type="dxa" w:w="448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1</w:t>
            </w:r>
          </w:p>
        </w:tc>
        <w:tc>
          <w:tcPr>
            <w:tcW w:type="dxa" w:w="448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1</w:t>
            </w:r>
          </w:p>
        </w:tc>
        <w:tc>
          <w:tcPr>
            <w:tcW w:type="dxa" w:w="4255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终值 1.10，论文 1.01</w:t>
            </w:r>
          </w:p>
        </w:tc>
      </w:tr>
      <w:tr>
        <w:tc>
          <w:tcPr>
            <w:tcW w:type="dxa" w:w="2128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图 4–5、第 III.A.2 节</w:t>
            </w:r>
          </w:p>
        </w:tc>
        <w:tc>
          <w:tcPr>
            <w:tcW w:type="dxa" w:w="1792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ST、投资、退市</w:t>
            </w:r>
          </w:p>
        </w:tc>
        <w:tc>
          <w:tcPr>
            <w:tcW w:type="dxa" w:w="448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6</w:t>
            </w:r>
          </w:p>
        </w:tc>
        <w:tc>
          <w:tcPr>
            <w:tcW w:type="dxa" w:w="448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1</w:t>
            </w:r>
          </w:p>
        </w:tc>
        <w:tc>
          <w:tcPr>
            <w:tcW w:type="dxa" w:w="4255"/>
          </w:tcPr>
          <w:p>
            <w:pPr>
              <w:spacing w:after="0" w:line="264" w:lineRule="auto"/>
            </w:pPr>
          </w:p>
        </w:tc>
      </w:tr>
      <w:tr>
        <w:tc>
          <w:tcPr>
            <w:tcW w:type="dxa" w:w="2128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正文数字</w:t>
            </w:r>
          </w:p>
        </w:tc>
        <w:tc>
          <w:tcPr>
            <w:tcW w:type="dxa" w:w="1792"/>
          </w:tcPr>
          <w:p>
            <w:pPr>
              <w:spacing w:after="0" w:line="264" w:lineRule="auto"/>
            </w:pPr>
          </w:p>
        </w:tc>
        <w:tc>
          <w:tcPr>
            <w:tcW w:type="dxa" w:w="448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12</w:t>
            </w:r>
          </w:p>
        </w:tc>
        <w:tc>
          <w:tcPr>
            <w:tcW w:type="dxa" w:w="448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3</w:t>
            </w:r>
          </w:p>
        </w:tc>
        <w:tc>
          <w:tcPr>
            <w:tcW w:type="dxa" w:w="4255"/>
          </w:tcPr>
          <w:p>
            <w:pPr>
              <w:spacing w:after="0" w:line="264" w:lineRule="auto"/>
            </w:pPr>
          </w:p>
        </w:tc>
      </w:tr>
    </w:tbl>
    <w:p>
      <w:pPr>
        <w:spacing w:after="40"/>
      </w:pPr>
    </w:p>
    <w:p>
      <w:r>
        <w:rPr>
          <w:rFonts w:ascii="Times New Roman" w:hAnsi="Times New Roman" w:cs="Times New Roman" w:eastAsia="宋体"/>
          <w:b/>
        </w:rPr>
        <w:t>核心结论成立</w:t>
      </w:r>
      <w:r>
        <w:rPr>
          <w:rFonts w:ascii="Times New Roman" w:hAnsi="Times New Roman" w:cs="Times New Roman" w:eastAsia="宋体"/>
        </w:rPr>
        <w:t>：</w:t>
      </w: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• </w:t>
      </w:r>
      <w:r>
        <w:rPr>
          <w:rFonts w:ascii="Times New Roman" w:hAnsi="Times New Roman" w:cs="Times New Roman" w:eastAsia="宋体"/>
          <w:b/>
        </w:rPr>
        <w:t>A 股长期实际收益很低</w:t>
      </w:r>
      <w:r>
        <w:rPr>
          <w:rFonts w:ascii="Times New Roman" w:hAnsi="Times New Roman" w:cs="Times New Roman" w:eastAsia="宋体"/>
        </w:rPr>
        <w:t>：2000-12 买入 1 元（实际值），到 2018-12 值 1.10 元，论文 1.01 元。</w:t>
      </w: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• </w:t>
      </w:r>
      <w:r>
        <w:rPr>
          <w:rFonts w:ascii="Times New Roman" w:hAnsi="Times New Roman" w:cs="Times New Roman" w:eastAsia="宋体"/>
          <w:b/>
        </w:rPr>
        <w:t>大盘股显著跑输</w:t>
      </w:r>
      <w:r>
        <w:rPr>
          <w:rFonts w:ascii="Times New Roman" w:hAnsi="Times New Roman" w:cs="Times New Roman" w:eastAsia="宋体"/>
        </w:rPr>
        <w:t>：表 XII 第 1 列 Large 系数为 −8.0 个百分点/年（t −3.4），论文 −6.4（t −4.0）。投资列 0.58（t 6.8），论文 0.46（t 6.0）。</w:t>
      </w: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• </w:t>
      </w:r>
      <w:r>
        <w:rPr>
          <w:rFonts w:ascii="Times New Roman" w:hAnsi="Times New Roman" w:cs="Times New Roman" w:eastAsia="宋体"/>
          <w:b/>
        </w:rPr>
        <w:t>IPO 前后业绩大幅下滑</w:t>
      </w:r>
      <w:r>
        <w:rPr>
          <w:rFonts w:ascii="Times New Roman" w:hAnsi="Times New Roman" w:cs="Times New Roman" w:eastAsia="宋体"/>
        </w:rPr>
        <w:t>：上市前一年 ROA 14.3%，上市后一年 7.2%；论文 13% → 6%。</w:t>
      </w: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• </w:t>
      </w:r>
      <w:r>
        <w:rPr>
          <w:rFonts w:ascii="Times New Roman" w:hAnsi="Times New Roman" w:cs="Times New Roman" w:eastAsia="宋体"/>
          <w:b/>
        </w:rPr>
        <w:t>ST 公司</w:t>
      </w:r>
      <w:r>
        <w:rPr>
          <w:rFonts w:ascii="Times New Roman" w:hAnsi="Times New Roman" w:cs="Times New Roman" w:eastAsia="宋体"/>
        </w:rPr>
        <w:t>：2000–2018 年首次被 ST 的公司 562 家，论文 572 家。</w:t>
      </w:r>
    </w:p>
    <w:p>
      <w:pPr>
        <w:pStyle w:val="Heading3"/>
      </w:pPr>
      <w:r>
        <w:rPr>
          <w:rFonts w:ascii="Times New Roman" w:hAnsi="Times New Roman" w:cs="Times New Roman" w:eastAsia="黑体"/>
          <w:color w:val="1F3A5F"/>
        </w:rPr>
        <w:t>3.2 主要偏差及原因</w:t>
      </w: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1. </w:t>
      </w:r>
      <w:r>
        <w:rPr>
          <w:rFonts w:ascii="Times New Roman" w:hAnsi="Times New Roman" w:cs="Times New Roman" w:eastAsia="宋体"/>
          <w:b/>
        </w:rPr>
        <w:t>国企口径</w:t>
      </w:r>
      <w:r>
        <w:rPr>
          <w:rFonts w:ascii="Times New Roman" w:hAnsi="Times New Roman" w:cs="Times New Roman" w:eastAsia="宋体"/>
        </w:rPr>
        <w:t>：</w:t>
      </w:r>
    </w:p>
    <w:p>
      <w:pPr>
        <w:spacing w:after="40"/>
        <w:ind w:left="794" w:hanging="283"/>
      </w:pPr>
      <w:r>
        <w:rPr>
          <w:rFonts w:ascii="Times New Roman" w:hAnsi="Times New Roman" w:cs="Times New Roman" w:eastAsia="宋体"/>
        </w:rPr>
        <w:t xml:space="preserve">◦ </w:t>
      </w:r>
      <w:r>
        <w:rPr>
          <w:rFonts w:ascii="Times New Roman" w:hAnsi="Times New Roman" w:cs="Times New Roman" w:eastAsia="宋体"/>
        </w:rPr>
        <w:t>我们用 CSMAR 实际控制人性质定义国企，论文用 WIND 的"最终控制人"。2003–2014 年我们的国企数比论文多 10–19%，2015 年论文序列跳升 23%，而我们的几乎不变。</w:t>
      </w:r>
    </w:p>
    <w:p>
      <w:pPr>
        <w:spacing w:after="40"/>
        <w:ind w:left="794" w:hanging="283"/>
      </w:pPr>
      <w:r>
        <w:rPr>
          <w:rFonts w:ascii="Times New Roman" w:hAnsi="Times New Roman" w:cs="Times New Roman" w:eastAsia="宋体"/>
        </w:rPr>
        <w:t xml:space="preserve">◦ </w:t>
      </w:r>
      <w:r>
        <w:rPr>
          <w:rFonts w:ascii="Times New Roman" w:hAnsi="Times New Roman" w:cs="Times New Roman" w:eastAsia="宋体"/>
        </w:rPr>
        <w:t>控制人文件从 2003 年开始，2000–2002 年按每家公司最早观测到的状态回溯。回溯后 2000 年国企占比 73.2%，论文正文为 70%。</w:t>
      </w:r>
    </w:p>
    <w:p>
      <w:pPr>
        <w:spacing w:after="40"/>
        <w:ind w:left="794" w:hanging="283"/>
      </w:pPr>
      <w:r>
        <w:rPr>
          <w:rFonts w:ascii="Times New Roman" w:hAnsi="Times New Roman" w:cs="Times New Roman" w:eastAsia="宋体"/>
        </w:rPr>
        <w:t xml:space="preserve">◦ </w:t>
      </w:r>
      <w:r>
        <w:rPr>
          <w:rFonts w:ascii="Times New Roman" w:hAnsi="Times New Roman" w:cs="Times New Roman" w:eastAsia="宋体"/>
        </w:rPr>
        <w:t>这影响所有含国企的回归。例如表 XII 投资列的国企系数，我们为负且显著，论文为正、不显著。</w:t>
      </w: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2. </w:t>
      </w:r>
      <w:r>
        <w:rPr>
          <w:rFonts w:ascii="Times New Roman" w:hAnsi="Times New Roman" w:cs="Times New Roman" w:eastAsia="宋体"/>
          <w:b/>
        </w:rPr>
        <w:t>治理与收益的关系弱于论文</w:t>
      </w:r>
      <w:r>
        <w:rPr>
          <w:rFonts w:ascii="Times New Roman" w:hAnsi="Times New Roman" w:cs="Times New Roman" w:eastAsia="宋体"/>
        </w:rPr>
        <w:t>：表 X 第 1 列 G-Index-A 系数为 1.09（t 1.90），论文 1.45（t 2.89），系数大小在容差内，但显著性低两档：我们在 5% 水平不显著。回归观测数为 30,256，论文为 36,044（ALN-4）。</w:t>
      </w: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3. </w:t>
      </w:r>
      <w:r>
        <w:rPr>
          <w:rFonts w:ascii="Times New Roman" w:hAnsi="Times New Roman" w:cs="Times New Roman" w:eastAsia="宋体"/>
          <w:b/>
        </w:rPr>
        <w:t>关联交易方向</w:t>
      </w:r>
      <w:r>
        <w:rPr>
          <w:rFonts w:ascii="Times New Roman" w:hAnsi="Times New Roman" w:cs="Times New Roman" w:eastAsia="宋体"/>
        </w:rPr>
        <w:t>：用 CSMAR 关联交易表算出的"关联交易净流出"均值为负（−0.0068），论文为正（0.007）。三种口径（只算资金往来、按类别算现金流、把向关联方销售算作流出）都是负数（ALN-2）。表 XIII 中关联交易流出的系数方向也与论文相反；ALN-5 认为更可能是 CSMAR 资金往来的规模小于论文所用数据，与这个均值的符号无直接关系。</w:t>
      </w: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4. </w:t>
      </w:r>
      <w:r>
        <w:rPr>
          <w:rFonts w:ascii="Times New Roman" w:hAnsi="Times New Roman" w:cs="Times New Roman" w:eastAsia="宋体"/>
          <w:b/>
        </w:rPr>
        <w:t>做不了的</w:t>
      </w:r>
      <w:r>
        <w:rPr>
          <w:rFonts w:ascii="Times New Roman" w:hAnsi="Times New Roman" w:cs="Times New Roman" w:eastAsia="宋体"/>
        </w:rPr>
        <w:t>：</w:t>
      </w:r>
    </w:p>
    <w:p>
      <w:pPr>
        <w:spacing w:after="40"/>
        <w:ind w:left="794" w:hanging="283"/>
      </w:pPr>
      <w:r>
        <w:rPr>
          <w:rFonts w:ascii="Times New Roman" w:hAnsi="Times New Roman" w:cs="Times New Roman" w:eastAsia="宋体"/>
        </w:rPr>
        <w:t xml:space="preserve">◦ </w:t>
      </w:r>
      <w:r>
        <w:rPr>
          <w:rFonts w:ascii="Times New Roman" w:hAnsi="Times New Roman" w:cs="Times New Roman" w:eastAsia="宋体"/>
        </w:rPr>
        <w:t>所有跨国表（表 II–VII、表 XII Panel B–C）需要 Worldscope、BoardEx、RiskMetrics；</w:t>
      </w:r>
    </w:p>
    <w:p>
      <w:pPr>
        <w:spacing w:after="40"/>
        <w:ind w:left="794" w:hanging="283"/>
      </w:pPr>
      <w:r>
        <w:rPr>
          <w:rFonts w:ascii="Times New Roman" w:hAnsi="Times New Roman" w:cs="Times New Roman" w:eastAsia="宋体"/>
        </w:rPr>
        <w:t xml:space="preserve">◦ </w:t>
      </w:r>
      <w:r>
        <w:rPr>
          <w:rFonts w:ascii="Times New Roman" w:hAnsi="Times New Roman" w:cs="Times New Roman" w:eastAsia="宋体"/>
        </w:rPr>
        <w:t>AH 溢价需要港股价格，NYU 未订阅港股市场库。</w:t>
      </w:r>
    </w:p>
    <w:p>
      <w:pPr>
        <w:pStyle w:val="Heading3"/>
      </w:pPr>
      <w:r>
        <w:rPr>
          <w:rFonts w:ascii="Times New Roman" w:hAnsi="Times New Roman" w:cs="Times New Roman" w:eastAsia="黑体"/>
          <w:color w:val="1F3A5F"/>
        </w:rPr>
        <w:t>3.3 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82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2_bhr_orig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8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宋体"/>
          <w:color w:val="555555"/>
          <w:sz w:val="18"/>
        </w:rPr>
        <w:t>Allen 图 1–2：A 股买入持有实际收益（原文段）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340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t_roa_orig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4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宋体"/>
          <w:color w:val="555555"/>
          <w:sz w:val="18"/>
        </w:rPr>
        <w:t>Allen 图 4：永久 ST 公司被 ST 前后的 ROA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3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investment_ncf_origi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3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宋体"/>
          <w:color w:val="555555"/>
          <w:sz w:val="18"/>
        </w:rPr>
        <w:t>Allen 图 5：投资与净现金流</w:t>
      </w:r>
    </w:p>
    <w:p>
      <w:r>
        <w:rPr>
          <w:rFonts w:ascii="Times New Roman" w:hAnsi="Times New Roman" w:cs="Times New Roman" w:eastAsia="宋体"/>
        </w:rPr>
        <w:t>图 4 的形态与论文一致：ST 前五年到三年 ROA 为正，前两年转负，被 ST 当年为 −25.9%。</w:t>
      </w:r>
    </w:p>
    <w:p>
      <w:pPr>
        <w:pStyle w:val="Heading3"/>
      </w:pPr>
      <w:r>
        <w:rPr>
          <w:rFonts w:ascii="Times New Roman" w:hAnsi="Times New Roman" w:cs="Times New Roman" w:eastAsia="黑体"/>
          <w:color w:val="1F3A5F"/>
        </w:rPr>
        <w:t>3.4 延长到 2025 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3123"/>
            <w:shd w:val="clear" w:color="auto" w:fill="DCE6F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段</w:t>
            </w:r>
          </w:p>
        </w:tc>
        <w:tc>
          <w:tcPr>
            <w:tcW w:type="dxa" w:w="2528"/>
            <w:shd w:val="clear" w:color="auto" w:fill="DCE6F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买入持有终值（实际，月度）：全市场 / 小盘 / 中盘 / 大盘</w:t>
            </w:r>
          </w:p>
        </w:tc>
        <w:tc>
          <w:tcPr>
            <w:tcW w:type="dxa" w:w="1859"/>
            <w:shd w:val="clear" w:color="auto" w:fill="DCE6F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表 XII Large 系数（t）（年度回归）</w:t>
            </w:r>
          </w:p>
        </w:tc>
        <w:tc>
          <w:tcPr>
            <w:tcW w:type="dxa" w:w="1561"/>
            <w:shd w:val="clear" w:color="auto" w:fill="DCE6F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表 X G-Index-A 系数（t）</w:t>
            </w:r>
          </w:p>
        </w:tc>
      </w:tr>
      <w:tr>
        <w:tc>
          <w:tcPr>
            <w:tcW w:type="dxa" w:w="3123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原文（买入持有 2000-12 至 2018-12；回归 2000–2018）</w:t>
            </w:r>
          </w:p>
        </w:tc>
        <w:tc>
          <w:tcPr>
            <w:tcW w:type="dxa" w:w="2528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1.10 / 4.31 / 1.70 / 1.08</w:t>
            </w:r>
          </w:p>
        </w:tc>
        <w:tc>
          <w:tcPr>
            <w:tcW w:type="dxa" w:w="1859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−8.0（−3.4）</w:t>
            </w:r>
          </w:p>
        </w:tc>
        <w:tc>
          <w:tcPr>
            <w:tcW w:type="dxa" w:w="1561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1.09（1.90）</w:t>
            </w:r>
          </w:p>
        </w:tc>
      </w:tr>
      <w:tr>
        <w:tc>
          <w:tcPr>
            <w:tcW w:type="dxa" w:w="3123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延长（买入持有 2019-01 至 2026-08；回归 2019–2025）</w:t>
            </w:r>
          </w:p>
        </w:tc>
        <w:tc>
          <w:tcPr>
            <w:tcW w:type="dxa" w:w="2528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1.85 / 2.79 / 1.85 / 1.80</w:t>
            </w:r>
          </w:p>
        </w:tc>
        <w:tc>
          <w:tcPr>
            <w:tcW w:type="dxa" w:w="1859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−5.1（−1.6）</w:t>
            </w:r>
          </w:p>
        </w:tc>
        <w:tc>
          <w:tcPr>
            <w:tcW w:type="dxa" w:w="1561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0.36（0.65）</w:t>
            </w:r>
          </w:p>
        </w:tc>
      </w:tr>
      <w:tr>
        <w:tc>
          <w:tcPr>
            <w:tcW w:type="dxa" w:w="3123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全样本（买入持有 2000-01 至 2026-08；回归 2000–2025）</w:t>
            </w:r>
          </w:p>
        </w:tc>
        <w:tc>
          <w:tcPr>
            <w:tcW w:type="dxa" w:w="2528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2.09 / 12.6 / 3.29 / 1.99</w:t>
            </w:r>
          </w:p>
        </w:tc>
        <w:tc>
          <w:tcPr>
            <w:tcW w:type="dxa" w:w="1859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−6.2（−2.9）</w:t>
            </w:r>
          </w:p>
        </w:tc>
        <w:tc>
          <w:tcPr>
            <w:tcW w:type="dxa" w:w="1561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0.74（1.49）</w:t>
            </w:r>
          </w:p>
        </w:tc>
      </w:tr>
    </w:tbl>
    <w:p>
      <w:pPr>
        <w:spacing w:after="40"/>
      </w:pP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• </w:t>
      </w:r>
      <w:r>
        <w:rPr>
          <w:rFonts w:ascii="Times New Roman" w:hAnsi="Times New Roman" w:cs="Times New Roman" w:eastAsia="宋体"/>
          <w:b/>
        </w:rPr>
        <w:t>"A 股长期表现差"在 2019 年后明显改善</w:t>
      </w:r>
      <w:r>
        <w:rPr>
          <w:rFonts w:ascii="Times New Roman" w:hAnsi="Times New Roman" w:cs="Times New Roman" w:eastAsia="宋体"/>
        </w:rPr>
        <w:t>：2019-01 至 2026-08 约 7.7 年实际收益 85%（终值 1.85；截至 2025-12 为 1.77），全样本终值 2.09。</w:t>
      </w: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• </w:t>
      </w:r>
      <w:r>
        <w:rPr>
          <w:rFonts w:ascii="Times New Roman" w:hAnsi="Times New Roman" w:cs="Times New Roman" w:eastAsia="宋体"/>
          <w:b/>
        </w:rPr>
        <w:t>大盘股跑输小盘股的现象延续</w:t>
      </w:r>
      <w:r>
        <w:rPr>
          <w:rFonts w:ascii="Times New Roman" w:hAnsi="Times New Roman" w:cs="Times New Roman" w:eastAsia="宋体"/>
        </w:rPr>
        <w:t>：延长段大盘 1.80、小盘 2.79。但控制其他变量后，Large 系数在延长段已不显著（t −1.6）。</w:t>
      </w: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• </w:t>
      </w:r>
      <w:r>
        <w:rPr>
          <w:rFonts w:ascii="Times New Roman" w:hAnsi="Times New Roman" w:cs="Times New Roman" w:eastAsia="宋体"/>
          <w:b/>
        </w:rPr>
        <w:t>治理指数与收益的关系在延长段消失</w:t>
      </w:r>
      <w:r>
        <w:rPr>
          <w:rFonts w:ascii="Times New Roman" w:hAnsi="Times New Roman" w:cs="Times New Roman" w:eastAsia="宋体"/>
        </w:rPr>
        <w:t>（t 0.65）。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Times New Roman" w:hAnsi="Times New Roman" w:cs="Times New Roman" w:eastAsia="黑体"/>
          <w:color w:val="1F3A5F"/>
        </w:rPr>
        <w:t>4. Li（2024）：Replicating and digesting anomalies in the Chinese A-share market</w:t>
      </w:r>
    </w:p>
    <w:p>
      <w:pPr>
        <w:pStyle w:val="Heading3"/>
      </w:pPr>
      <w:r>
        <w:rPr>
          <w:rFonts w:ascii="Times New Roman" w:hAnsi="Times New Roman" w:cs="Times New Roman" w:eastAsia="黑体"/>
          <w:color w:val="1F3A5F"/>
        </w:rPr>
        <w:t>4.1 我们 vs 论文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671"/>
            <w:shd w:val="clear" w:color="auto" w:fill="DCE6F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表</w:t>
            </w:r>
          </w:p>
        </w:tc>
        <w:tc>
          <w:tcPr>
            <w:tcW w:type="dxa" w:w="1910"/>
            <w:shd w:val="clear" w:color="auto" w:fill="DCE6F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内容</w:t>
            </w:r>
          </w:p>
        </w:tc>
        <w:tc>
          <w:tcPr>
            <w:tcW w:type="dxa" w:w="835"/>
            <w:shd w:val="clear" w:color="auto" w:fill="DCE6F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打分</w:t>
            </w:r>
          </w:p>
        </w:tc>
        <w:tc>
          <w:tcPr>
            <w:tcW w:type="dxa" w:w="835"/>
            <w:shd w:val="clear" w:color="auto" w:fill="DCE6F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通过</w:t>
            </w:r>
          </w:p>
        </w:tc>
        <w:tc>
          <w:tcPr>
            <w:tcW w:type="dxa" w:w="3819"/>
            <w:shd w:val="clear" w:color="auto" w:fill="DCE6F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671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表 1</w:t>
            </w:r>
          </w:p>
        </w:tc>
        <w:tc>
          <w:tcPr>
            <w:tcW w:type="dxa" w:w="191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样本、11 个因子、相关矩阵</w:t>
            </w:r>
          </w:p>
        </w:tc>
        <w:tc>
          <w:tcPr>
            <w:tcW w:type="dxa" w:w="835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530</w:t>
            </w:r>
          </w:p>
        </w:tc>
        <w:tc>
          <w:tcPr>
            <w:tcW w:type="dxa" w:w="835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526</w:t>
            </w:r>
          </w:p>
        </w:tc>
        <w:tc>
          <w:tcPr>
            <w:tcW w:type="dxa" w:w="3819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样本 300 格中 299 格一致；CH 系列一致</w:t>
            </w:r>
          </w:p>
        </w:tc>
      </w:tr>
      <w:tr>
        <w:tc>
          <w:tcPr>
            <w:tcW w:type="dxa" w:w="1671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表 2</w:t>
            </w:r>
          </w:p>
        </w:tc>
        <w:tc>
          <w:tcPr>
            <w:tcW w:type="dxa" w:w="191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微盘股与投资容量</w:t>
            </w:r>
          </w:p>
        </w:tc>
        <w:tc>
          <w:tcPr>
            <w:tcW w:type="dxa" w:w="835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208</w:t>
            </w:r>
          </w:p>
        </w:tc>
        <w:tc>
          <w:tcPr>
            <w:tcW w:type="dxa" w:w="835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143</w:t>
            </w:r>
          </w:p>
        </w:tc>
        <w:tc>
          <w:tcPr>
            <w:tcW w:type="dxa" w:w="3819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微盘股权重 56 格中 53 格通过</w:t>
            </w:r>
          </w:p>
        </w:tc>
      </w:tr>
      <w:tr>
        <w:tc>
          <w:tcPr>
            <w:tcW w:type="dxa" w:w="1671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表 3</w:t>
            </w:r>
          </w:p>
        </w:tc>
        <w:tc>
          <w:tcPr>
            <w:tcW w:type="dxa" w:w="191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四种构造的显著率</w:t>
            </w:r>
          </w:p>
        </w:tc>
        <w:tc>
          <w:tcPr>
            <w:tcW w:type="dxa" w:w="835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168</w:t>
            </w:r>
          </w:p>
        </w:tc>
        <w:tc>
          <w:tcPr>
            <w:tcW w:type="dxa" w:w="835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52</w:t>
            </w:r>
          </w:p>
        </w:tc>
        <w:tc>
          <w:tcPr>
            <w:tcW w:type="dxa" w:w="3819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总显著率接近，分类构成不同</w:t>
            </w:r>
          </w:p>
        </w:tc>
      </w:tr>
      <w:tr>
        <w:tc>
          <w:tcPr>
            <w:tcW w:type="dxa" w:w="1671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表 4</w:t>
            </w:r>
          </w:p>
        </w:tc>
        <w:tc>
          <w:tcPr>
            <w:tcW w:type="dxa" w:w="191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显著异象的多空收益</w:t>
            </w:r>
          </w:p>
        </w:tc>
        <w:tc>
          <w:tcPr>
            <w:tcW w:type="dxa" w:w="835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280</w:t>
            </w:r>
          </w:p>
        </w:tc>
        <w:tc>
          <w:tcPr>
            <w:tcW w:type="dxa" w:w="835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142</w:t>
            </w:r>
          </w:p>
        </w:tc>
        <w:tc>
          <w:tcPr>
            <w:tcW w:type="dxa" w:w="3819"/>
          </w:tcPr>
          <w:p>
            <w:pPr>
              <w:spacing w:after="0" w:line="264" w:lineRule="auto"/>
            </w:pPr>
          </w:p>
        </w:tc>
      </w:tr>
      <w:tr>
        <w:tc>
          <w:tcPr>
            <w:tcW w:type="dxa" w:w="1671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表 5–6</w:t>
            </w:r>
          </w:p>
        </w:tc>
        <w:tc>
          <w:tcPr>
            <w:tcW w:type="dxa" w:w="191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七个因子模型</w:t>
            </w:r>
          </w:p>
        </w:tc>
        <w:tc>
          <w:tcPr>
            <w:tcW w:type="dxa" w:w="835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2,616</w:t>
            </w:r>
          </w:p>
        </w:tc>
        <w:tc>
          <w:tcPr>
            <w:tcW w:type="dxa" w:w="835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1,499</w:t>
            </w:r>
          </w:p>
        </w:tc>
        <w:tc>
          <w:tcPr>
            <w:tcW w:type="dxa" w:w="3819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价差类缺失影响最大</w:t>
            </w:r>
          </w:p>
        </w:tc>
      </w:tr>
      <w:tr>
        <w:tc>
          <w:tcPr>
            <w:tcW w:type="dxa" w:w="1671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表 7</w:t>
            </w:r>
          </w:p>
        </w:tc>
        <w:tc>
          <w:tcPr>
            <w:tcW w:type="dxa" w:w="191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国企 / 非国企</w:t>
            </w:r>
          </w:p>
        </w:tc>
        <w:tc>
          <w:tcPr>
            <w:tcW w:type="dxa" w:w="835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448</w:t>
            </w:r>
          </w:p>
        </w:tc>
        <w:tc>
          <w:tcPr>
            <w:tcW w:type="dxa" w:w="835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139</w:t>
            </w:r>
          </w:p>
        </w:tc>
        <w:tc>
          <w:tcPr>
            <w:tcW w:type="dxa" w:w="3819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国企子样本显著个数 43，论文 44</w:t>
            </w:r>
          </w:p>
        </w:tc>
      </w:tr>
      <w:tr>
        <w:tc>
          <w:tcPr>
            <w:tcW w:type="dxa" w:w="1671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正文数字、第 4.2 节</w:t>
            </w:r>
          </w:p>
        </w:tc>
        <w:tc>
          <w:tcPr>
            <w:tcW w:type="dxa" w:w="1910"/>
          </w:tcPr>
          <w:p>
            <w:pPr>
              <w:spacing w:after="0" w:line="264" w:lineRule="auto"/>
            </w:pPr>
          </w:p>
        </w:tc>
        <w:tc>
          <w:tcPr>
            <w:tcW w:type="dxa" w:w="835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20</w:t>
            </w:r>
          </w:p>
        </w:tc>
        <w:tc>
          <w:tcPr>
            <w:tcW w:type="dxa" w:w="835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9</w:t>
            </w:r>
          </w:p>
        </w:tc>
        <w:tc>
          <w:tcPr>
            <w:tcW w:type="dxa" w:w="3819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美国对照 2008 年后显著率 16.04%，与论文完全相同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cs="Times New Roman" w:eastAsia="宋体"/>
          <w:b/>
        </w:rPr>
        <w:t>数据和工具的复现程度很高</w:t>
      </w:r>
      <w:r>
        <w:rPr>
          <w:rFonts w:ascii="Times New Roman" w:hAnsi="Times New Roman" w:cs="Times New Roman" w:eastAsia="宋体"/>
        </w:rPr>
        <w:t>：</w:t>
      </w: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• </w:t>
      </w:r>
      <w:r>
        <w:rPr>
          <w:rFonts w:ascii="Times New Roman" w:hAnsi="Times New Roman" w:cs="Times New Roman" w:eastAsia="宋体"/>
        </w:rPr>
        <w:t>样本：表 1 Panel A 各板块公司数、总市值、流通市值 20 年 × 15 列，300 格中 299 格与论文一致。</w:t>
      </w: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• </w:t>
      </w:r>
      <w:r>
        <w:rPr>
          <w:rFonts w:ascii="Times New Roman" w:hAnsi="Times New Roman" w:cs="Times New Roman" w:eastAsia="宋体"/>
        </w:rPr>
        <w:t>无风险利率：三个月存款利率与作者的月度序列 228 个月全部一致。</w:t>
      </w: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• </w:t>
      </w:r>
      <w:r>
        <w:rPr>
          <w:rFonts w:ascii="Times New Roman" w:hAnsi="Times New Roman" w:cs="Times New Roman" w:eastAsia="宋体"/>
        </w:rPr>
        <w:t>因子：11 个自建因子中 9 个与作者序列逐月相关 ≥ 0.95，RMW 为 0.906（差距几乎全在 2006-10 一个月），MOM 为 0.70（LI-1）。</w:t>
      </w: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• </w:t>
      </w:r>
      <w:r>
        <w:rPr>
          <w:rFonts w:ascii="Times New Roman" w:hAnsi="Times New Roman" w:cs="Times New Roman" w:eastAsia="宋体"/>
        </w:rPr>
        <w:t>异象：作者复现包里有 139 条显著异象的五分位收益序列（2000–2019 和 2008–2019 两个样本期的文件合计），我们能构造其中 117 条，99 条逐月相关 ≥ 0.90。最高的 Srev 为 1.000，Ivc 为 0.998。</w:t>
      </w:r>
    </w:p>
    <w:p>
      <w:r>
        <w:rPr>
          <w:rFonts w:ascii="Times New Roman" w:hAnsi="Times New Roman" w:cs="Times New Roman" w:eastAsia="宋体"/>
          <w:b/>
        </w:rPr>
        <w:t>核心结论成立</w:t>
      </w:r>
      <w:r>
        <w:rPr>
          <w:rFonts w:ascii="Times New Roman" w:hAnsi="Times New Roman" w:cs="Times New Roman" w:eastAsia="宋体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024"/>
        <w:gridCol w:w="3024"/>
        <w:gridCol w:w="3024"/>
      </w:tblGrid>
      <w:tr>
        <w:tc>
          <w:tcPr>
            <w:tcW w:type="dxa" w:w="3652"/>
            <w:shd w:val="clear" w:color="auto" w:fill="DCE6F0"/>
          </w:tcPr>
          <w:p>
            <w:pPr>
              <w:spacing w:after="0" w:line="264" w:lineRule="auto"/>
            </w:pPr>
          </w:p>
        </w:tc>
        <w:tc>
          <w:tcPr>
            <w:tcW w:type="dxa" w:w="2709"/>
            <w:shd w:val="clear" w:color="auto" w:fill="DCE6F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论文</w:t>
            </w:r>
          </w:p>
        </w:tc>
        <w:tc>
          <w:tcPr>
            <w:tcW w:type="dxa" w:w="2709"/>
            <w:shd w:val="clear" w:color="auto" w:fill="DCE6F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我们</w:t>
            </w:r>
          </w:p>
        </w:tc>
      </w:tr>
      <w:tr>
        <w:tc>
          <w:tcPr>
            <w:tcW w:type="dxa" w:w="3652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主板-VW 显著率（|t| ≥ 1.96）</w:t>
            </w:r>
          </w:p>
        </w:tc>
        <w:tc>
          <w:tcPr>
            <w:tcW w:type="dxa" w:w="2709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16.6%（78/469）</w:t>
            </w:r>
          </w:p>
        </w:tc>
        <w:tc>
          <w:tcPr>
            <w:tcW w:type="dxa" w:w="2709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17.4%（79/453）</w:t>
            </w:r>
          </w:p>
        </w:tc>
      </w:tr>
      <w:tr>
        <w:tc>
          <w:tcPr>
            <w:tcW w:type="dxa" w:w="3652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失败率：原始 / CAPM / FF3</w:t>
            </w:r>
          </w:p>
        </w:tc>
        <w:tc>
          <w:tcPr>
            <w:tcW w:type="dxa" w:w="2709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83.4% / 84.2% / 87.0%</w:t>
            </w:r>
          </w:p>
        </w:tc>
        <w:tc>
          <w:tcPr>
            <w:tcW w:type="dxa" w:w="2709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82.6% / 82.8% / 85.4%</w:t>
            </w:r>
          </w:p>
        </w:tc>
      </w:tr>
      <w:tr>
        <w:tc>
          <w:tcPr>
            <w:tcW w:type="dxa" w:w="3652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主板-VW vs 全 A 等权显著率</w:t>
            </w:r>
          </w:p>
        </w:tc>
        <w:tc>
          <w:tcPr>
            <w:tcW w:type="dxa" w:w="2709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16.6% vs 47.6%</w:t>
            </w:r>
          </w:p>
        </w:tc>
        <w:tc>
          <w:tcPr>
            <w:tcW w:type="dxa" w:w="2709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17.4% vs 37.3%</w:t>
            </w:r>
          </w:p>
        </w:tc>
      </w:tr>
      <w:tr>
        <w:tc>
          <w:tcPr>
            <w:tcW w:type="dxa" w:w="3652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最低五分位里的微盘股权重：主板-VW vs 全 A 等权</w:t>
            </w:r>
          </w:p>
        </w:tc>
        <w:tc>
          <w:tcPr>
            <w:tcW w:type="dxa" w:w="2709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8.2% vs 26.9%</w:t>
            </w:r>
          </w:p>
        </w:tc>
        <w:tc>
          <w:tcPr>
            <w:tcW w:type="dxa" w:w="2709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7.7% vs 26.6%</w:t>
            </w:r>
          </w:p>
        </w:tc>
      </w:tr>
      <w:tr>
        <w:tc>
          <w:tcPr>
            <w:tcW w:type="dxa" w:w="3652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2008 年后显著个数</w:t>
            </w:r>
          </w:p>
        </w:tc>
        <w:tc>
          <w:tcPr>
            <w:tcW w:type="dxa" w:w="2709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61</w:t>
            </w:r>
          </w:p>
        </w:tc>
        <w:tc>
          <w:tcPr>
            <w:tcW w:type="dxa" w:w="2709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58</w:t>
            </w:r>
          </w:p>
        </w:tc>
      </w:tr>
      <w:tr>
        <w:tc>
          <w:tcPr>
            <w:tcW w:type="dxa" w:w="3652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被各模型"解释"的显著异象比例：CH3 / CH4 / q</w:t>
            </w:r>
          </w:p>
        </w:tc>
        <w:tc>
          <w:tcPr>
            <w:tcW w:type="dxa" w:w="2709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54% / 47% / 26%</w:t>
            </w:r>
          </w:p>
        </w:tc>
        <w:tc>
          <w:tcPr>
            <w:tcW w:type="dxa" w:w="2709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73% / 73% / 54%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cs="Times New Roman" w:eastAsia="宋体"/>
        </w:rPr>
        <w:t>关于最后一行：</w:t>
      </w: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• </w:t>
      </w:r>
      <w:r>
        <w:rPr>
          <w:rFonts w:ascii="Times New Roman" w:hAnsi="Times New Roman" w:cs="Times New Roman" w:eastAsia="宋体"/>
        </w:rPr>
        <w:t>两边的排序一致（CH3、CH4 强于 q），2008 年后都是 q 最强（论文 74%，我们 90%）。</w:t>
      </w: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• </w:t>
      </w:r>
      <w:r>
        <w:rPr>
          <w:rFonts w:ascii="Times New Roman" w:hAnsi="Times New Roman" w:cs="Times New Roman" w:eastAsia="宋体"/>
        </w:rPr>
        <w:t>我们的"解释比例"整体偏高，因为论文中 12 个难以解释的价差 / VPIN 异象我们做不了（LI-7）。用论文自己的显著集合重算后，CH3 下仍显著的个数为 22/66，论文为 36/78，扣掉这 12 个后约 24。</w:t>
      </w:r>
    </w:p>
    <w:p>
      <w:pPr>
        <w:pStyle w:val="Heading3"/>
      </w:pPr>
      <w:r>
        <w:rPr>
          <w:rFonts w:ascii="Times New Roman" w:hAnsi="Times New Roman" w:cs="Times New Roman" w:eastAsia="黑体"/>
          <w:color w:val="1F3A5F"/>
        </w:rPr>
        <w:t>4.2 主要偏差及原因</w:t>
      </w: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1. </w:t>
      </w:r>
      <w:r>
        <w:rPr>
          <w:rFonts w:ascii="Times New Roman" w:hAnsi="Times New Roman" w:cs="Times New Roman" w:eastAsia="宋体"/>
          <w:b/>
        </w:rPr>
        <w:t>数据未订阅（16 个异象）</w:t>
      </w:r>
      <w:r>
        <w:rPr>
          <w:rFonts w:ascii="Times New Roman" w:hAnsi="Times New Roman" w:cs="Times New Roman" w:eastAsia="宋体"/>
        </w:rPr>
        <w:t>：</w:t>
      </w:r>
    </w:p>
    <w:p>
      <w:pPr>
        <w:spacing w:after="40"/>
        <w:ind w:left="794" w:hanging="283"/>
      </w:pPr>
      <w:r>
        <w:rPr>
          <w:rFonts w:ascii="Times New Roman" w:hAnsi="Times New Roman" w:cs="Times New Roman" w:eastAsia="宋体"/>
        </w:rPr>
        <w:t xml:space="preserve">◦ </w:t>
      </w:r>
      <w:r>
        <w:rPr>
          <w:rFonts w:ascii="Times New Roman" w:hAnsi="Times New Roman" w:cs="Times New Roman" w:eastAsia="宋体"/>
        </w:rPr>
        <w:t>有效价差、报价价差、VPIN（共 15 个）需要 CSMAR"已实现指标"库，专利（Parc，1 个）需要"上市公司研发创新"库，NYU 都没有订阅。</w:t>
      </w:r>
    </w:p>
    <w:p>
      <w:pPr>
        <w:spacing w:after="40"/>
        <w:ind w:left="794" w:hanging="283"/>
      </w:pPr>
      <w:r>
        <w:rPr>
          <w:rFonts w:ascii="Times New Roman" w:hAnsi="Times New Roman" w:cs="Times New Roman" w:eastAsia="宋体"/>
        </w:rPr>
        <w:t xml:space="preserve">◦ </w:t>
      </w:r>
      <w:r>
        <w:rPr>
          <w:rFonts w:ascii="Times New Roman" w:hAnsi="Times New Roman" w:cs="Times New Roman" w:eastAsia="宋体"/>
        </w:rPr>
        <w:t>论文 78 个显著异象中有 12 个在其中，所以我们的交易摩擦类显著率偏低（21.9%，论文 32.2%）。</w:t>
      </w: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2. </w:t>
      </w:r>
      <w:r>
        <w:rPr>
          <w:rFonts w:ascii="Times New Roman" w:hAnsi="Times New Roman" w:cs="Times New Roman" w:eastAsia="宋体"/>
          <w:b/>
        </w:rPr>
        <w:t>用替代数据构造的变量</w:t>
      </w:r>
      <w:r>
        <w:rPr>
          <w:rFonts w:ascii="Times New Roman" w:hAnsi="Times New Roman" w:cs="Times New Roman" w:eastAsia="宋体"/>
        </w:rPr>
        <w:t>：</w:t>
      </w:r>
    </w:p>
    <w:p>
      <w:pPr>
        <w:spacing w:after="40"/>
        <w:ind w:left="794" w:hanging="283"/>
      </w:pPr>
      <w:r>
        <w:rPr>
          <w:rFonts w:ascii="Times New Roman" w:hAnsi="Times New Roman" w:cs="Times New Roman" w:eastAsia="宋体"/>
        </w:rPr>
        <w:t xml:space="preserve">◦ </w:t>
      </w:r>
      <w:r>
        <w:rPr>
          <w:rFonts w:ascii="Times New Roman" w:hAnsi="Times New Roman" w:cs="Times New Roman" w:eastAsia="宋体"/>
        </w:rPr>
        <w:t>研发支出：数据手册所用的研发投入表未订阅，用管理费用代替，与作者在季度研发变量中的做法相同；</w:t>
      </w:r>
    </w:p>
    <w:p>
      <w:pPr>
        <w:spacing w:after="40"/>
        <w:ind w:left="794" w:hanging="283"/>
      </w:pPr>
      <w:r>
        <w:rPr>
          <w:rFonts w:ascii="Times New Roman" w:hAnsi="Times New Roman" w:cs="Times New Roman" w:eastAsia="宋体"/>
        </w:rPr>
        <w:t xml:space="preserve">◦ </w:t>
      </w:r>
      <w:r>
        <w:rPr>
          <w:rFonts w:ascii="Times New Roman" w:hAnsi="Times New Roman" w:cs="Times New Roman" w:eastAsia="宋体"/>
        </w:rPr>
        <w:t>治理指数：缺机构持股，用其余 6 个输入；</w:t>
      </w:r>
    </w:p>
    <w:p>
      <w:pPr>
        <w:spacing w:after="40"/>
        <w:ind w:left="794" w:hanging="283"/>
      </w:pPr>
      <w:r>
        <w:rPr>
          <w:rFonts w:ascii="Times New Roman" w:hAnsi="Times New Roman" w:cs="Times New Roman" w:eastAsia="宋体"/>
        </w:rPr>
        <w:t xml:space="preserve">◦ </w:t>
      </w:r>
      <w:r>
        <w:rPr>
          <w:rFonts w:ascii="Times New Roman" w:hAnsi="Times New Roman" w:cs="Times New Roman" w:eastAsia="宋体"/>
        </w:rPr>
        <w:t>操控性应计：按修正 Jones 模型自建；</w:t>
      </w:r>
    </w:p>
    <w:p>
      <w:pPr>
        <w:spacing w:after="40"/>
        <w:ind w:left="794" w:hanging="283"/>
      </w:pPr>
      <w:r>
        <w:rPr>
          <w:rFonts w:ascii="Times New Roman" w:hAnsi="Times New Roman" w:cs="Times New Roman" w:eastAsia="宋体"/>
        </w:rPr>
        <w:t xml:space="preserve">◦ </w:t>
      </w:r>
      <w:r>
        <w:rPr>
          <w:rFonts w:ascii="Times New Roman" w:hAnsi="Times New Roman" w:cs="Times New Roman" w:eastAsia="宋体"/>
        </w:rPr>
        <w:t>Pástor–Stambaugh 流动性：CSMAR 序列未订阅，按原方法自建，与作者序列相关 0.67。</w:t>
      </w: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3. </w:t>
      </w:r>
      <w:r>
        <w:rPr>
          <w:rFonts w:ascii="Times New Roman" w:hAnsi="Times New Roman" w:cs="Times New Roman" w:eastAsia="宋体"/>
          <w:b/>
        </w:rPr>
        <w:t>季度盈利类异象比论文强</w:t>
      </w:r>
      <w:r>
        <w:rPr>
          <w:rFonts w:ascii="Times New Roman" w:hAnsi="Times New Roman" w:cs="Times New Roman" w:eastAsia="宋体"/>
        </w:rPr>
        <w:t>：</w:t>
      </w:r>
    </w:p>
    <w:p>
      <w:pPr>
        <w:spacing w:after="40"/>
        <w:ind w:left="794" w:hanging="283"/>
      </w:pPr>
      <w:r>
        <w:rPr>
          <w:rFonts w:ascii="Times New Roman" w:hAnsi="Times New Roman" w:cs="Times New Roman" w:eastAsia="宋体"/>
        </w:rPr>
        <w:t xml:space="preserve">◦ </w:t>
      </w:r>
      <w:r>
        <w:rPr>
          <w:rFonts w:ascii="Times New Roman" w:hAnsi="Times New Roman" w:cs="Times New Roman" w:eastAsia="宋体"/>
        </w:rPr>
        <w:t>例如 Roeq1 月均 0.81%（t 2.29），论文 0.48% 且不显著。</w:t>
      </w:r>
    </w:p>
    <w:p>
      <w:pPr>
        <w:spacing w:after="40"/>
        <w:ind w:left="794" w:hanging="283"/>
      </w:pPr>
      <w:r>
        <w:rPr>
          <w:rFonts w:ascii="Times New Roman" w:hAnsi="Times New Roman" w:cs="Times New Roman" w:eastAsia="宋体"/>
        </w:rPr>
        <w:t xml:space="preserve">◦ </w:t>
      </w:r>
      <w:r>
        <w:rPr>
          <w:rFonts w:ascii="Times New Roman" w:hAnsi="Times New Roman" w:cs="Times New Roman" w:eastAsia="宋体"/>
        </w:rPr>
        <w:t>时点规则用作者序列校准过：Sue、dRoe、dRoa 的相关在 0.87–0.99。</w:t>
      </w:r>
    </w:p>
    <w:p>
      <w:pPr>
        <w:spacing w:after="40"/>
        <w:ind w:left="794" w:hanging="283"/>
      </w:pPr>
      <w:r>
        <w:rPr>
          <w:rFonts w:ascii="Times New Roman" w:hAnsi="Times New Roman" w:cs="Times New Roman" w:eastAsia="宋体"/>
        </w:rPr>
        <w:t xml:space="preserve">◦ </w:t>
      </w:r>
      <w:r>
        <w:rPr>
          <w:rFonts w:ascii="Times New Roman" w:hAnsi="Times New Roman" w:cs="Times New Roman" w:eastAsia="宋体"/>
        </w:rPr>
        <w:t>最可能的原因是 CSMAR 季度报表和公告日期的数据版本不同（作者 2019–2021 年取数）。</w:t>
      </w: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4. </w:t>
      </w:r>
      <w:r>
        <w:rPr>
          <w:rFonts w:ascii="Times New Roman" w:hAnsi="Times New Roman" w:cs="Times New Roman" w:eastAsia="宋体"/>
          <w:b/>
        </w:rPr>
        <w:t>作者流程里的前视</w:t>
      </w:r>
      <w:r>
        <w:rPr>
          <w:rFonts w:ascii="Times New Roman" w:hAnsi="Times New Roman" w:cs="Times New Roman" w:eastAsia="宋体"/>
        </w:rPr>
        <w:t>（LI-2）：</w:t>
      </w:r>
    </w:p>
    <w:p>
      <w:pPr>
        <w:spacing w:after="40"/>
        <w:ind w:left="794" w:hanging="283"/>
      </w:pPr>
      <w:r>
        <w:rPr>
          <w:rFonts w:ascii="Times New Roman" w:hAnsi="Times New Roman" w:cs="Times New Roman" w:eastAsia="宋体"/>
        </w:rPr>
        <w:t xml:space="preserve">◦ </w:t>
      </w:r>
      <w:r>
        <w:rPr>
          <w:rFonts w:ascii="Times New Roman" w:hAnsi="Times New Roman" w:cs="Times New Roman" w:eastAsia="宋体"/>
        </w:rPr>
        <w:t>数据手册说剔除 5 元以下股票，但只有同时剔除"</w:t>
      </w:r>
      <w:r>
        <w:rPr>
          <w:rFonts w:ascii="Times New Roman" w:hAnsi="Times New Roman" w:cs="Times New Roman" w:eastAsia="宋体"/>
          <w:b/>
        </w:rPr>
        <w:t>持有月月末</w:t>
      </w:r>
      <w:r>
        <w:rPr>
          <w:rFonts w:ascii="Times New Roman" w:hAnsi="Times New Roman" w:cs="Times New Roman" w:eastAsia="宋体"/>
        </w:rPr>
        <w:t>价格低于 5 元或交易状态异常"的股票，组合收益才能与作者逐月吻合：价格排序各组差距中位数为 0.000–0.002 个百分点，相关 0.997–1.000。</w:t>
      </w:r>
    </w:p>
    <w:p>
      <w:pPr>
        <w:spacing w:after="40"/>
        <w:ind w:left="794" w:hanging="283"/>
      </w:pPr>
      <w:r>
        <w:rPr>
          <w:rFonts w:ascii="Times New Roman" w:hAnsi="Times New Roman" w:cs="Times New Roman" w:eastAsia="宋体"/>
        </w:rPr>
        <w:t xml:space="preserve">◦ </w:t>
      </w:r>
      <w:r>
        <w:rPr>
          <w:rFonts w:ascii="Times New Roman" w:hAnsi="Times New Roman" w:cs="Times New Roman" w:eastAsia="宋体"/>
        </w:rPr>
        <w:t>持有月月末的价格和状态在建仓时并不知道，这是作者流程里的前视。</w:t>
      </w:r>
    </w:p>
    <w:p>
      <w:pPr>
        <w:spacing w:after="40"/>
        <w:ind w:left="794" w:hanging="283"/>
      </w:pPr>
      <w:r>
        <w:rPr>
          <w:rFonts w:ascii="Times New Roman" w:hAnsi="Times New Roman" w:cs="Times New Roman" w:eastAsia="宋体"/>
        </w:rPr>
        <w:t xml:space="preserve">◦ </w:t>
      </w:r>
      <w:r>
        <w:rPr>
          <w:rFonts w:ascii="Times New Roman" w:hAnsi="Times New Roman" w:cs="Times New Roman" w:eastAsia="宋体"/>
        </w:rPr>
        <w:t>处理方式（您的决定）：原文段与论文对照时用作者流程；延长段和全样本以无前视版为主，作者流程版附后。</w:t>
      </w:r>
    </w:p>
    <w:p>
      <w:pPr>
        <w:spacing w:after="40"/>
        <w:ind w:left="794" w:hanging="283"/>
      </w:pPr>
      <w:r>
        <w:rPr>
          <w:rFonts w:ascii="Times New Roman" w:hAnsi="Times New Roman" w:cs="Times New Roman" w:eastAsia="宋体"/>
        </w:rPr>
        <w:t xml:space="preserve">◦ </w:t>
      </w:r>
      <w:r>
        <w:rPr>
          <w:rFonts w:ascii="Times New Roman" w:hAnsi="Times New Roman" w:cs="Times New Roman" w:eastAsia="宋体"/>
        </w:rPr>
        <w:t>去掉前视后，原文段显著率从 17.4% 升到 26.7%（121 个），原因还没查清。</w:t>
      </w: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5. </w:t>
      </w:r>
      <w:r>
        <w:rPr>
          <w:rFonts w:ascii="Times New Roman" w:hAnsi="Times New Roman" w:cs="Times New Roman" w:eastAsia="宋体"/>
          <w:b/>
        </w:rPr>
        <w:t>作者实现与数据手册文字不一致的其他地方</w:t>
      </w:r>
      <w:r>
        <w:rPr>
          <w:rFonts w:ascii="Times New Roman" w:hAnsi="Times New Roman" w:cs="Times New Roman" w:eastAsia="宋体"/>
        </w:rPr>
        <w:t>（按作者序列校准后采纳，均记录在 LI-3）：</w:t>
      </w:r>
    </w:p>
    <w:p>
      <w:pPr>
        <w:spacing w:after="40"/>
        <w:ind w:left="794" w:hanging="283"/>
      </w:pPr>
      <w:r>
        <w:rPr>
          <w:rFonts w:ascii="Times New Roman" w:hAnsi="Times New Roman" w:cs="Times New Roman" w:eastAsia="宋体"/>
        </w:rPr>
        <w:t xml:space="preserve">◦ </w:t>
      </w:r>
      <w:r>
        <w:rPr>
          <w:rFonts w:ascii="Times New Roman" w:hAnsi="Times New Roman" w:cs="Times New Roman" w:eastAsia="宋体"/>
        </w:rPr>
        <w:t>Rdmq 的市值用 t−1 月末而非上年末：相关从 0.83 升到 0.977；</w:t>
      </w:r>
    </w:p>
    <w:p>
      <w:pPr>
        <w:spacing w:after="40"/>
        <w:ind w:left="794" w:hanging="283"/>
      </w:pPr>
      <w:r>
        <w:rPr>
          <w:rFonts w:ascii="Times New Roman" w:hAnsi="Times New Roman" w:cs="Times New Roman" w:eastAsia="宋体"/>
        </w:rPr>
        <w:t xml:space="preserve">◦ </w:t>
      </w:r>
      <w:r>
        <w:rPr>
          <w:rFonts w:ascii="Times New Roman" w:hAnsi="Times New Roman" w:cs="Times New Roman" w:eastAsia="宋体"/>
        </w:rPr>
        <w:t>季节性变量允许部分滞后月缺失。</w:t>
      </w:r>
    </w:p>
    <w:p>
      <w:pPr>
        <w:pStyle w:val="Heading3"/>
      </w:pPr>
      <w:r>
        <w:rPr>
          <w:rFonts w:ascii="Times New Roman" w:hAnsi="Times New Roman" w:cs="Times New Roman" w:eastAsia="黑体"/>
          <w:color w:val="1F3A5F"/>
        </w:rPr>
        <w:t>4.3 延长到 2026 年</w:t>
      </w:r>
    </w:p>
    <w:p>
      <w:r>
        <w:rPr>
          <w:rFonts w:ascii="Times New Roman" w:hAnsi="Times New Roman" w:cs="Times New Roman" w:eastAsia="宋体"/>
        </w:rPr>
        <w:t>以无前视版为主：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024"/>
        <w:gridCol w:w="3024"/>
        <w:gridCol w:w="3024"/>
      </w:tblGrid>
      <w:tr>
        <w:tc>
          <w:tcPr>
            <w:tcW w:type="dxa" w:w="2484"/>
            <w:shd w:val="clear" w:color="auto" w:fill="DCE6F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段</w:t>
            </w:r>
          </w:p>
        </w:tc>
        <w:tc>
          <w:tcPr>
            <w:tcW w:type="dxa" w:w="3132"/>
            <w:shd w:val="clear" w:color="auto" w:fill="DCE6F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主板-VW 显著个数（比例）</w:t>
            </w:r>
          </w:p>
        </w:tc>
        <w:tc>
          <w:tcPr>
            <w:tcW w:type="dxa" w:w="3456"/>
            <w:shd w:val="clear" w:color="auto" w:fill="DCE6F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剩余显著最少的因子模型</w:t>
            </w:r>
          </w:p>
        </w:tc>
      </w:tr>
      <w:tr>
        <w:tc>
          <w:tcPr>
            <w:tcW w:type="dxa" w:w="2484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原文 2000-07 至 2019-06</w:t>
            </w:r>
          </w:p>
        </w:tc>
        <w:tc>
          <w:tcPr>
            <w:tcW w:type="dxa" w:w="3132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121（26.7%）；作者流程版 79（17.4%）</w:t>
            </w:r>
          </w:p>
        </w:tc>
        <w:tc>
          <w:tcPr>
            <w:tcW w:type="dxa" w:w="3456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q</w:t>
            </w:r>
          </w:p>
        </w:tc>
      </w:tr>
      <w:tr>
        <w:tc>
          <w:tcPr>
            <w:tcW w:type="dxa" w:w="2484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延长 2019-07 至 2026-09</w:t>
            </w:r>
          </w:p>
        </w:tc>
        <w:tc>
          <w:tcPr>
            <w:tcW w:type="dxa" w:w="3132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20（4.4%）</w:t>
            </w:r>
            <w:r>
              <w:rPr>
                <w:rFonts w:ascii="Times New Roman" w:hAnsi="Times New Roman" w:cs="Times New Roman" w:eastAsia="宋体"/>
                <w:sz w:val="18"/>
              </w:rPr>
              <w:t>；作者流程版 12（2.6%）</w:t>
            </w:r>
          </w:p>
        </w:tc>
        <w:tc>
          <w:tcPr>
            <w:tcW w:type="dxa" w:w="3456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q（20 个中仍显著 9 个，平均 |α| 0.65%）</w:t>
            </w:r>
          </w:p>
        </w:tc>
      </w:tr>
      <w:tr>
        <w:tc>
          <w:tcPr>
            <w:tcW w:type="dxa" w:w="2484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全样本 2000-07 至 2026-09</w:t>
            </w:r>
          </w:p>
        </w:tc>
        <w:tc>
          <w:tcPr>
            <w:tcW w:type="dxa" w:w="3132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109（24.1%）</w:t>
            </w:r>
          </w:p>
        </w:tc>
        <w:tc>
          <w:tcPr>
            <w:tcW w:type="dxa" w:w="3456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q（109 个中仍显著 33 个）</w:t>
            </w:r>
          </w:p>
        </w:tc>
      </w:tr>
    </w:tbl>
    <w:p>
      <w:pPr>
        <w:spacing w:after="40"/>
      </w:pP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• </w:t>
      </w:r>
      <w:r>
        <w:rPr>
          <w:rFonts w:ascii="Times New Roman" w:hAnsi="Times New Roman" w:cs="Times New Roman" w:eastAsia="宋体"/>
          <w:b/>
        </w:rPr>
        <w:t>异象在 2019 年后几乎全部衰减</w:t>
      </w:r>
      <w:r>
        <w:rPr>
          <w:rFonts w:ascii="Times New Roman" w:hAnsi="Times New Roman" w:cs="Times New Roman" w:eastAsia="宋体"/>
        </w:rPr>
        <w:t>，延长段显著率只有 4.4%，接近随机水平（5%）。可能的解释包括：注册制改革后供给增加、量化资金增加使异象被套利、样本期短（87 个月）检验力不足。</w:t>
      </w: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• </w:t>
      </w:r>
      <w:r>
        <w:rPr>
          <w:rFonts w:ascii="Times New Roman" w:hAnsi="Times New Roman" w:cs="Times New Roman" w:eastAsia="宋体"/>
          <w:b/>
        </w:rPr>
        <w:t>q 因子模型仍是解释力最强的模型</w:t>
      </w:r>
      <w:r>
        <w:rPr>
          <w:rFonts w:ascii="Times New Roman" w:hAnsi="Times New Roman" w:cs="Times New Roman" w:eastAsia="宋体"/>
        </w:rPr>
        <w:t>，与论文 2008 年后的结论一致。</w:t>
      </w: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• </w:t>
      </w:r>
      <w:r>
        <w:rPr>
          <w:rFonts w:ascii="Times New Roman" w:hAnsi="Times New Roman" w:cs="Times New Roman" w:eastAsia="宋体"/>
        </w:rPr>
        <w:t>CH-3 / CH-4 只能算到 2021-12（官网数据截止）。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Times New Roman" w:hAnsi="Times New Roman" w:cs="Times New Roman" w:eastAsia="黑体"/>
          <w:color w:val="1F3A5F"/>
        </w:rPr>
        <w:t>5. 做不了的部分及原因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024"/>
        <w:gridCol w:w="3024"/>
        <w:gridCol w:w="3024"/>
      </w:tblGrid>
      <w:tr>
        <w:tc>
          <w:tcPr>
            <w:tcW w:type="dxa" w:w="557"/>
            <w:shd w:val="clear" w:color="auto" w:fill="DCE6F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论文</w:t>
            </w:r>
          </w:p>
        </w:tc>
        <w:tc>
          <w:tcPr>
            <w:tcW w:type="dxa" w:w="3740"/>
            <w:shd w:val="clear" w:color="auto" w:fill="DCE6F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项目</w:t>
            </w:r>
          </w:p>
        </w:tc>
        <w:tc>
          <w:tcPr>
            <w:tcW w:type="dxa" w:w="4774"/>
            <w:shd w:val="clear" w:color="auto" w:fill="DCE6F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原因</w:t>
            </w:r>
          </w:p>
        </w:tc>
      </w:tr>
      <w:tr>
        <w:tc>
          <w:tcPr>
            <w:tcW w:type="dxa" w:w="557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LSY</w:t>
            </w:r>
          </w:p>
        </w:tc>
        <w:tc>
          <w:tcPr>
            <w:tcW w:type="dxa" w:w="374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第 6.1 节中价反转（mid-price reversal）</w:t>
            </w:r>
          </w:p>
        </w:tc>
        <w:tc>
          <w:tcPr>
            <w:tcW w:type="dxa" w:w="4774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需要买卖报价，CSMAR 订阅中没有</w:t>
            </w:r>
          </w:p>
        </w:tc>
      </w:tr>
      <w:tr>
        <w:tc>
          <w:tcPr>
            <w:tcW w:type="dxa" w:w="557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LSY</w:t>
            </w:r>
          </w:p>
        </w:tc>
        <w:tc>
          <w:tcPr>
            <w:tcW w:type="dxa" w:w="374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借壳上市的 WIND 标记</w:t>
            </w:r>
          </w:p>
        </w:tc>
        <w:tc>
          <w:tcPr>
            <w:tcW w:type="dxa" w:w="4774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CSMAR 无此字段，改用规则识别（需您确认规则）</w:t>
            </w:r>
          </w:p>
        </w:tc>
      </w:tr>
      <w:tr>
        <w:tc>
          <w:tcPr>
            <w:tcW w:type="dxa" w:w="557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Allen</w:t>
            </w:r>
          </w:p>
        </w:tc>
        <w:tc>
          <w:tcPr>
            <w:tcW w:type="dxa" w:w="374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表 II–VII、表 XII Panel B–C（跨国比较、上市前财务、与未上市公司匹配）</w:t>
            </w:r>
          </w:p>
        </w:tc>
        <w:tc>
          <w:tcPr>
            <w:tcW w:type="dxa" w:w="4774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需要 Worldscope、BoardEx、RiskMetrics、工业企业数据库，不在 lighthouse 范围</w:t>
            </w:r>
          </w:p>
        </w:tc>
      </w:tr>
      <w:tr>
        <w:tc>
          <w:tcPr>
            <w:tcW w:type="dxa" w:w="557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Allen</w:t>
            </w:r>
          </w:p>
        </w:tc>
        <w:tc>
          <w:tcPr>
            <w:tcW w:type="dxa" w:w="374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AH 溢价（表 IX、表 X 第 2、5 列）</w:t>
            </w:r>
          </w:p>
        </w:tc>
        <w:tc>
          <w:tcPr>
            <w:tcW w:type="dxa" w:w="4774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NYU 未订阅港股市场库</w:t>
            </w:r>
          </w:p>
        </w:tc>
      </w:tr>
      <w:tr>
        <w:tc>
          <w:tcPr>
            <w:tcW w:type="dxa" w:w="557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Allen</w:t>
            </w:r>
          </w:p>
        </w:tc>
        <w:tc>
          <w:tcPr>
            <w:tcW w:type="dxa" w:w="374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2000 年国企数（表 I 2000–2002 年）</w:t>
            </w:r>
          </w:p>
        </w:tc>
        <w:tc>
          <w:tcPr>
            <w:tcW w:type="dxa" w:w="4774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控制人文件从 2003 年开始，用回溯值代替，已打分</w:t>
            </w:r>
          </w:p>
        </w:tc>
      </w:tr>
      <w:tr>
        <w:tc>
          <w:tcPr>
            <w:tcW w:type="dxa" w:w="557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Allen</w:t>
            </w:r>
          </w:p>
        </w:tc>
        <w:tc>
          <w:tcPr>
            <w:tcW w:type="dxa" w:w="374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图 4 与美国退市公司对比的 t 值</w:t>
            </w:r>
          </w:p>
        </w:tc>
        <w:tc>
          <w:tcPr>
            <w:tcW w:type="dxa" w:w="4774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需要美国数据</w:t>
            </w:r>
          </w:p>
        </w:tc>
      </w:tr>
      <w:tr>
        <w:tc>
          <w:tcPr>
            <w:tcW w:type="dxa" w:w="557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Li</w:t>
            </w:r>
          </w:p>
        </w:tc>
        <w:tc>
          <w:tcPr>
            <w:tcW w:type="dxa" w:w="374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Esba、Qsba、Vpin（15 个异象）</w:t>
            </w:r>
          </w:p>
        </w:tc>
        <w:tc>
          <w:tcPr>
            <w:tcW w:type="dxa" w:w="4774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CSMAR 已实现指标库未订阅（2026-10-13 核对）</w:t>
            </w:r>
          </w:p>
        </w:tc>
      </w:tr>
      <w:tr>
        <w:tc>
          <w:tcPr>
            <w:tcW w:type="dxa" w:w="557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Li</w:t>
            </w:r>
          </w:p>
        </w:tc>
        <w:tc>
          <w:tcPr>
            <w:tcW w:type="dxa" w:w="3740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Parc（1 个异象）</w:t>
            </w:r>
          </w:p>
        </w:tc>
        <w:tc>
          <w:tcPr>
            <w:tcW w:type="dxa" w:w="4774"/>
          </w:tcPr>
          <w:p>
            <w:pPr>
              <w:spacing w:after="0" w:line="264" w:lineRule="auto"/>
            </w:pPr>
            <w:r>
              <w:rPr>
                <w:rFonts w:ascii="Times New Roman" w:hAnsi="Times New Roman" w:cs="Times New Roman" w:eastAsia="宋体"/>
                <w:sz w:val="18"/>
              </w:rPr>
              <w:t>专利库未订阅</w:t>
            </w:r>
          </w:p>
        </w:tc>
      </w:tr>
    </w:tbl>
    <w:p>
      <w:pPr>
        <w:spacing w:after="40"/>
      </w:pP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Times New Roman" w:hAnsi="Times New Roman" w:cs="Times New Roman" w:eastAsia="黑体"/>
          <w:color w:val="1F3A5F"/>
        </w:rPr>
        <w:t>6. 数据与已知偏差</w:t>
      </w: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1. </w:t>
      </w:r>
      <w:r>
        <w:rPr>
          <w:rFonts w:ascii="Times New Roman" w:hAnsi="Times New Roman" w:cs="Times New Roman" w:eastAsia="宋体"/>
          <w:b/>
        </w:rPr>
        <w:t>CSMAR 文本字段缺陷</w:t>
      </w:r>
      <w:r>
        <w:rPr>
          <w:rFonts w:ascii="Times New Roman" w:hAnsi="Times New Roman" w:cs="Times New Roman" w:eastAsia="宋体"/>
        </w:rPr>
        <w:t>：</w:t>
      </w:r>
    </w:p>
    <w:p>
      <w:pPr>
        <w:spacing w:after="40"/>
        <w:ind w:left="794" w:hanging="283"/>
      </w:pPr>
      <w:r>
        <w:rPr>
          <w:rFonts w:ascii="Times New Roman" w:hAnsi="Times New Roman" w:cs="Times New Roman" w:eastAsia="宋体"/>
        </w:rPr>
        <w:t xml:space="preserve">◦ </w:t>
      </w:r>
      <w:r>
        <w:rPr>
          <w:rFonts w:ascii="Times New Roman" w:hAnsi="Times New Roman" w:cs="Times New Roman" w:eastAsia="宋体"/>
        </w:rPr>
        <w:t>交易停复牌表和并购重组表中有 21 条记录的文本字段含未转义的引号，Python 标准 CSV 解析会把记录拆错或并错。</w:t>
      </w:r>
    </w:p>
    <w:p>
      <w:pPr>
        <w:spacing w:after="40"/>
        <w:ind w:left="794" w:hanging="283"/>
      </w:pPr>
      <w:r>
        <w:rPr>
          <w:rFonts w:ascii="Times New Roman" w:hAnsi="Times New Roman" w:cs="Times New Roman" w:eastAsia="宋体"/>
        </w:rPr>
        <w:t xml:space="preserve">◦ </w:t>
      </w:r>
      <w:r>
        <w:rPr>
          <w:rFonts w:ascii="Times New Roman" w:hAnsi="Times New Roman" w:cs="Times New Roman" w:eastAsia="宋体"/>
        </w:rPr>
        <w:t>我们写了按 CSMAR 固定引号格式切分的解析器，每个分块的行数都与平台显示的记录数一致，受影响的记录原样保留并在每次读取时记录（D-009）。</w:t>
      </w:r>
    </w:p>
    <w:p>
      <w:pPr>
        <w:spacing w:after="40"/>
        <w:ind w:left="794" w:hanging="283"/>
      </w:pPr>
      <w:r>
        <w:rPr>
          <w:rFonts w:ascii="Times New Roman" w:hAnsi="Times New Roman" w:cs="Times New Roman" w:eastAsia="宋体"/>
        </w:rPr>
        <w:t xml:space="preserve">◦ </w:t>
      </w:r>
      <w:r>
        <w:rPr>
          <w:rFonts w:ascii="Times New Roman" w:hAnsi="Times New Roman" w:cs="Times New Roman" w:eastAsia="宋体"/>
        </w:rPr>
        <w:t>控制人文件、关联交易表等含长文本的表，在下载时就不选这些文本字段，只保留结构化字段。</w:t>
      </w: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2. </w:t>
      </w:r>
      <w:r>
        <w:rPr>
          <w:rFonts w:ascii="Times New Roman" w:hAnsi="Times New Roman" w:cs="Times New Roman" w:eastAsia="宋体"/>
          <w:b/>
        </w:rPr>
        <w:t>差错更正</w:t>
      </w:r>
      <w:r>
        <w:rPr>
          <w:rFonts w:ascii="Times New Roman" w:hAnsi="Times New Roman" w:cs="Times New Roman" w:eastAsia="宋体"/>
        </w:rPr>
        <w:t>：CSMAR 资产负债表有 7.8% 的行标记"发生差错更正"。核查后确认，期末行保存的是</w:t>
      </w:r>
      <w:r>
        <w:rPr>
          <w:rFonts w:ascii="Times New Roman" w:hAnsi="Times New Roman" w:cs="Times New Roman" w:eastAsia="宋体"/>
          <w:b/>
        </w:rPr>
        <w:t>原始报告值</w:t>
      </w:r>
      <w:r>
        <w:rPr>
          <w:rFonts w:ascii="Times New Roman" w:hAnsi="Times New Roman" w:cs="Times New Roman" w:eastAsia="宋体"/>
        </w:rPr>
        <w:t>，更正后的值只出现在下一年的期初行（YYYY-01-01）。因此我们只用期末行，不存在用更正值造成的前视。期初行永远不当作报告期使用。</w:t>
      </w: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3. </w:t>
      </w:r>
      <w:r>
        <w:rPr>
          <w:rFonts w:ascii="Times New Roman" w:hAnsi="Times New Roman" w:cs="Times New Roman" w:eastAsia="宋体"/>
          <w:b/>
        </w:rPr>
        <w:t>CPI 缺口</w:t>
      </w:r>
      <w:r>
        <w:rPr>
          <w:rFonts w:ascii="Times New Roman" w:hAnsi="Times New Roman" w:cs="Times New Roman" w:eastAsia="宋体"/>
        </w:rPr>
        <w:t>：</w:t>
      </w:r>
    </w:p>
    <w:p>
      <w:pPr>
        <w:spacing w:after="40"/>
        <w:ind w:left="794" w:hanging="283"/>
      </w:pPr>
      <w:r>
        <w:rPr>
          <w:rFonts w:ascii="Times New Roman" w:hAnsi="Times New Roman" w:cs="Times New Roman" w:eastAsia="宋体"/>
        </w:rPr>
        <w:t xml:space="preserve">◦ </w:t>
      </w:r>
      <w:r>
        <w:rPr>
          <w:rFonts w:ascii="Times New Roman" w:hAnsi="Times New Roman" w:cs="Times New Roman" w:eastAsia="宋体"/>
        </w:rPr>
        <w:t>FRED 的 OECD 中国 CPI 只到 2025-04；</w:t>
      </w:r>
    </w:p>
    <w:p>
      <w:pPr>
        <w:spacing w:after="40"/>
        <w:ind w:left="794" w:hanging="283"/>
      </w:pPr>
      <w:r>
        <w:rPr>
          <w:rFonts w:ascii="Times New Roman" w:hAnsi="Times New Roman" w:cs="Times New Roman" w:eastAsia="宋体"/>
        </w:rPr>
        <w:t xml:space="preserve">◦ </w:t>
      </w:r>
      <w:r>
        <w:rPr>
          <w:rFonts w:ascii="Times New Roman" w:hAnsi="Times New Roman" w:cs="Times New Roman" w:eastAsia="宋体"/>
        </w:rPr>
        <w:t>2025-05 之后用国家统计局网页的环比指数接续，重叠期核对差距约 0.2（最大 0.21 个指数点）；</w:t>
      </w:r>
    </w:p>
    <w:p>
      <w:pPr>
        <w:spacing w:after="40"/>
        <w:ind w:left="794" w:hanging="283"/>
      </w:pPr>
      <w:r>
        <w:rPr>
          <w:rFonts w:ascii="Times New Roman" w:hAnsi="Times New Roman" w:cs="Times New Roman" w:eastAsia="宋体"/>
        </w:rPr>
        <w:t xml:space="preserve">◦ </w:t>
      </w:r>
      <w:r>
        <w:rPr>
          <w:rFonts w:ascii="Times New Roman" w:hAnsi="Times New Roman" w:cs="Times New Roman" w:eastAsia="宋体"/>
        </w:rPr>
        <w:t>Allen 的实际收益最晚做到 2026-08。</w:t>
      </w: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4. </w:t>
      </w:r>
      <w:r>
        <w:rPr>
          <w:rFonts w:ascii="Times New Roman" w:hAnsi="Times New Roman" w:cs="Times New Roman" w:eastAsia="宋体"/>
          <w:b/>
        </w:rPr>
        <w:t>行业代码只有当前值</w:t>
      </w:r>
      <w:r>
        <w:rPr>
          <w:rFonts w:ascii="Times New Roman" w:hAnsi="Times New Roman" w:cs="Times New Roman" w:eastAsia="宋体"/>
        </w:rPr>
        <w:t>（D-001）：CSMAR 公司文件的行业代码是最新分类，历史年份的行业归属可能与当时不同，影响需按行业分组的变量（如 Li 的 dIi、Allen 的行业固定效应）。</w:t>
      </w: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5. </w:t>
      </w:r>
      <w:r>
        <w:rPr>
          <w:rFonts w:ascii="Times New Roman" w:hAnsi="Times New Roman" w:cs="Times New Roman" w:eastAsia="宋体"/>
          <w:b/>
        </w:rPr>
        <w:t>无风险利率口径</w:t>
      </w:r>
      <w:r>
        <w:rPr>
          <w:rFonts w:ascii="Times New Roman" w:hAnsi="Times New Roman" w:cs="Times New Roman" w:eastAsia="宋体"/>
        </w:rPr>
        <w:t>：</w:t>
      </w:r>
    </w:p>
    <w:p>
      <w:pPr>
        <w:spacing w:after="40"/>
        <w:ind w:left="794" w:hanging="283"/>
      </w:pPr>
      <w:r>
        <w:rPr>
          <w:rFonts w:ascii="Times New Roman" w:hAnsi="Times New Roman" w:cs="Times New Roman" w:eastAsia="宋体"/>
        </w:rPr>
        <w:t xml:space="preserve">◦ </w:t>
      </w:r>
      <w:r>
        <w:rPr>
          <w:rFonts w:ascii="Times New Roman" w:hAnsi="Times New Roman" w:cs="Times New Roman" w:eastAsia="宋体"/>
        </w:rPr>
        <w:t>LSY 用一年期存款利率。CSMAR 的这条序列在 2022-09 后从央行基准切换为大行挂牌利率（D-005），延长段已注明。</w:t>
      </w:r>
    </w:p>
    <w:p>
      <w:pPr>
        <w:spacing w:after="40"/>
        <w:ind w:left="794" w:hanging="283"/>
      </w:pPr>
      <w:r>
        <w:rPr>
          <w:rFonts w:ascii="Times New Roman" w:hAnsi="Times New Roman" w:cs="Times New Roman" w:eastAsia="宋体"/>
        </w:rPr>
        <w:t xml:space="preserve">◦ </w:t>
      </w:r>
      <w:r>
        <w:rPr>
          <w:rFonts w:ascii="Times New Roman" w:hAnsi="Times New Roman" w:cs="Times New Roman" w:eastAsia="宋体"/>
        </w:rPr>
        <w:t>Li 用三个月存款基准利率，央行自 2015-10 后未调整。</w:t>
      </w: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6. </w:t>
      </w:r>
      <w:r>
        <w:rPr>
          <w:rFonts w:ascii="Times New Roman" w:hAnsi="Times New Roman" w:cs="Times New Roman" w:eastAsia="宋体"/>
          <w:b/>
        </w:rPr>
        <w:t>数据版本</w:t>
      </w:r>
      <w:r>
        <w:rPr>
          <w:rFonts w:ascii="Times New Roman" w:hAnsi="Times New Roman" w:cs="Times New Roman" w:eastAsia="宋体"/>
        </w:rPr>
        <w:t>：三篇论文分别在 2018–2023 年取数，CSMAR 此后修订过部分历史数据（季度报表、公告日期、复权收益）。有作者序列可对照时：</w:t>
      </w:r>
    </w:p>
    <w:p>
      <w:pPr>
        <w:spacing w:after="40"/>
        <w:ind w:left="794" w:hanging="283"/>
      </w:pPr>
      <w:r>
        <w:rPr>
          <w:rFonts w:ascii="Times New Roman" w:hAnsi="Times New Roman" w:cs="Times New Roman" w:eastAsia="宋体"/>
        </w:rPr>
        <w:t xml:space="preserve">◦ </w:t>
      </w:r>
      <w:r>
        <w:rPr>
          <w:rFonts w:ascii="Times New Roman" w:hAnsi="Times New Roman" w:cs="Times New Roman" w:eastAsia="宋体"/>
        </w:rPr>
        <w:t>差距多集中在少数月份（如 2006-10、2015 年股灾停牌期）；</w:t>
      </w:r>
    </w:p>
    <w:p>
      <w:pPr>
        <w:spacing w:after="40"/>
        <w:ind w:left="794" w:hanging="283"/>
      </w:pPr>
      <w:r>
        <w:rPr>
          <w:rFonts w:ascii="Times New Roman" w:hAnsi="Times New Roman" w:cs="Times New Roman" w:eastAsia="宋体"/>
        </w:rPr>
        <w:t xml:space="preserve">◦ </w:t>
      </w:r>
      <w:r>
        <w:rPr>
          <w:rFonts w:ascii="Times New Roman" w:hAnsi="Times New Roman" w:cs="Times New Roman" w:eastAsia="宋体"/>
        </w:rPr>
        <w:t>少数大公司的分组归属不同，而不是整体口径错误。</w:t>
      </w: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7. </w:t>
      </w:r>
      <w:r>
        <w:rPr>
          <w:rFonts w:ascii="Times New Roman" w:hAnsi="Times New Roman" w:cs="Times New Roman" w:eastAsia="宋体"/>
          <w:b/>
        </w:rPr>
        <w:t>国企口径</w:t>
      </w:r>
      <w:r>
        <w:rPr>
          <w:rFonts w:ascii="Times New Roman" w:hAnsi="Times New Roman" w:cs="Times New Roman" w:eastAsia="宋体"/>
        </w:rPr>
        <w:t>：Li 和 Allen 原用的国企数据源（CSMAR 股权性质库、WIND）都不可得，统一用 CSMAR 上市公司控制人文件。2003 年末国企占比 75.1%，Li 论文为 74.57%。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Times New Roman" w:hAnsi="Times New Roman" w:cs="Times New Roman" w:eastAsia="黑体"/>
          <w:color w:val="1F3A5F"/>
        </w:rPr>
        <w:t>7. 需要您亲自验收的项（lighthouse 第 8 节）</w:t>
      </w: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1. </w:t>
      </w:r>
      <w:r>
        <w:rPr>
          <w:rFonts w:ascii="Times New Roman" w:hAnsi="Times New Roman" w:cs="Times New Roman" w:eastAsia="宋体"/>
        </w:rPr>
        <w:t>复现的图与原图是否"看起来一致"：</w:t>
      </w:r>
    </w:p>
    <w:p>
      <w:pPr>
        <w:spacing w:after="40"/>
        <w:ind w:left="794" w:hanging="283"/>
      </w:pPr>
      <w:r>
        <w:rPr>
          <w:rFonts w:ascii="Times New Roman" w:hAnsi="Times New Roman" w:cs="Times New Roman" w:eastAsia="宋体"/>
        </w:rPr>
        <w:t xml:space="preserve">◦ </w:t>
      </w:r>
      <w:r>
        <w:rPr>
          <w:rFonts w:ascii="Times New Roman" w:hAnsi="Times New Roman" w:cs="Times New Roman" w:eastAsia="宋体"/>
        </w:rPr>
        <w:t>LSY 图 1–2（</w:t>
      </w:r>
      <w:r>
        <w:rPr>
          <w:rFonts w:ascii="Menlo" w:hAnsi="Menlo" w:cs="Menlo" w:eastAsia="宋体"/>
          <w:sz w:val="19"/>
        </w:rPr>
        <w:t>results/lsy/figures/</w:t>
      </w:r>
      <w:r>
        <w:rPr>
          <w:rFonts w:ascii="Times New Roman" w:hAnsi="Times New Roman" w:cs="Times New Roman" w:eastAsia="宋体"/>
        </w:rPr>
        <w:t>）；</w:t>
      </w:r>
    </w:p>
    <w:p>
      <w:pPr>
        <w:spacing w:after="40"/>
        <w:ind w:left="794" w:hanging="283"/>
      </w:pPr>
      <w:r>
        <w:rPr>
          <w:rFonts w:ascii="Times New Roman" w:hAnsi="Times New Roman" w:cs="Times New Roman" w:eastAsia="宋体"/>
        </w:rPr>
        <w:t xml:space="preserve">◦ </w:t>
      </w:r>
      <w:r>
        <w:rPr>
          <w:rFonts w:ascii="Times New Roman" w:hAnsi="Times New Roman" w:cs="Times New Roman" w:eastAsia="宋体"/>
        </w:rPr>
        <w:t>Allen 图 1/2/4/5（</w:t>
      </w:r>
      <w:r>
        <w:rPr>
          <w:rFonts w:ascii="Menlo" w:hAnsi="Menlo" w:cs="Menlo" w:eastAsia="宋体"/>
          <w:sz w:val="19"/>
        </w:rPr>
        <w:t>results/allen/figures/</w:t>
      </w:r>
      <w:r>
        <w:rPr>
          <w:rFonts w:ascii="Times New Roman" w:hAnsi="Times New Roman" w:cs="Times New Roman" w:eastAsia="宋体"/>
        </w:rPr>
        <w:t>）；</w:t>
      </w:r>
    </w:p>
    <w:p>
      <w:pPr>
        <w:spacing w:after="40"/>
        <w:ind w:left="794" w:hanging="283"/>
      </w:pPr>
      <w:r>
        <w:rPr>
          <w:rFonts w:ascii="Times New Roman" w:hAnsi="Times New Roman" w:cs="Times New Roman" w:eastAsia="宋体"/>
        </w:rPr>
        <w:t xml:space="preserve">◦ </w:t>
      </w:r>
      <w:r>
        <w:rPr>
          <w:rFonts w:ascii="Times New Roman" w:hAnsi="Times New Roman" w:cs="Times New Roman" w:eastAsia="宋体"/>
        </w:rPr>
        <w:t>三段各一张。</w:t>
      </w: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2. </w:t>
      </w:r>
      <w:r>
        <w:rPr>
          <w:rFonts w:ascii="Times New Roman" w:hAnsi="Times New Roman" w:cs="Times New Roman" w:eastAsia="宋体"/>
        </w:rPr>
        <w:t xml:space="preserve">借壳上市识别规则是否合理（规则见 2.2 第 1 条，代码在 </w:t>
      </w:r>
      <w:r>
        <w:rPr>
          <w:rFonts w:ascii="Menlo" w:hAnsi="Menlo" w:cs="Menlo" w:eastAsia="宋体"/>
          <w:sz w:val="19"/>
        </w:rPr>
        <w:t>src/replication/lsy/shells.py</w:t>
      </w:r>
      <w:r>
        <w:rPr>
          <w:rFonts w:ascii="Times New Roman" w:hAnsi="Times New Roman" w:cs="Times New Roman" w:eastAsia="宋体"/>
        </w:rPr>
        <w:t>）。</w:t>
      </w:r>
    </w:p>
    <w:p>
      <w:pPr>
        <w:spacing w:after="40"/>
        <w:ind w:left="425" w:hanging="283"/>
      </w:pPr>
      <w:r>
        <w:rPr>
          <w:rFonts w:ascii="Times New Roman" w:hAnsi="Times New Roman" w:cs="Times New Roman" w:eastAsia="宋体"/>
        </w:rPr>
        <w:t xml:space="preserve">3. </w:t>
      </w:r>
      <w:r>
        <w:rPr>
          <w:rFonts w:ascii="Times New Roman" w:hAnsi="Times New Roman" w:cs="Times New Roman" w:eastAsia="宋体"/>
        </w:rPr>
        <w:t>本报告是否清楚、是否适合给导师看。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Times New Roman" w:hAnsi="Times New Roman" w:cs="Times New Roman" w:eastAsia="黑体"/>
          <w:color w:val="1F3A5F"/>
        </w:rPr>
        <w:t>附：复跑方式</w:t>
      </w:r>
    </w:p>
    <w:p>
      <w:r>
        <w:rPr>
          <w:rFonts w:ascii="Times New Roman" w:hAnsi="Times New Roman" w:cs="Times New Roman" w:eastAsia="宋体"/>
        </w:rPr>
        <w:t xml:space="preserve">在项目根目录 </w:t>
      </w:r>
      <w:r>
        <w:rPr>
          <w:rFonts w:ascii="Menlo" w:hAnsi="Menlo" w:cs="Menlo" w:eastAsia="宋体"/>
          <w:sz w:val="19"/>
        </w:rPr>
        <w:t>~/Downloads/stock-exploration</w:t>
      </w:r>
      <w:r>
        <w:rPr>
          <w:rFonts w:ascii="Times New Roman" w:hAnsi="Times New Roman" w:cs="Times New Roman" w:eastAsia="宋体"/>
        </w:rPr>
        <w:t>：</w:t>
      </w:r>
    </w:p>
    <w:p>
      <w:pPr>
        <w:spacing w:after="0"/>
        <w:ind w:left="425"/>
      </w:pPr>
      <w:r>
        <w:rPr>
          <w:rFonts w:ascii="Menlo" w:hAnsi="Menlo" w:cs="Menlo" w:eastAsia="宋体"/>
          <w:sz w:val="18"/>
        </w:rPr>
        <w:t>.venv/bin/python -m csmar.build &amp;&amp; .venv/bin/python -m csmar.validate</w:t>
      </w:r>
    </w:p>
    <w:p>
      <w:pPr>
        <w:spacing w:after="0"/>
        <w:ind w:left="425"/>
      </w:pPr>
      <w:r>
        <w:rPr>
          <w:rFonts w:ascii="Menlo" w:hAnsi="Menlo" w:cs="Menlo" w:eastAsia="宋体"/>
          <w:sz w:val="18"/>
        </w:rPr>
        <w:t>.venv/bin/python -m replication.lsy</w:t>
      </w:r>
    </w:p>
    <w:p>
      <w:pPr>
        <w:spacing w:after="0"/>
        <w:ind w:left="425"/>
      </w:pPr>
      <w:r>
        <w:rPr>
          <w:rFonts w:ascii="Menlo" w:hAnsi="Menlo" w:cs="Menlo" w:eastAsia="宋体"/>
          <w:sz w:val="18"/>
        </w:rPr>
        <w:t>.venv/bin/python -m replication.allen</w:t>
      </w:r>
    </w:p>
    <w:p>
      <w:pPr>
        <w:spacing w:after="0"/>
        <w:ind w:left="425"/>
      </w:pPr>
      <w:r>
        <w:rPr>
          <w:rFonts w:ascii="Menlo" w:hAnsi="Menlo" w:cs="Menlo" w:eastAsia="宋体"/>
          <w:sz w:val="18"/>
        </w:rPr>
        <w:t>.venv/bin/python -m replication.li --build</w:t>
      </w:r>
    </w:p>
    <w:p>
      <w:pPr>
        <w:spacing w:after="0"/>
        <w:ind w:left="425"/>
      </w:pPr>
      <w:r>
        <w:rPr>
          <w:rFonts w:ascii="Menlo" w:hAnsi="Menlo" w:cs="Menlo" w:eastAsia="宋体"/>
          <w:sz w:val="18"/>
        </w:rPr>
        <w:t>LI_VARIANT=clean .venv/bin/python -m replication.li --build</w:t>
      </w:r>
    </w:p>
    <w:p>
      <w:r>
        <w:rPr>
          <w:rFonts w:ascii="Times New Roman" w:hAnsi="Times New Roman" w:cs="Times New Roman" w:eastAsia="宋体"/>
        </w:rPr>
        <w:t>逐个数字的对照：</w:t>
      </w:r>
      <w:r>
        <w:rPr>
          <w:rFonts w:ascii="Menlo" w:hAnsi="Menlo" w:cs="Menlo" w:eastAsia="宋体"/>
          <w:sz w:val="19"/>
        </w:rPr>
        <w:t>results/lsy_comparison.csv</w:t>
      </w:r>
      <w:r>
        <w:rPr>
          <w:rFonts w:ascii="Times New Roman" w:hAnsi="Times New Roman" w:cs="Times New Roman" w:eastAsia="宋体"/>
        </w:rPr>
        <w:t>、</w:t>
      </w:r>
      <w:r>
        <w:rPr>
          <w:rFonts w:ascii="Menlo" w:hAnsi="Menlo" w:cs="Menlo" w:eastAsia="宋体"/>
          <w:sz w:val="19"/>
        </w:rPr>
        <w:t>results/allen_comparison.csv</w:t>
      </w:r>
      <w:r>
        <w:rPr>
          <w:rFonts w:ascii="Times New Roman" w:hAnsi="Times New Roman" w:cs="Times New Roman" w:eastAsia="宋体"/>
        </w:rPr>
        <w:t>、</w:t>
      </w:r>
      <w:r>
        <w:rPr>
          <w:rFonts w:ascii="Menlo" w:hAnsi="Menlo" w:cs="Menlo" w:eastAsia="宋体"/>
          <w:sz w:val="19"/>
        </w:rPr>
        <w:t>results/li_comparison.csv</w:t>
      </w:r>
      <w:r>
        <w:rPr>
          <w:rFonts w:ascii="Times New Roman" w:hAnsi="Times New Roman" w:cs="Times New Roman" w:eastAsia="宋体"/>
        </w:rPr>
        <w:t>（每行含论文值、我们的值、容差类型、是否通过、偏差日志编号）。</w:t>
      </w:r>
    </w:p>
    <w:sectPr w:rsidR="00FC693F" w:rsidRPr="0006063C" w:rsidSect="00034616"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F3A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用 CSMAR 复现三篇 A 股论文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