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C052F" w14:textId="4C4BD874" w:rsidR="00E01A51" w:rsidRDefault="00E01A51" w:rsidP="00E01A51">
      <w:pPr>
        <w:pBdr>
          <w:bottom w:val="double" w:sz="6" w:space="1" w:color="auto"/>
        </w:pBdr>
        <w:spacing w:line="240" w:lineRule="auto"/>
        <w:rPr>
          <w:rFonts w:ascii="Courier New" w:hAnsi="Courier New" w:cs="Courier New"/>
          <w:sz w:val="20"/>
          <w:szCs w:val="20"/>
        </w:rPr>
      </w:pPr>
      <w:r w:rsidRPr="00E01A51">
        <w:rPr>
          <w:rFonts w:ascii="Courier New" w:hAnsi="Courier New" w:cs="Courier New"/>
          <w:sz w:val="20"/>
          <w:szCs w:val="20"/>
        </w:rPr>
        <w:t>Dissol</w:t>
      </w:r>
      <w:r>
        <w:rPr>
          <w:rFonts w:ascii="Courier New" w:hAnsi="Courier New" w:cs="Courier New"/>
          <w:sz w:val="20"/>
          <w:szCs w:val="20"/>
        </w:rPr>
        <w:t>ved Organic Carbon and Total Dissolved Nitrogen</w:t>
      </w:r>
    </w:p>
    <w:p w14:paraId="6CBF7A7B" w14:textId="3410FFFF"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PI</w:t>
      </w:r>
    </w:p>
    <w:p w14:paraId="1C36C697"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 Dennis Hansell (UM)</w:t>
      </w:r>
    </w:p>
    <w:p w14:paraId="32548B65" w14:textId="70748040"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Technician</w:t>
      </w:r>
    </w:p>
    <w:p w14:paraId="3854D122"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 Abby Tinari</w:t>
      </w:r>
    </w:p>
    <w:p w14:paraId="176ABC5B"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Analyst</w:t>
      </w:r>
    </w:p>
    <w:p w14:paraId="5F5976BE"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 Lillian Custals</w:t>
      </w:r>
    </w:p>
    <w:p w14:paraId="4D3A9C59"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Support</w:t>
      </w:r>
    </w:p>
    <w:p w14:paraId="0B39A83D" w14:textId="655FAB13"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NSF</w:t>
      </w:r>
      <w:r w:rsidRPr="00E01A51">
        <w:rPr>
          <w:rFonts w:ascii="Courier New" w:hAnsi="Courier New" w:cs="Courier New"/>
          <w:sz w:val="20"/>
          <w:szCs w:val="20"/>
        </w:rPr>
        <w:t xml:space="preserve"> </w:t>
      </w:r>
    </w:p>
    <w:p w14:paraId="2232F1D0" w14:textId="17738059" w:rsidR="00E01A51" w:rsidRDefault="00E01A51" w:rsidP="00E01A51">
      <w:pPr>
        <w:spacing w:line="240" w:lineRule="auto"/>
        <w:rPr>
          <w:rFonts w:ascii="Courier New" w:hAnsi="Courier New" w:cs="Courier New"/>
          <w:sz w:val="20"/>
          <w:szCs w:val="20"/>
        </w:rPr>
      </w:pPr>
    </w:p>
    <w:p w14:paraId="450F8A42" w14:textId="0A5D3AD7" w:rsidR="00E01A51" w:rsidRDefault="00E01A51"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Project Goals</w:t>
      </w:r>
    </w:p>
    <w:p w14:paraId="0C76D57C" w14:textId="71574760"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The goal of the DOM project is to evaluate dissolved organic carbon (DOC) and total dissolved nitrogen (</w:t>
      </w:r>
      <w:proofErr w:type="spellStart"/>
      <w:r>
        <w:rPr>
          <w:rFonts w:ascii="Courier New" w:hAnsi="Courier New" w:cs="Courier New"/>
          <w:sz w:val="20"/>
          <w:szCs w:val="20"/>
        </w:rPr>
        <w:t>TDN</w:t>
      </w:r>
      <w:proofErr w:type="spellEnd"/>
      <w:r>
        <w:rPr>
          <w:rFonts w:ascii="Courier New" w:hAnsi="Courier New" w:cs="Courier New"/>
          <w:sz w:val="20"/>
          <w:szCs w:val="20"/>
        </w:rPr>
        <w:t>) concentrations along the A20 zonal transect.</w:t>
      </w:r>
    </w:p>
    <w:p w14:paraId="3C5A2F5A" w14:textId="0720C8D6" w:rsidR="00E01A51" w:rsidRDefault="00E01A51"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Sampling</w:t>
      </w:r>
    </w:p>
    <w:p w14:paraId="486DBC44" w14:textId="0AAF9643"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 xml:space="preserve">DOC profiles were taken from approximately every two out of three stations from 26 of 36 </w:t>
      </w:r>
      <w:proofErr w:type="spellStart"/>
      <w:r>
        <w:rPr>
          <w:rFonts w:ascii="Courier New" w:hAnsi="Courier New" w:cs="Courier New"/>
          <w:sz w:val="20"/>
          <w:szCs w:val="20"/>
        </w:rPr>
        <w:t>niskin</w:t>
      </w:r>
      <w:proofErr w:type="spellEnd"/>
      <w:r>
        <w:rPr>
          <w:rFonts w:ascii="Courier New" w:hAnsi="Courier New" w:cs="Courier New"/>
          <w:sz w:val="20"/>
          <w:szCs w:val="20"/>
        </w:rPr>
        <w:t xml:space="preserve"> bottles ranging the full depth of the water column (55 of 90 stations; ~1294 DOC/</w:t>
      </w:r>
      <w:proofErr w:type="spellStart"/>
      <w:r>
        <w:rPr>
          <w:rFonts w:ascii="Courier New" w:hAnsi="Courier New" w:cs="Courier New"/>
          <w:sz w:val="20"/>
          <w:szCs w:val="20"/>
        </w:rPr>
        <w:t>TDN</w:t>
      </w:r>
      <w:proofErr w:type="spellEnd"/>
      <w:r>
        <w:rPr>
          <w:rFonts w:ascii="Courier New" w:hAnsi="Courier New" w:cs="Courier New"/>
          <w:sz w:val="20"/>
          <w:szCs w:val="20"/>
        </w:rPr>
        <w:t xml:space="preserve"> samples). </w:t>
      </w:r>
      <w:r w:rsidR="00906838">
        <w:rPr>
          <w:rFonts w:ascii="Courier New" w:hAnsi="Courier New" w:cs="Courier New"/>
          <w:sz w:val="20"/>
          <w:szCs w:val="20"/>
        </w:rPr>
        <w:t xml:space="preserve">All samples </w:t>
      </w:r>
      <w:r>
        <w:rPr>
          <w:rFonts w:ascii="Courier New" w:hAnsi="Courier New" w:cs="Courier New"/>
          <w:sz w:val="20"/>
          <w:szCs w:val="20"/>
        </w:rPr>
        <w:t xml:space="preserve">collected </w:t>
      </w:r>
      <w:r w:rsidR="00906838">
        <w:rPr>
          <w:rFonts w:ascii="Courier New" w:hAnsi="Courier New" w:cs="Courier New"/>
          <w:sz w:val="20"/>
          <w:szCs w:val="20"/>
        </w:rPr>
        <w:t xml:space="preserve">above 250 meters were filtered through an inline filter holding a combusted GF/F filter attached directly to the </w:t>
      </w:r>
      <w:proofErr w:type="spellStart"/>
      <w:r w:rsidR="00906838">
        <w:rPr>
          <w:rFonts w:ascii="Courier New" w:hAnsi="Courier New" w:cs="Courier New"/>
          <w:sz w:val="20"/>
          <w:szCs w:val="20"/>
        </w:rPr>
        <w:t>niskin</w:t>
      </w:r>
      <w:proofErr w:type="spellEnd"/>
      <w:r w:rsidR="00906838">
        <w:rPr>
          <w:rFonts w:ascii="Courier New" w:hAnsi="Courier New" w:cs="Courier New"/>
          <w:sz w:val="20"/>
          <w:szCs w:val="20"/>
        </w:rPr>
        <w:t xml:space="preserve">. This was done to eliminate particles larger than 0.7 </w:t>
      </w:r>
      <w:proofErr w:type="spellStart"/>
      <w:r w:rsidR="00906838">
        <w:rPr>
          <w:rFonts w:ascii="Calibri" w:hAnsi="Calibri" w:cs="Calibri"/>
          <w:sz w:val="20"/>
          <w:szCs w:val="20"/>
        </w:rPr>
        <w:t>μ</w:t>
      </w:r>
      <w:r w:rsidR="00906838">
        <w:rPr>
          <w:rFonts w:ascii="Courier New" w:hAnsi="Courier New" w:cs="Courier New"/>
          <w:sz w:val="20"/>
          <w:szCs w:val="20"/>
        </w:rPr>
        <w:t>m</w:t>
      </w:r>
      <w:proofErr w:type="spellEnd"/>
      <w:r w:rsidR="00906838">
        <w:rPr>
          <w:rFonts w:ascii="Courier New" w:hAnsi="Courier New" w:cs="Courier New"/>
          <w:sz w:val="20"/>
          <w:szCs w:val="20"/>
        </w:rPr>
        <w:t xml:space="preserve"> from the sample. To reduce contamination by the filter or filter holder, a new filter and holder was used for every station. All samples were rinsed 3 times with about 5 mL of seawater and collected into combusted 40 mL glass EPA vials. Samples were fixed with 100 µL of 4M Hydrochloric acid and stored at room temperature on board. Samples were shipped back to University of Miami for analysis via high temperature combustion on Shimadzu TOC-V or TOC L analyzers.</w:t>
      </w:r>
    </w:p>
    <w:p w14:paraId="0D243D51" w14:textId="34E79CC3" w:rsidR="00906838" w:rsidRDefault="00906838" w:rsidP="00E01A51">
      <w:pPr>
        <w:spacing w:line="240" w:lineRule="auto"/>
        <w:rPr>
          <w:rFonts w:ascii="Courier New" w:hAnsi="Courier New" w:cs="Courier New"/>
          <w:sz w:val="20"/>
          <w:szCs w:val="20"/>
        </w:rPr>
      </w:pPr>
      <w:r>
        <w:rPr>
          <w:rFonts w:ascii="Courier New" w:hAnsi="Courier New" w:cs="Courier New"/>
          <w:sz w:val="20"/>
          <w:szCs w:val="20"/>
        </w:rPr>
        <w:t>Sample vials were prepared before the cruise by combustion at 450</w:t>
      </w:r>
      <w:r>
        <w:rPr>
          <w:rFonts w:ascii="Tw Cen MT" w:hAnsi="Tw Cen MT" w:cs="Courier New"/>
          <w:sz w:val="20"/>
          <w:szCs w:val="20"/>
        </w:rPr>
        <w:t>°</w:t>
      </w:r>
      <w:r>
        <w:rPr>
          <w:rFonts w:ascii="Courier New" w:hAnsi="Courier New" w:cs="Courier New"/>
          <w:sz w:val="20"/>
          <w:szCs w:val="20"/>
        </w:rPr>
        <w:t xml:space="preserve">C for 12 hours to remove any organic matter. Vial caps were cleaned by soaking in DI water overnight, followed by a 3 times rinse with DI water and left out to dry. </w:t>
      </w:r>
    </w:p>
    <w:p w14:paraId="3475AAD3" w14:textId="291E9E5B" w:rsidR="00906838" w:rsidRDefault="00906838" w:rsidP="00E01A51">
      <w:pPr>
        <w:spacing w:line="240" w:lineRule="auto"/>
        <w:rPr>
          <w:rFonts w:ascii="Courier New" w:hAnsi="Courier New" w:cs="Courier New"/>
          <w:sz w:val="20"/>
          <w:szCs w:val="20"/>
        </w:rPr>
      </w:pPr>
      <w:r>
        <w:rPr>
          <w:rFonts w:ascii="Courier New" w:hAnsi="Courier New" w:cs="Courier New"/>
          <w:sz w:val="20"/>
          <w:szCs w:val="20"/>
        </w:rPr>
        <w:t xml:space="preserve">Sampling goals for this cruise were to continue high resolution, long term monitoring of DOC distribution throughout the water column, </w:t>
      </w:r>
      <w:proofErr w:type="gramStart"/>
      <w:r>
        <w:rPr>
          <w:rFonts w:ascii="Courier New" w:hAnsi="Courier New" w:cs="Courier New"/>
          <w:sz w:val="20"/>
          <w:szCs w:val="20"/>
        </w:rPr>
        <w:t>in order to</w:t>
      </w:r>
      <w:proofErr w:type="gramEnd"/>
      <w:r>
        <w:rPr>
          <w:rFonts w:ascii="Courier New" w:hAnsi="Courier New" w:cs="Courier New"/>
          <w:sz w:val="20"/>
          <w:szCs w:val="20"/>
        </w:rPr>
        <w:t xml:space="preserve"> help better understand biogeochemical cycling in global oceans. </w:t>
      </w:r>
    </w:p>
    <w:p w14:paraId="16ADD63D" w14:textId="727168D4" w:rsidR="00906838" w:rsidRDefault="00906838"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Standard Operating Procedure for DOC Analysis – Hansell Lab UM</w:t>
      </w:r>
    </w:p>
    <w:p w14:paraId="023AA07F" w14:textId="356EB32F" w:rsidR="00906838" w:rsidRDefault="00906838" w:rsidP="00E01A51">
      <w:pPr>
        <w:spacing w:line="240" w:lineRule="auto"/>
        <w:rPr>
          <w:rFonts w:ascii="Courier New" w:hAnsi="Courier New" w:cs="Courier New"/>
          <w:sz w:val="20"/>
          <w:szCs w:val="20"/>
        </w:rPr>
      </w:pPr>
      <w:r>
        <w:rPr>
          <w:rFonts w:ascii="Courier New" w:hAnsi="Courier New" w:cs="Courier New"/>
          <w:sz w:val="20"/>
          <w:szCs w:val="20"/>
        </w:rPr>
        <w:t>DOC samples will be analyzed via high temperature combustion using a Shimadzu TOC-V or Shimadzu TOC-L at an inshore based laboratory at the University of Miami. The operating conditions of the Shimadzu TOC-V have been slightly modified from the manufacturer’s model system. The condensation coil has been removed and the headspace of an internal water trap was reduced to minimize the system’s dead space. The combustion tube contains 0.5 cm Pt pillow on top of Pt alumina beads to improve peak shape and to reduce alteration of combustion matrix throughout the run. CO</w:t>
      </w:r>
      <w:r>
        <w:rPr>
          <w:rFonts w:ascii="Courier New" w:hAnsi="Courier New" w:cs="Courier New"/>
          <w:sz w:val="20"/>
          <w:szCs w:val="20"/>
          <w:vertAlign w:val="subscript"/>
        </w:rPr>
        <w:t>2</w:t>
      </w:r>
      <w:r>
        <w:rPr>
          <w:rFonts w:ascii="Courier New" w:hAnsi="Courier New" w:cs="Courier New"/>
          <w:sz w:val="20"/>
          <w:szCs w:val="20"/>
        </w:rPr>
        <w:t xml:space="preserve"> free carrier gas </w:t>
      </w:r>
      <w:r w:rsidR="00B873D0">
        <w:rPr>
          <w:rFonts w:ascii="Courier New" w:hAnsi="Courier New" w:cs="Courier New"/>
          <w:sz w:val="20"/>
          <w:szCs w:val="20"/>
        </w:rPr>
        <w:t>is produced with a Whatman® gas generator (Carlson 2010).</w:t>
      </w:r>
      <w:r w:rsidR="00C018F0">
        <w:rPr>
          <w:rFonts w:ascii="Courier New" w:hAnsi="Courier New" w:cs="Courier New"/>
          <w:sz w:val="20"/>
          <w:szCs w:val="20"/>
        </w:rPr>
        <w:t xml:space="preserve"> Samples are drawn into a 5 mL injection syringe and acidified with 2M HCL (1.5%) and sparged for 1.5 </w:t>
      </w:r>
      <w:r w:rsidR="00C018F0">
        <w:rPr>
          <w:rFonts w:ascii="Courier New" w:hAnsi="Courier New" w:cs="Courier New"/>
          <w:sz w:val="20"/>
          <w:szCs w:val="20"/>
        </w:rPr>
        <w:lastRenderedPageBreak/>
        <w:t>minutes with CO</w:t>
      </w:r>
      <w:r w:rsidR="00C018F0">
        <w:rPr>
          <w:rFonts w:ascii="Courier New" w:hAnsi="Courier New" w:cs="Courier New"/>
          <w:sz w:val="20"/>
          <w:szCs w:val="20"/>
          <w:vertAlign w:val="subscript"/>
        </w:rPr>
        <w:t>2</w:t>
      </w:r>
      <w:r w:rsidR="00C018F0">
        <w:rPr>
          <w:rFonts w:ascii="Courier New" w:hAnsi="Courier New" w:cs="Courier New"/>
          <w:sz w:val="20"/>
          <w:szCs w:val="20"/>
        </w:rPr>
        <w:t xml:space="preserve"> free gas. Three to five replicate 100 µL of sample are injected into a combustion tube headed to 680</w:t>
      </w:r>
      <w:r w:rsidR="00C018F0">
        <w:rPr>
          <w:rFonts w:ascii="Tw Cen MT" w:hAnsi="Tw Cen MT" w:cs="Courier New"/>
          <w:sz w:val="20"/>
          <w:szCs w:val="20"/>
        </w:rPr>
        <w:t>°</w:t>
      </w:r>
      <w:r w:rsidR="00C018F0">
        <w:rPr>
          <w:rFonts w:ascii="Courier New" w:hAnsi="Courier New" w:cs="Courier New"/>
          <w:sz w:val="20"/>
          <w:szCs w:val="20"/>
        </w:rPr>
        <w:t xml:space="preserve">C. The resulting gas stream is passed through several water and halide traps, including an added magnesium perchlorate trap. The </w:t>
      </w:r>
      <w:r w:rsidR="00C018F0">
        <w:rPr>
          <w:rFonts w:ascii="Courier New" w:hAnsi="Courier New" w:cs="Courier New"/>
          <w:sz w:val="20"/>
          <w:szCs w:val="20"/>
        </w:rPr>
        <w:t>CO</w:t>
      </w:r>
      <w:r w:rsidR="00C018F0">
        <w:rPr>
          <w:rFonts w:ascii="Courier New" w:hAnsi="Courier New" w:cs="Courier New"/>
          <w:sz w:val="20"/>
          <w:szCs w:val="20"/>
          <w:vertAlign w:val="subscript"/>
        </w:rPr>
        <w:t>2</w:t>
      </w:r>
      <w:r w:rsidR="00C018F0">
        <w:rPr>
          <w:rFonts w:ascii="Courier New" w:hAnsi="Courier New" w:cs="Courier New"/>
          <w:sz w:val="20"/>
          <w:szCs w:val="20"/>
        </w:rPr>
        <w:t xml:space="preserve"> in the carrier gas is analyzed with a non-dispersive infrared detector and the resulting peak area is integrated with Shimadzu chromatographic software. Injections continue until at least three injections meet the specified range of a SD of 0.1 area counts, CV </w:t>
      </w:r>
      <w:r w:rsidR="00C018F0">
        <w:rPr>
          <w:rFonts w:ascii="Tw Cen MT" w:hAnsi="Tw Cen MT" w:cs="Courier New"/>
          <w:sz w:val="20"/>
          <w:szCs w:val="20"/>
        </w:rPr>
        <w:t>≤</w:t>
      </w:r>
      <w:r w:rsidR="00C018F0">
        <w:rPr>
          <w:rFonts w:ascii="Courier New" w:hAnsi="Courier New" w:cs="Courier New"/>
          <w:sz w:val="20"/>
          <w:szCs w:val="20"/>
        </w:rPr>
        <w:t xml:space="preserve"> 2% or best 3 of 5 injections. </w:t>
      </w:r>
    </w:p>
    <w:p w14:paraId="72DCE757" w14:textId="15C2ABCD" w:rsidR="00C018F0" w:rsidRDefault="00C018F0" w:rsidP="00E01A51">
      <w:pPr>
        <w:spacing w:line="240" w:lineRule="auto"/>
        <w:rPr>
          <w:rFonts w:ascii="Courier New" w:hAnsi="Courier New" w:cs="Courier New"/>
          <w:sz w:val="20"/>
          <w:szCs w:val="20"/>
        </w:rPr>
      </w:pPr>
      <w:r>
        <w:rPr>
          <w:rFonts w:ascii="Courier New" w:hAnsi="Courier New" w:cs="Courier New"/>
          <w:sz w:val="20"/>
          <w:szCs w:val="20"/>
        </w:rPr>
        <w:t>Extensive conditioning of the combustion tube with repeated injection of low carbon water (</w:t>
      </w:r>
      <w:proofErr w:type="spellStart"/>
      <w:r>
        <w:rPr>
          <w:rFonts w:ascii="Courier New" w:hAnsi="Courier New" w:cs="Courier New"/>
          <w:sz w:val="20"/>
          <w:szCs w:val="20"/>
        </w:rPr>
        <w:t>LCW</w:t>
      </w:r>
      <w:proofErr w:type="spellEnd"/>
      <w:r>
        <w:rPr>
          <w:rFonts w:ascii="Courier New" w:hAnsi="Courier New" w:cs="Courier New"/>
          <w:sz w:val="20"/>
          <w:szCs w:val="20"/>
        </w:rPr>
        <w:t xml:space="preserve">) and deep seawater is essential to minimize the machine blanks. After conditioning, the system blank is assessed with UV oxidized low carbon water. The system response is standardized daily with a four-point calibration curve of potassium hydrogen phthalate solution in </w:t>
      </w:r>
      <w:proofErr w:type="spellStart"/>
      <w:r>
        <w:rPr>
          <w:rFonts w:ascii="Courier New" w:hAnsi="Courier New" w:cs="Courier New"/>
          <w:sz w:val="20"/>
          <w:szCs w:val="20"/>
        </w:rPr>
        <w:t>LCW</w:t>
      </w:r>
      <w:proofErr w:type="spellEnd"/>
      <w:r>
        <w:rPr>
          <w:rFonts w:ascii="Courier New" w:hAnsi="Courier New" w:cs="Courier New"/>
          <w:sz w:val="20"/>
          <w:szCs w:val="20"/>
        </w:rPr>
        <w:t xml:space="preserve">. All samples are systematically referenced against low carbon water and deep Sargasso Sea (2600 m) reference waters and surface Sargasso Sea water every 6 – 8 analyses (Hansell 1998). The standard deviation of the deep and surface references analyzed throughout a run generally have a coefficient of variation ranging between 1-3% over the 3-7 independent analyses (number of references depends on the size of the run). Daily references waters were calibrated with DOC CRM provided by D. Hansell (University of Miami; (Hansell 2005)). </w:t>
      </w:r>
    </w:p>
    <w:p w14:paraId="68459DFA" w14:textId="3196E9FF" w:rsidR="00C018F0" w:rsidRDefault="00C018F0"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DOC Calculation</w:t>
      </w:r>
    </w:p>
    <w:p w14:paraId="1DA5F5EB" w14:textId="77A11620" w:rsidR="00C018F0" w:rsidRDefault="00C018F0" w:rsidP="00E01A51">
      <w:pPr>
        <w:spacing w:line="240" w:lineRule="auto"/>
        <w:rPr>
          <w:rFonts w:ascii="Courier New" w:hAnsi="Courier New" w:cs="Courier New"/>
          <w:sz w:val="20"/>
          <w:szCs w:val="20"/>
        </w:rPr>
      </w:pPr>
      <m:oMathPara>
        <m:oMath>
          <m:r>
            <w:rPr>
              <w:rFonts w:ascii="Cambria Math" w:hAnsi="Cambria Math" w:cs="Courier New"/>
              <w:sz w:val="20"/>
              <w:szCs w:val="20"/>
            </w:rPr>
            <m:t xml:space="preserve">μMC= </m:t>
          </m:r>
          <m:f>
            <m:fPr>
              <m:ctrlPr>
                <w:rPr>
                  <w:rFonts w:ascii="Cambria Math" w:hAnsi="Cambria Math" w:cs="Courier New"/>
                  <w:i/>
                  <w:sz w:val="20"/>
                  <w:szCs w:val="20"/>
                </w:rPr>
              </m:ctrlPr>
            </m:fPr>
            <m:num>
              <m:r>
                <w:rPr>
                  <w:rFonts w:ascii="Cambria Math" w:hAnsi="Cambria Math" w:cs="Courier New"/>
                  <w:sz w:val="20"/>
                  <w:szCs w:val="20"/>
                </w:rPr>
                <m:t>average sample area-average machine blank area</m:t>
              </m:r>
            </m:num>
            <m:den>
              <m:r>
                <w:rPr>
                  <w:rFonts w:ascii="Cambria Math" w:hAnsi="Cambria Math" w:cs="Courier New"/>
                  <w:sz w:val="20"/>
                  <w:szCs w:val="20"/>
                </w:rPr>
                <m:t>slope of std curve</m:t>
              </m:r>
            </m:den>
          </m:f>
        </m:oMath>
      </m:oMathPara>
    </w:p>
    <w:p w14:paraId="2A861E0B" w14:textId="77777777" w:rsidR="00C018F0" w:rsidRDefault="00C018F0" w:rsidP="00E01A51">
      <w:pPr>
        <w:pBdr>
          <w:bottom w:val="single" w:sz="6" w:space="1" w:color="auto"/>
        </w:pBdr>
        <w:spacing w:line="240" w:lineRule="auto"/>
        <w:rPr>
          <w:rFonts w:ascii="Courier New" w:hAnsi="Courier New" w:cs="Courier New"/>
          <w:sz w:val="20"/>
          <w:szCs w:val="20"/>
        </w:rPr>
      </w:pPr>
    </w:p>
    <w:p w14:paraId="7C3AB44D" w14:textId="67650BE4" w:rsidR="00C018F0" w:rsidRDefault="00C018F0"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 xml:space="preserve">Standard Operating Procedure for </w:t>
      </w:r>
      <w:proofErr w:type="spellStart"/>
      <w:r>
        <w:rPr>
          <w:rFonts w:ascii="Courier New" w:hAnsi="Courier New" w:cs="Courier New"/>
          <w:sz w:val="20"/>
          <w:szCs w:val="20"/>
        </w:rPr>
        <w:t>TDN</w:t>
      </w:r>
      <w:proofErr w:type="spellEnd"/>
      <w:r>
        <w:rPr>
          <w:rFonts w:ascii="Courier New" w:hAnsi="Courier New" w:cs="Courier New"/>
          <w:sz w:val="20"/>
          <w:szCs w:val="20"/>
        </w:rPr>
        <w:t xml:space="preserve"> analyses – Hansell Lab UM</w:t>
      </w:r>
    </w:p>
    <w:p w14:paraId="43D2C8B7" w14:textId="0D03DE95" w:rsidR="00ED000E" w:rsidRDefault="00C018F0" w:rsidP="00E01A51">
      <w:pPr>
        <w:spacing w:line="240" w:lineRule="auto"/>
        <w:rPr>
          <w:rFonts w:ascii="Courier New" w:hAnsi="Courier New" w:cs="Courier New"/>
          <w:sz w:val="20"/>
          <w:szCs w:val="20"/>
        </w:rPr>
      </w:pPr>
      <w:proofErr w:type="spellStart"/>
      <w:r>
        <w:rPr>
          <w:rFonts w:ascii="Courier New" w:hAnsi="Courier New" w:cs="Courier New"/>
          <w:sz w:val="20"/>
          <w:szCs w:val="20"/>
        </w:rPr>
        <w:t>TDN</w:t>
      </w:r>
      <w:proofErr w:type="spellEnd"/>
      <w:r>
        <w:rPr>
          <w:rFonts w:ascii="Courier New" w:hAnsi="Courier New" w:cs="Courier New"/>
          <w:sz w:val="20"/>
          <w:szCs w:val="20"/>
        </w:rPr>
        <w:t xml:space="preserve"> samples were analyzed via high temperature combustion using Shimadzu TOC-V with attached Shimadzu </w:t>
      </w:r>
      <w:proofErr w:type="spellStart"/>
      <w:r>
        <w:rPr>
          <w:rFonts w:ascii="Courier New" w:hAnsi="Courier New" w:cs="Courier New"/>
          <w:sz w:val="20"/>
          <w:szCs w:val="20"/>
        </w:rPr>
        <w:t>TNM</w:t>
      </w:r>
      <w:r w:rsidR="00ED000E">
        <w:rPr>
          <w:rFonts w:ascii="Courier New" w:hAnsi="Courier New" w:cs="Courier New"/>
          <w:sz w:val="20"/>
          <w:szCs w:val="20"/>
        </w:rPr>
        <w:t>I</w:t>
      </w:r>
      <w:proofErr w:type="spellEnd"/>
      <w:r>
        <w:rPr>
          <w:rFonts w:ascii="Courier New" w:hAnsi="Courier New" w:cs="Courier New"/>
          <w:sz w:val="20"/>
          <w:szCs w:val="20"/>
        </w:rPr>
        <w:t xml:space="preserve"> unit at an inshore based laboratory at the University of Miami</w:t>
      </w:r>
      <w:r w:rsidR="00ED000E">
        <w:rPr>
          <w:rFonts w:ascii="Courier New" w:hAnsi="Courier New" w:cs="Courier New"/>
          <w:sz w:val="20"/>
          <w:szCs w:val="20"/>
        </w:rPr>
        <w:t xml:space="preserve">. The operating conditions of the Shimadzu TOC-V were slightly modified from the manufacturer’s model system. The condensation coil was </w:t>
      </w:r>
      <w:proofErr w:type="gramStart"/>
      <w:r w:rsidR="00ED000E">
        <w:rPr>
          <w:rFonts w:ascii="Courier New" w:hAnsi="Courier New" w:cs="Courier New"/>
          <w:sz w:val="20"/>
          <w:szCs w:val="20"/>
        </w:rPr>
        <w:t>removed</w:t>
      </w:r>
      <w:proofErr w:type="gramEnd"/>
      <w:r w:rsidR="00ED000E">
        <w:rPr>
          <w:rFonts w:ascii="Courier New" w:hAnsi="Courier New" w:cs="Courier New"/>
          <w:sz w:val="20"/>
          <w:szCs w:val="20"/>
        </w:rPr>
        <w:t xml:space="preserve"> and the headspace of an internal water trap was reduced to minimize the system’s dead space. The combustion tube contained 0.5 cm Pt pillows placed on top of Pt alumina beads to improve peak shape and to </w:t>
      </w:r>
      <w:proofErr w:type="spellStart"/>
      <w:r w:rsidR="00ED000E">
        <w:rPr>
          <w:rFonts w:ascii="Courier New" w:hAnsi="Courier New" w:cs="Courier New"/>
          <w:sz w:val="20"/>
          <w:szCs w:val="20"/>
        </w:rPr>
        <w:t>resuce</w:t>
      </w:r>
      <w:proofErr w:type="spellEnd"/>
      <w:r w:rsidR="00ED000E">
        <w:rPr>
          <w:rFonts w:ascii="Courier New" w:hAnsi="Courier New" w:cs="Courier New"/>
          <w:sz w:val="20"/>
          <w:szCs w:val="20"/>
        </w:rPr>
        <w:t xml:space="preserve"> alteration of combustion matrix throughout the run. Carrier gas was produced with a </w:t>
      </w:r>
      <w:r w:rsidR="00ED000E">
        <w:rPr>
          <w:rFonts w:ascii="Courier New" w:hAnsi="Courier New" w:cs="Courier New"/>
          <w:sz w:val="20"/>
          <w:szCs w:val="20"/>
        </w:rPr>
        <w:t>Whatman® gas generator</w:t>
      </w:r>
      <w:r w:rsidR="00ED000E">
        <w:rPr>
          <w:rFonts w:ascii="Courier New" w:hAnsi="Courier New" w:cs="Courier New"/>
          <w:sz w:val="20"/>
          <w:szCs w:val="20"/>
        </w:rPr>
        <w:t xml:space="preserve"> (Carlson 2010) and ozone </w:t>
      </w:r>
      <w:proofErr w:type="gramStart"/>
      <w:r w:rsidR="00ED000E">
        <w:rPr>
          <w:rFonts w:ascii="Courier New" w:hAnsi="Courier New" w:cs="Courier New"/>
          <w:sz w:val="20"/>
          <w:szCs w:val="20"/>
        </w:rPr>
        <w:t>was</w:t>
      </w:r>
      <w:proofErr w:type="gramEnd"/>
      <w:r w:rsidR="00ED000E">
        <w:rPr>
          <w:rFonts w:ascii="Courier New" w:hAnsi="Courier New" w:cs="Courier New"/>
          <w:sz w:val="20"/>
          <w:szCs w:val="20"/>
        </w:rPr>
        <w:t xml:space="preserve"> generated by the </w:t>
      </w:r>
      <w:proofErr w:type="spellStart"/>
      <w:r w:rsidR="00ED000E">
        <w:rPr>
          <w:rFonts w:ascii="Courier New" w:hAnsi="Courier New" w:cs="Courier New"/>
          <w:sz w:val="20"/>
          <w:szCs w:val="20"/>
        </w:rPr>
        <w:t>TNMI</w:t>
      </w:r>
      <w:proofErr w:type="spellEnd"/>
      <w:r w:rsidR="00ED000E">
        <w:rPr>
          <w:rFonts w:ascii="Courier New" w:hAnsi="Courier New" w:cs="Courier New"/>
          <w:sz w:val="20"/>
          <w:szCs w:val="20"/>
        </w:rPr>
        <w:t xml:space="preserve"> unite at 0.5L/min flow rate. Three to five replicate 100 </w:t>
      </w:r>
      <w:proofErr w:type="spellStart"/>
      <w:r w:rsidR="00ED000E">
        <w:rPr>
          <w:rFonts w:ascii="Calibri" w:hAnsi="Calibri" w:cs="Calibri"/>
          <w:sz w:val="20"/>
          <w:szCs w:val="20"/>
        </w:rPr>
        <w:t>μ</w:t>
      </w:r>
      <w:r w:rsidR="00ED000E">
        <w:rPr>
          <w:rFonts w:ascii="Courier New" w:hAnsi="Courier New" w:cs="Courier New"/>
          <w:sz w:val="20"/>
          <w:szCs w:val="20"/>
        </w:rPr>
        <w:t>L</w:t>
      </w:r>
      <w:proofErr w:type="spellEnd"/>
      <w:r w:rsidR="00ED000E">
        <w:rPr>
          <w:rFonts w:ascii="Courier New" w:hAnsi="Courier New" w:cs="Courier New"/>
          <w:sz w:val="20"/>
          <w:szCs w:val="20"/>
        </w:rPr>
        <w:t xml:space="preserve"> of sample were injected at 130 mL/min flow rate into the combustion tube headed to 680</w:t>
      </w:r>
      <w:r w:rsidR="00ED000E">
        <w:rPr>
          <w:rFonts w:ascii="Tw Cen MT" w:hAnsi="Tw Cen MT" w:cs="Courier New"/>
          <w:sz w:val="20"/>
          <w:szCs w:val="20"/>
        </w:rPr>
        <w:t>°</w:t>
      </w:r>
      <w:r w:rsidR="00ED000E">
        <w:rPr>
          <w:rFonts w:ascii="Courier New" w:hAnsi="Courier New" w:cs="Courier New"/>
          <w:sz w:val="20"/>
          <w:szCs w:val="20"/>
        </w:rPr>
        <w:t>C, where the TN in the sample was converted to nitric oxide (NO). The resulting gas stream was passed through an electronic dehumidifier. The dried NO gas then reacted with ozone producing an excited chemiluminescence NO</w:t>
      </w:r>
      <w:r w:rsidR="00ED000E">
        <w:rPr>
          <w:rFonts w:ascii="Courier New" w:hAnsi="Courier New" w:cs="Courier New"/>
          <w:sz w:val="20"/>
          <w:szCs w:val="20"/>
          <w:vertAlign w:val="subscript"/>
        </w:rPr>
        <w:t>2</w:t>
      </w:r>
      <w:r w:rsidR="00ED000E">
        <w:rPr>
          <w:rFonts w:ascii="Courier New" w:hAnsi="Courier New" w:cs="Courier New"/>
          <w:sz w:val="20"/>
          <w:szCs w:val="20"/>
        </w:rPr>
        <w:t xml:space="preserve"> species (Walsh 1989) and the fluorescence signal was detected with a Shimadzu </w:t>
      </w:r>
      <w:proofErr w:type="spellStart"/>
      <w:r w:rsidR="00ED000E">
        <w:rPr>
          <w:rFonts w:ascii="Courier New" w:hAnsi="Courier New" w:cs="Courier New"/>
          <w:sz w:val="20"/>
          <w:szCs w:val="20"/>
        </w:rPr>
        <w:t>TNMI</w:t>
      </w:r>
      <w:proofErr w:type="spellEnd"/>
      <w:r w:rsidR="00ED000E">
        <w:rPr>
          <w:rFonts w:ascii="Courier New" w:hAnsi="Courier New" w:cs="Courier New"/>
          <w:sz w:val="20"/>
          <w:szCs w:val="20"/>
        </w:rPr>
        <w:t xml:space="preserve"> chemiluminescence detector. The resulting peak area was integrated with Shimadzu chromatographic software. Injections continue until at least three injections meet the specified range of a SD of 0.1 area counts, CV </w:t>
      </w:r>
      <w:r w:rsidR="00ED000E">
        <w:rPr>
          <w:rFonts w:ascii="Tw Cen MT" w:hAnsi="Tw Cen MT" w:cs="Courier New"/>
          <w:sz w:val="20"/>
          <w:szCs w:val="20"/>
        </w:rPr>
        <w:t>≤</w:t>
      </w:r>
      <w:r w:rsidR="00ED000E">
        <w:rPr>
          <w:rFonts w:ascii="Courier New" w:hAnsi="Courier New" w:cs="Courier New"/>
          <w:sz w:val="20"/>
          <w:szCs w:val="20"/>
        </w:rPr>
        <w:t xml:space="preserve"> 2% or best 3 of 5 injections. </w:t>
      </w:r>
    </w:p>
    <w:p w14:paraId="5AAE4E0D" w14:textId="5A300133" w:rsidR="00C018F0" w:rsidRDefault="00ED000E" w:rsidP="00E01A51">
      <w:pPr>
        <w:spacing w:line="240" w:lineRule="auto"/>
        <w:rPr>
          <w:rFonts w:ascii="Courier New" w:hAnsi="Courier New" w:cs="Courier New"/>
          <w:sz w:val="20"/>
          <w:szCs w:val="20"/>
        </w:rPr>
      </w:pPr>
      <w:r>
        <w:rPr>
          <w:rFonts w:ascii="Courier New" w:hAnsi="Courier New" w:cs="Courier New"/>
          <w:sz w:val="20"/>
          <w:szCs w:val="20"/>
        </w:rPr>
        <w:t xml:space="preserve">Extensive conditioning of the combustion tube with repeated injections of low nitrogen water and deep seawater was essential to minimize the machine blanks. After conditioning, the system blank was assessed with UV oxidized low nitrogen water. The system response was standardized daily with a four-point calibration curve of potassium nitrate solution in blank water. All samples were systematically referenced against low nitrogen water and deep </w:t>
      </w:r>
      <w:r>
        <w:rPr>
          <w:rFonts w:ascii="Courier New" w:hAnsi="Courier New" w:cs="Courier New"/>
          <w:sz w:val="20"/>
          <w:szCs w:val="20"/>
        </w:rPr>
        <w:lastRenderedPageBreak/>
        <w:t>Sargasso Sea reference waters (2600 m) and surface Sargasso Sea water ever 6-8</w:t>
      </w:r>
      <w:r w:rsidR="009B6AA2">
        <w:rPr>
          <w:rFonts w:ascii="Courier New" w:hAnsi="Courier New" w:cs="Courier New"/>
          <w:sz w:val="20"/>
          <w:szCs w:val="20"/>
        </w:rPr>
        <w:t xml:space="preserve"> analyses (Hansell 1998). Daily references water </w:t>
      </w:r>
      <w:proofErr w:type="gramStart"/>
      <w:r w:rsidR="009B6AA2">
        <w:rPr>
          <w:rFonts w:ascii="Courier New" w:hAnsi="Courier New" w:cs="Courier New"/>
          <w:sz w:val="20"/>
          <w:szCs w:val="20"/>
        </w:rPr>
        <w:t>were</w:t>
      </w:r>
      <w:proofErr w:type="gramEnd"/>
      <w:r w:rsidR="009B6AA2">
        <w:rPr>
          <w:rFonts w:ascii="Courier New" w:hAnsi="Courier New" w:cs="Courier New"/>
          <w:sz w:val="20"/>
          <w:szCs w:val="20"/>
        </w:rPr>
        <w:t xml:space="preserve"> calibrated with deep CRM provided by D. Hansell (University of Miami; Hansell 2005)).</w:t>
      </w:r>
    </w:p>
    <w:p w14:paraId="7EAADE49" w14:textId="0B1817B2" w:rsidR="009B6AA2" w:rsidRDefault="009B6AA2" w:rsidP="00E01A51">
      <w:pPr>
        <w:pBdr>
          <w:bottom w:val="single" w:sz="6" w:space="1" w:color="auto"/>
        </w:pBdr>
        <w:spacing w:line="240" w:lineRule="auto"/>
        <w:rPr>
          <w:rFonts w:ascii="Courier New" w:hAnsi="Courier New" w:cs="Courier New"/>
          <w:sz w:val="20"/>
          <w:szCs w:val="20"/>
        </w:rPr>
      </w:pPr>
      <w:proofErr w:type="spellStart"/>
      <w:r>
        <w:rPr>
          <w:rFonts w:ascii="Courier New" w:hAnsi="Courier New" w:cs="Courier New"/>
          <w:sz w:val="20"/>
          <w:szCs w:val="20"/>
        </w:rPr>
        <w:t>TDN</w:t>
      </w:r>
      <w:proofErr w:type="spellEnd"/>
      <w:r>
        <w:rPr>
          <w:rFonts w:ascii="Courier New" w:hAnsi="Courier New" w:cs="Courier New"/>
          <w:sz w:val="20"/>
          <w:szCs w:val="20"/>
        </w:rPr>
        <w:t xml:space="preserve"> calculation </w:t>
      </w:r>
    </w:p>
    <w:p w14:paraId="5D99E190" w14:textId="1AED18DC" w:rsidR="009B6AA2" w:rsidRPr="009B6AA2" w:rsidRDefault="009B6AA2" w:rsidP="00E01A51">
      <w:pPr>
        <w:spacing w:line="240" w:lineRule="auto"/>
        <w:rPr>
          <w:rFonts w:ascii="Courier New" w:eastAsiaTheme="minorEastAsia" w:hAnsi="Courier New" w:cs="Courier New"/>
          <w:sz w:val="20"/>
          <w:szCs w:val="20"/>
        </w:rPr>
      </w:pPr>
      <m:oMathPara>
        <m:oMath>
          <m:r>
            <w:rPr>
              <w:rFonts w:ascii="Cambria Math" w:hAnsi="Cambria Math" w:cs="Courier New"/>
              <w:sz w:val="20"/>
              <w:szCs w:val="20"/>
            </w:rPr>
            <m:t>μMN=</m:t>
          </m:r>
          <m:f>
            <m:fPr>
              <m:ctrlPr>
                <w:rPr>
                  <w:rFonts w:ascii="Cambria Math" w:hAnsi="Cambria Math" w:cs="Courier New"/>
                  <w:i/>
                  <w:sz w:val="20"/>
                  <w:szCs w:val="20"/>
                </w:rPr>
              </m:ctrlPr>
            </m:fPr>
            <m:num>
              <m:r>
                <w:rPr>
                  <w:rFonts w:ascii="Cambria Math" w:hAnsi="Cambria Math" w:cs="Courier New"/>
                  <w:sz w:val="20"/>
                  <w:szCs w:val="20"/>
                </w:rPr>
                <m:t>average sample area-average machine blank area</m:t>
              </m:r>
            </m:num>
            <m:den>
              <m:r>
                <w:rPr>
                  <w:rFonts w:ascii="Cambria Math" w:hAnsi="Cambria Math" w:cs="Courier New"/>
                  <w:sz w:val="20"/>
                  <w:szCs w:val="20"/>
                </w:rPr>
                <m:t>slope of std curve</m:t>
              </m:r>
            </m:den>
          </m:f>
        </m:oMath>
      </m:oMathPara>
    </w:p>
    <w:p w14:paraId="14DF7DDA" w14:textId="5CEBC413" w:rsidR="009B6AA2" w:rsidRDefault="009B6AA2" w:rsidP="00E01A51">
      <w:pPr>
        <w:spacing w:line="240" w:lineRule="auto"/>
        <w:rPr>
          <w:rFonts w:ascii="Courier New" w:eastAsiaTheme="minorEastAsia" w:hAnsi="Courier New" w:cs="Courier New"/>
          <w:sz w:val="20"/>
          <w:szCs w:val="20"/>
        </w:rPr>
      </w:pPr>
    </w:p>
    <w:p w14:paraId="5BCDE95D" w14:textId="057E742C" w:rsidR="009B6AA2" w:rsidRDefault="009B6AA2" w:rsidP="00E01A51">
      <w:pPr>
        <w:spacing w:line="240" w:lineRule="auto"/>
        <w:rPr>
          <w:rFonts w:ascii="Courier New" w:eastAsiaTheme="minorEastAsia" w:hAnsi="Courier New" w:cs="Courier New"/>
          <w:sz w:val="20"/>
          <w:szCs w:val="20"/>
        </w:rPr>
      </w:pPr>
    </w:p>
    <w:p w14:paraId="5F3B783A" w14:textId="616E2F76"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(Carlson 2010) Carlson, C. A., D. A. Hansell, N. B. Nelson, D. A. Siegel, W. M. </w:t>
      </w:r>
      <w:proofErr w:type="spellStart"/>
      <w:r>
        <w:rPr>
          <w:rFonts w:ascii="Courier New" w:eastAsiaTheme="minorEastAsia" w:hAnsi="Courier New" w:cs="Courier New"/>
          <w:sz w:val="20"/>
          <w:szCs w:val="20"/>
        </w:rPr>
        <w:t>Smethis</w:t>
      </w:r>
      <w:proofErr w:type="spellEnd"/>
      <w:r>
        <w:rPr>
          <w:rFonts w:ascii="Courier New" w:eastAsiaTheme="minorEastAsia" w:hAnsi="Courier New" w:cs="Courier New"/>
          <w:sz w:val="20"/>
          <w:szCs w:val="20"/>
        </w:rPr>
        <w:t xml:space="preserve">, S. </w:t>
      </w:r>
      <w:proofErr w:type="spellStart"/>
      <w:r>
        <w:rPr>
          <w:rFonts w:ascii="Courier New" w:eastAsiaTheme="minorEastAsia" w:hAnsi="Courier New" w:cs="Courier New"/>
          <w:sz w:val="20"/>
          <w:szCs w:val="20"/>
        </w:rPr>
        <w:t>Khatiwala</w:t>
      </w:r>
      <w:proofErr w:type="spellEnd"/>
      <w:r>
        <w:rPr>
          <w:rFonts w:ascii="Courier New" w:eastAsiaTheme="minorEastAsia" w:hAnsi="Courier New" w:cs="Courier New"/>
          <w:sz w:val="20"/>
          <w:szCs w:val="20"/>
        </w:rPr>
        <w:t>, M. M. Meyers and E. Halewood, 2010. Dissolved organic carbon export and subsequent remineralization in the mesopelagic and bathypelagic realms of the North Atlantic basin. Deep Sea Research II, 57: 1433-1445.</w:t>
      </w:r>
    </w:p>
    <w:p w14:paraId="271EBFA4" w14:textId="5B1FA479"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(Hansell 1998) Hansell, D. A. and C. A. Carlson, 1998. Deep ocean gradients in the concentration of dissolved organic carbon. Nature, 395; 263-266.</w:t>
      </w:r>
    </w:p>
    <w:p w14:paraId="7957911A" w14:textId="67F5914B"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(Hansell 2005) Hansell, D. A., 2005 Dissolved Organic Carbon Reference Material Program. EOS, 35:318-319.</w:t>
      </w:r>
    </w:p>
    <w:p w14:paraId="24F49298" w14:textId="42A5F0E6"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(Walsh 1989) Walsh T. W., 1989. Total dissolved nitrogen in seawater: a new high-temperature combustion method and a comparison with photo-oxidation. Mar. Chem., 26:295-311.</w:t>
      </w:r>
    </w:p>
    <w:p w14:paraId="7317734E" w14:textId="65AF69AD" w:rsidR="009B6AA2" w:rsidRDefault="009B6AA2">
      <w:pPr>
        <w:rPr>
          <w:rFonts w:ascii="Courier New" w:eastAsiaTheme="minorEastAsia" w:hAnsi="Courier New" w:cs="Courier New"/>
          <w:sz w:val="20"/>
          <w:szCs w:val="20"/>
        </w:rPr>
      </w:pPr>
      <w:r>
        <w:rPr>
          <w:rFonts w:ascii="Courier New" w:eastAsiaTheme="minorEastAsia" w:hAnsi="Courier New" w:cs="Courier New"/>
          <w:sz w:val="20"/>
          <w:szCs w:val="20"/>
        </w:rPr>
        <w:br w:type="page"/>
      </w:r>
    </w:p>
    <w:p w14:paraId="1575F2E2" w14:textId="4A9E185E" w:rsidR="009B6AA2" w:rsidRDefault="009B6AA2" w:rsidP="00E01A51">
      <w:pPr>
        <w:pBdr>
          <w:bottom w:val="double" w:sz="6" w:space="1" w:color="auto"/>
        </w:pBd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lastRenderedPageBreak/>
        <w:t>Carbon Isotopes in seawater (14C/13C)</w:t>
      </w:r>
    </w:p>
    <w:p w14:paraId="48337E1C" w14:textId="0B507C04"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PI</w:t>
      </w:r>
    </w:p>
    <w:p w14:paraId="29B24E11" w14:textId="6F9A7087"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Ann McNichol (WHOI)</w:t>
      </w:r>
    </w:p>
    <w:p w14:paraId="12DBE4CE" w14:textId="57900BEE"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Technician </w:t>
      </w:r>
    </w:p>
    <w:p w14:paraId="4C26961B" w14:textId="29CA1F03"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Abby Tinari</w:t>
      </w:r>
    </w:p>
    <w:p w14:paraId="4A148151" w14:textId="0FB1E85B" w:rsidR="009B6AA2" w:rsidRDefault="009B6AA2" w:rsidP="00E01A51">
      <w:pPr>
        <w:spacing w:line="240" w:lineRule="auto"/>
        <w:rPr>
          <w:rFonts w:ascii="Courier New" w:eastAsiaTheme="minorEastAsia" w:hAnsi="Courier New" w:cs="Courier New"/>
          <w:sz w:val="20"/>
          <w:szCs w:val="20"/>
        </w:rPr>
      </w:pPr>
    </w:p>
    <w:p w14:paraId="372B9C10" w14:textId="52AB2923" w:rsidR="009B6AA2" w:rsidRDefault="009B6AA2" w:rsidP="00E01A51">
      <w:pPr>
        <w:pBdr>
          <w:bottom w:val="single" w:sz="6" w:space="1" w:color="auto"/>
        </w:pBd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Sampling</w:t>
      </w:r>
    </w:p>
    <w:p w14:paraId="7030147E" w14:textId="0170DD8E" w:rsidR="009B6AA2" w:rsidRDefault="00EE4271"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A total of 288 samples were collected from stations collected along the A20 transect. 32 samples (full) each were taken from 6 of the 90 stations and 16 (partial) samples each were taken from a separate 6 of the 90 stations. Full and partial sampling alternated approximately every 6 stations. Samples were collected in 500 mL airtight glass bottles. Using silicone tubing, the flasks were rinsed 3 times with seawater. While keeping the tubing at the bottom of the flask, the flask was filled and flushed by allowing it to overflow 1.5 times its volume. Once the sample was taken, about 10 mL of water was removed to create a headspace and 100 µL of saturate mercuric chloride solution was added to the sample. To avoid contamination, gloves were used when handling all sampling equipment and plastic bags were used to cover any surface where sampling or processing occurred. </w:t>
      </w:r>
    </w:p>
    <w:p w14:paraId="61F053DF" w14:textId="4ACEF00F" w:rsidR="00EE4271" w:rsidRDefault="00EE4271"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After each sample was taken, the glass stoppers and ground glass joint were </w:t>
      </w:r>
      <w:proofErr w:type="gramStart"/>
      <w:r>
        <w:rPr>
          <w:rFonts w:ascii="Courier New" w:eastAsiaTheme="minorEastAsia" w:hAnsi="Courier New" w:cs="Courier New"/>
          <w:sz w:val="20"/>
          <w:szCs w:val="20"/>
        </w:rPr>
        <w:t>dried</w:t>
      </w:r>
      <w:proofErr w:type="gramEnd"/>
      <w:r>
        <w:rPr>
          <w:rFonts w:ascii="Courier New" w:eastAsiaTheme="minorEastAsia" w:hAnsi="Courier New" w:cs="Courier New"/>
          <w:sz w:val="20"/>
          <w:szCs w:val="20"/>
        </w:rPr>
        <w:t xml:space="preserve"> and </w:t>
      </w:r>
      <w:proofErr w:type="spellStart"/>
      <w:r>
        <w:rPr>
          <w:rFonts w:ascii="Courier New" w:eastAsiaTheme="minorEastAsia" w:hAnsi="Courier New" w:cs="Courier New"/>
          <w:sz w:val="20"/>
          <w:szCs w:val="20"/>
        </w:rPr>
        <w:t>Apiezon</w:t>
      </w:r>
      <w:proofErr w:type="spellEnd"/>
      <w:r>
        <w:rPr>
          <w:rFonts w:ascii="Courier New" w:eastAsiaTheme="minorEastAsia" w:hAnsi="Courier New" w:cs="Courier New"/>
          <w:sz w:val="20"/>
          <w:szCs w:val="20"/>
        </w:rPr>
        <w:t>-M grease was applied to ensure an airtight seal. Stoppers were secured with a large rubber band wrapped around the entire bottle. Samples were stored in AMS crates in the ship’s dry laboratory. Samples were shipped to WHOI for analysis.</w:t>
      </w:r>
    </w:p>
    <w:p w14:paraId="1C663C9B" w14:textId="27EB9E99" w:rsidR="00EE4271" w:rsidRDefault="00EE4271"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The radiocarbon/</w:t>
      </w:r>
      <w:proofErr w:type="spellStart"/>
      <w:r>
        <w:rPr>
          <w:rFonts w:ascii="Courier New" w:eastAsiaTheme="minorEastAsia" w:hAnsi="Courier New" w:cs="Courier New"/>
          <w:sz w:val="20"/>
          <w:szCs w:val="20"/>
        </w:rPr>
        <w:t>DIC</w:t>
      </w:r>
      <w:proofErr w:type="spellEnd"/>
      <w:r>
        <w:rPr>
          <w:rFonts w:ascii="Courier New" w:eastAsiaTheme="minorEastAsia" w:hAnsi="Courier New" w:cs="Courier New"/>
          <w:sz w:val="20"/>
          <w:szCs w:val="20"/>
        </w:rPr>
        <w:t xml:space="preserve"> content of the seawater (DI14C) is measured by extracting the inorganic carbon as </w:t>
      </w:r>
      <w:r w:rsidR="00E91676">
        <w:rPr>
          <w:rFonts w:ascii="Courier New" w:hAnsi="Courier New" w:cs="Courier New"/>
          <w:sz w:val="20"/>
          <w:szCs w:val="20"/>
        </w:rPr>
        <w:t>C</w:t>
      </w:r>
      <w:r w:rsidR="00E91676">
        <w:rPr>
          <w:rFonts w:ascii="Courier New" w:hAnsi="Courier New" w:cs="Courier New"/>
          <w:sz w:val="20"/>
          <w:szCs w:val="20"/>
        </w:rPr>
        <w:t>O</w:t>
      </w:r>
      <w:r w:rsidR="00E91676">
        <w:rPr>
          <w:rFonts w:ascii="Courier New" w:hAnsi="Courier New" w:cs="Courier New"/>
          <w:sz w:val="20"/>
          <w:szCs w:val="20"/>
          <w:vertAlign w:val="subscript"/>
        </w:rPr>
        <w:t>2</w:t>
      </w:r>
      <w:r w:rsidR="00E91676">
        <w:rPr>
          <w:rFonts w:ascii="Courier New" w:eastAsiaTheme="minorEastAsia" w:hAnsi="Courier New" w:cs="Courier New"/>
          <w:sz w:val="20"/>
          <w:szCs w:val="20"/>
        </w:rPr>
        <w:t xml:space="preserve"> gas, converting the gas to </w:t>
      </w:r>
      <w:proofErr w:type="gramStart"/>
      <w:r w:rsidR="00E91676">
        <w:rPr>
          <w:rFonts w:ascii="Courier New" w:eastAsiaTheme="minorEastAsia" w:hAnsi="Courier New" w:cs="Courier New"/>
          <w:sz w:val="20"/>
          <w:szCs w:val="20"/>
        </w:rPr>
        <w:t>graphite</w:t>
      </w:r>
      <w:proofErr w:type="gramEnd"/>
      <w:r w:rsidR="00E91676">
        <w:rPr>
          <w:rFonts w:ascii="Courier New" w:eastAsiaTheme="minorEastAsia" w:hAnsi="Courier New" w:cs="Courier New"/>
          <w:sz w:val="20"/>
          <w:szCs w:val="20"/>
        </w:rPr>
        <w:t xml:space="preserve"> and then counting the number of 14C atoms in the sample directly using an accelerated mass spectrometer (AMS). </w:t>
      </w:r>
    </w:p>
    <w:p w14:paraId="15302ED9" w14:textId="65248738" w:rsidR="00E91676" w:rsidRPr="00E91676" w:rsidRDefault="00E91676" w:rsidP="00E01A51">
      <w:pPr>
        <w:spacing w:line="240" w:lineRule="auto"/>
        <w:rPr>
          <w:rFonts w:ascii="Courier New" w:hAnsi="Courier New" w:cs="Courier New"/>
          <w:sz w:val="20"/>
          <w:szCs w:val="20"/>
        </w:rPr>
      </w:pPr>
      <w:r>
        <w:rPr>
          <w:rFonts w:ascii="Courier New" w:eastAsiaTheme="minorEastAsia" w:hAnsi="Courier New" w:cs="Courier New"/>
          <w:sz w:val="20"/>
          <w:szCs w:val="20"/>
        </w:rPr>
        <w:t xml:space="preserve">Radiocarbon values will be reported as 14C using established procedures modified for AMS applications. The 13C/12C of the </w:t>
      </w:r>
      <w:r>
        <w:rPr>
          <w:rFonts w:ascii="Courier New" w:hAnsi="Courier New" w:cs="Courier New"/>
          <w:sz w:val="20"/>
          <w:szCs w:val="20"/>
        </w:rPr>
        <w:t>C</w:t>
      </w:r>
      <w:r>
        <w:rPr>
          <w:rFonts w:ascii="Courier New" w:hAnsi="Courier New" w:cs="Courier New"/>
          <w:sz w:val="20"/>
          <w:szCs w:val="20"/>
        </w:rPr>
        <w:t>O</w:t>
      </w:r>
      <w:r>
        <w:rPr>
          <w:rFonts w:ascii="Courier New" w:hAnsi="Courier New" w:cs="Courier New"/>
          <w:sz w:val="20"/>
          <w:szCs w:val="20"/>
          <w:vertAlign w:val="subscript"/>
        </w:rPr>
        <w:t>2</w:t>
      </w:r>
      <w:r>
        <w:rPr>
          <w:rFonts w:ascii="Courier New" w:eastAsiaTheme="minorEastAsia" w:hAnsi="Courier New" w:cs="Courier New"/>
          <w:sz w:val="20"/>
          <w:szCs w:val="20"/>
        </w:rPr>
        <w:t xml:space="preserve"> </w:t>
      </w:r>
      <w:r>
        <w:rPr>
          <w:rFonts w:ascii="Courier New" w:hAnsi="Courier New" w:cs="Courier New"/>
          <w:sz w:val="20"/>
          <w:szCs w:val="20"/>
        </w:rPr>
        <w:t xml:space="preserve">extracted from seawater is measured relative to the 13C/12C of a </w:t>
      </w:r>
      <w:r>
        <w:rPr>
          <w:rFonts w:ascii="Courier New" w:hAnsi="Courier New" w:cs="Courier New"/>
          <w:sz w:val="20"/>
          <w:szCs w:val="20"/>
        </w:rPr>
        <w:t>CO</w:t>
      </w:r>
      <w:r>
        <w:rPr>
          <w:rFonts w:ascii="Courier New" w:hAnsi="Courier New" w:cs="Courier New"/>
          <w:sz w:val="20"/>
          <w:szCs w:val="20"/>
          <w:vertAlign w:val="subscript"/>
        </w:rPr>
        <w:t>2</w:t>
      </w:r>
      <w:r>
        <w:rPr>
          <w:rFonts w:ascii="Courier New" w:hAnsi="Courier New" w:cs="Courier New"/>
          <w:sz w:val="20"/>
          <w:szCs w:val="20"/>
        </w:rPr>
        <w:t xml:space="preserve"> gas standard calibrated to the </w:t>
      </w:r>
      <w:proofErr w:type="spellStart"/>
      <w:r>
        <w:rPr>
          <w:rFonts w:ascii="Courier New" w:hAnsi="Courier New" w:cs="Courier New"/>
          <w:sz w:val="20"/>
          <w:szCs w:val="20"/>
        </w:rPr>
        <w:t>PDB</w:t>
      </w:r>
      <w:proofErr w:type="spellEnd"/>
      <w:r>
        <w:rPr>
          <w:rFonts w:ascii="Courier New" w:hAnsi="Courier New" w:cs="Courier New"/>
          <w:sz w:val="20"/>
          <w:szCs w:val="20"/>
        </w:rPr>
        <w:t xml:space="preserve"> standard using an isotope ratio mass spectrometer (</w:t>
      </w:r>
      <w:proofErr w:type="spellStart"/>
      <w:r>
        <w:rPr>
          <w:rFonts w:ascii="Courier New" w:hAnsi="Courier New" w:cs="Courier New"/>
          <w:sz w:val="20"/>
          <w:szCs w:val="20"/>
        </w:rPr>
        <w:t>IRMS</w:t>
      </w:r>
      <w:proofErr w:type="spellEnd"/>
      <w:r>
        <w:rPr>
          <w:rFonts w:ascii="Courier New" w:hAnsi="Courier New" w:cs="Courier New"/>
          <w:sz w:val="20"/>
          <w:szCs w:val="20"/>
        </w:rPr>
        <w:t xml:space="preserve">) at </w:t>
      </w:r>
      <w:proofErr w:type="spellStart"/>
      <w:r>
        <w:rPr>
          <w:rFonts w:ascii="Courier New" w:hAnsi="Courier New" w:cs="Courier New"/>
          <w:sz w:val="20"/>
          <w:szCs w:val="20"/>
        </w:rPr>
        <w:t>NOSAMS</w:t>
      </w:r>
      <w:proofErr w:type="spellEnd"/>
      <w:r>
        <w:rPr>
          <w:rFonts w:ascii="Courier New" w:hAnsi="Courier New" w:cs="Courier New"/>
          <w:sz w:val="20"/>
          <w:szCs w:val="20"/>
        </w:rPr>
        <w:t>.</w:t>
      </w:r>
    </w:p>
    <w:sectPr w:rsidR="00E91676" w:rsidRPr="00E9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A03DD"/>
    <w:multiLevelType w:val="hybridMultilevel"/>
    <w:tmpl w:val="D1DCA380"/>
    <w:lvl w:ilvl="0" w:tplc="3B4E8110">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AA0B5C"/>
    <w:multiLevelType w:val="hybridMultilevel"/>
    <w:tmpl w:val="1F8EEB70"/>
    <w:lvl w:ilvl="0" w:tplc="ADC61E9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51"/>
    <w:rsid w:val="007820FB"/>
    <w:rsid w:val="007D7CA8"/>
    <w:rsid w:val="00906838"/>
    <w:rsid w:val="009B6AA2"/>
    <w:rsid w:val="00B873D0"/>
    <w:rsid w:val="00C018F0"/>
    <w:rsid w:val="00E01A51"/>
    <w:rsid w:val="00E91676"/>
    <w:rsid w:val="00ED000E"/>
    <w:rsid w:val="00EE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4453"/>
  <w15:chartTrackingRefBased/>
  <w15:docId w15:val="{25BC1265-8CCD-4B14-89D9-2892AEDD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A51"/>
    <w:pPr>
      <w:ind w:left="720"/>
      <w:contextualSpacing/>
    </w:pPr>
  </w:style>
  <w:style w:type="character" w:styleId="PlaceholderText">
    <w:name w:val="Placeholder Text"/>
    <w:basedOn w:val="DefaultParagraphFont"/>
    <w:uiPriority w:val="99"/>
    <w:semiHidden/>
    <w:rsid w:val="00C018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Tinari, Abigail</dc:creator>
  <cp:keywords/>
  <dc:description/>
  <cp:lastModifiedBy>Tinari, Abigail</cp:lastModifiedBy>
  <cp:revision>2</cp:revision>
  <dcterms:created xsi:type="dcterms:W3CDTF">2021-04-13T20:31:00Z</dcterms:created>
  <dcterms:modified xsi:type="dcterms:W3CDTF">2021-04-13T20:31:00Z</dcterms:modified>
</cp:coreProperties>
</file>