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784B7" w14:textId="0D401E46" w:rsidR="00E437AA" w:rsidRPr="00E437AA" w:rsidRDefault="00C14CE6" w:rsidP="00915019">
      <w:pPr>
        <w:rPr>
          <w:b/>
        </w:rPr>
      </w:pPr>
      <w:r>
        <w:rPr>
          <w:b/>
        </w:rPr>
        <w:t>xx</w:t>
      </w:r>
      <w:r w:rsidR="00E437AA" w:rsidRPr="00E437AA">
        <w:rPr>
          <w:b/>
        </w:rPr>
        <w:t>.1 Deployments</w:t>
      </w:r>
    </w:p>
    <w:p w14:paraId="4C45500B" w14:textId="78B77182" w:rsidR="00915019" w:rsidRPr="00915019" w:rsidRDefault="00915019" w:rsidP="00915019">
      <w:r w:rsidRPr="00915019">
        <w:t xml:space="preserve">A total of </w:t>
      </w:r>
      <w:r w:rsidR="00C14CE6">
        <w:t>8</w:t>
      </w:r>
      <w:r w:rsidRPr="00915019">
        <w:t xml:space="preserve"> biogeochemical</w:t>
      </w:r>
      <w:r w:rsidR="00C14CE6">
        <w:t xml:space="preserve"> (BGC)</w:t>
      </w:r>
      <w:r w:rsidRPr="00915019">
        <w:t xml:space="preserve"> Argo </w:t>
      </w:r>
      <w:r>
        <w:t xml:space="preserve">floats were deployed as part </w:t>
      </w:r>
      <w:r w:rsidRPr="00915019">
        <w:t xml:space="preserve">of the </w:t>
      </w:r>
      <w:r w:rsidR="00C14CE6">
        <w:t>NSF-funded Global Ocean Biogeochemistry (GO-BGC)</w:t>
      </w:r>
      <w:r w:rsidRPr="00915019">
        <w:t xml:space="preserve"> program</w:t>
      </w:r>
      <w:r w:rsidR="00C14CE6">
        <w:t xml:space="preserve"> (https://go-bgc.org)</w:t>
      </w:r>
      <w:r w:rsidRPr="00915019">
        <w:t xml:space="preserve">. Each deployment occurred with the use of a line strung to the float. Deployments were done on departure from a CTD station while the ship was steaming at </w:t>
      </w:r>
      <w:r>
        <w:t>~2</w:t>
      </w:r>
      <w:r w:rsidRPr="00915019">
        <w:t xml:space="preserve"> knots.</w:t>
      </w:r>
      <w:r>
        <w:t xml:space="preserve"> The</w:t>
      </w:r>
      <w:r w:rsidRPr="00915019">
        <w:t xml:space="preserve"> floats </w:t>
      </w:r>
      <w:r>
        <w:t>are</w:t>
      </w:r>
      <w:r w:rsidRPr="00915019">
        <w:t xml:space="preserve"> self-activating, so no initial operations </w:t>
      </w:r>
      <w:r w:rsidR="00C14CE6">
        <w:t>w</w:t>
      </w:r>
      <w:r w:rsidRPr="00915019">
        <w:t xml:space="preserve">ere required before their deployment to activate them. </w:t>
      </w:r>
    </w:p>
    <w:p w14:paraId="598AEEEE" w14:textId="77777777" w:rsidR="00454CFE" w:rsidRDefault="00454CFE" w:rsidP="00915019"/>
    <w:p w14:paraId="633F85A1" w14:textId="452CC9FD" w:rsidR="00442BB7" w:rsidRPr="00E437AA" w:rsidRDefault="00C14CE6" w:rsidP="00915019">
      <w:pPr>
        <w:rPr>
          <w:b/>
        </w:rPr>
      </w:pPr>
      <w:r>
        <w:rPr>
          <w:b/>
        </w:rPr>
        <w:t>xx</w:t>
      </w:r>
      <w:r w:rsidR="00442BB7" w:rsidRPr="00E437AA">
        <w:rPr>
          <w:b/>
        </w:rPr>
        <w:t xml:space="preserve">.1.1 </w:t>
      </w:r>
      <w:r>
        <w:rPr>
          <w:b/>
        </w:rPr>
        <w:t>GO-BGC</w:t>
      </w:r>
      <w:r w:rsidR="00442BB7" w:rsidRPr="00E437AA">
        <w:rPr>
          <w:b/>
        </w:rPr>
        <w:t xml:space="preserve"> </w:t>
      </w:r>
      <w:r w:rsidR="00BE7F71">
        <w:rPr>
          <w:b/>
        </w:rPr>
        <w:t xml:space="preserve">profiling </w:t>
      </w:r>
      <w:r w:rsidR="00442BB7" w:rsidRPr="00E437AA">
        <w:rPr>
          <w:b/>
        </w:rPr>
        <w:t>floats</w:t>
      </w:r>
    </w:p>
    <w:p w14:paraId="5CD3AAAF" w14:textId="4939F088" w:rsidR="00442BB7" w:rsidRDefault="00442BB7" w:rsidP="00915019">
      <w:r w:rsidRPr="00442BB7">
        <w:rPr>
          <w:b/>
        </w:rPr>
        <w:t>PIs</w:t>
      </w:r>
      <w:r>
        <w:t xml:space="preserve">: </w:t>
      </w:r>
      <w:r w:rsidR="00BE7F71">
        <w:t xml:space="preserve">Kenneth Johnson (MBARI), Steven Riser (UW), Jorge Sarmiento (Princeton), </w:t>
      </w:r>
      <w:r>
        <w:t>Lynne Talley (UCSD/SIO)</w:t>
      </w:r>
      <w:r w:rsidR="00BE7F71">
        <w:t xml:space="preserve">, Susan </w:t>
      </w:r>
      <w:proofErr w:type="spellStart"/>
      <w:r w:rsidR="00BE7F71">
        <w:t>Wijffels</w:t>
      </w:r>
      <w:proofErr w:type="spellEnd"/>
      <w:r w:rsidR="00BE7F71">
        <w:t xml:space="preserve"> (WHOI)</w:t>
      </w:r>
    </w:p>
    <w:p w14:paraId="6D55A525" w14:textId="093BCDA5" w:rsidR="00E437AA" w:rsidRDefault="00442BB7" w:rsidP="00915019">
      <w:r w:rsidRPr="00442BB7">
        <w:rPr>
          <w:b/>
        </w:rPr>
        <w:t>Shipboard personnel</w:t>
      </w:r>
      <w:r>
        <w:t>:</w:t>
      </w:r>
      <w:r w:rsidR="00454CFE">
        <w:t xml:space="preserve"> </w:t>
      </w:r>
      <w:r w:rsidR="00BE7F71">
        <w:t xml:space="preserve">Andreas </w:t>
      </w:r>
      <w:proofErr w:type="spellStart"/>
      <w:r w:rsidR="00BE7F71">
        <w:t>Thurnherr</w:t>
      </w:r>
      <w:proofErr w:type="spellEnd"/>
      <w:r>
        <w:t xml:space="preserve"> (</w:t>
      </w:r>
      <w:r w:rsidR="00BE7F71">
        <w:t>LDEO</w:t>
      </w:r>
      <w:r>
        <w:t xml:space="preserve">), </w:t>
      </w:r>
      <w:r w:rsidR="00BE7F71">
        <w:t xml:space="preserve">Elizabeth Ricci (UW SSSG), Stephen </w:t>
      </w:r>
      <w:proofErr w:type="spellStart"/>
      <w:r w:rsidR="00BE7F71">
        <w:t>Jalickee</w:t>
      </w:r>
      <w:proofErr w:type="spellEnd"/>
      <w:r w:rsidR="00BE7F71">
        <w:t xml:space="preserve"> (UW SSSG)</w:t>
      </w:r>
    </w:p>
    <w:p w14:paraId="78D22E4B" w14:textId="3246FA31" w:rsidR="00E437AA" w:rsidRDefault="00E437AA" w:rsidP="00915019"/>
    <w:p w14:paraId="1919C695" w14:textId="31035AF2" w:rsidR="00E437AA" w:rsidRDefault="00C14CE6" w:rsidP="00E437AA">
      <w:r>
        <w:t>8</w:t>
      </w:r>
      <w:r w:rsidR="00E437AA" w:rsidRPr="00915019">
        <w:t xml:space="preserve"> biogeochemical</w:t>
      </w:r>
      <w:r w:rsidR="00BE7F71">
        <w:t xml:space="preserve"> (BGC)</w:t>
      </w:r>
      <w:r w:rsidR="00E437AA" w:rsidRPr="00915019">
        <w:t xml:space="preserve"> Argo </w:t>
      </w:r>
      <w:r w:rsidR="00E437AA">
        <w:t>floats were deployed</w:t>
      </w:r>
      <w:r w:rsidR="00BE7F71">
        <w:t xml:space="preserve"> on A20</w:t>
      </w:r>
      <w:r w:rsidR="00E437AA">
        <w:t xml:space="preserve"> as part </w:t>
      </w:r>
      <w:r w:rsidR="00E437AA" w:rsidRPr="00915019">
        <w:t xml:space="preserve">of the </w:t>
      </w:r>
      <w:r>
        <w:t>Global Ocean Biogeochemistry (GO-BGC)</w:t>
      </w:r>
      <w:r w:rsidRPr="00915019">
        <w:t xml:space="preserve"> program</w:t>
      </w:r>
      <w:r>
        <w:t xml:space="preserve"> (</w:t>
      </w:r>
      <w:hyperlink r:id="rId4" w:history="1">
        <w:r w:rsidR="00FF7859" w:rsidRPr="00125EB2">
          <w:rPr>
            <w:rStyle w:val="Hyperlink"/>
          </w:rPr>
          <w:t>https://go-bgc.org</w:t>
        </w:r>
      </w:hyperlink>
      <w:r>
        <w:t>)</w:t>
      </w:r>
      <w:r w:rsidR="00FF7859">
        <w:t>, which is funded</w:t>
      </w:r>
      <w:r w:rsidR="00E437AA" w:rsidRPr="00E437AA">
        <w:t xml:space="preserve"> </w:t>
      </w:r>
      <w:r w:rsidR="00E437AA" w:rsidRPr="00FF7859">
        <w:rPr>
          <w:color w:val="000000" w:themeColor="text1"/>
        </w:rPr>
        <w:t>by NSF</w:t>
      </w:r>
      <w:r w:rsidR="00FF7859" w:rsidRPr="00FF7859">
        <w:rPr>
          <w:color w:val="000000" w:themeColor="text1"/>
        </w:rPr>
        <w:t xml:space="preserve"> </w:t>
      </w:r>
      <w:r w:rsidR="00FF7859" w:rsidRPr="00FF7859">
        <w:rPr>
          <w:color w:val="000000" w:themeColor="text1"/>
          <w:shd w:val="clear" w:color="auto" w:fill="FFFFFF"/>
        </w:rPr>
        <w:t>Award 1946578</w:t>
      </w:r>
      <w:r w:rsidR="00E437AA" w:rsidRPr="00FF7859">
        <w:rPr>
          <w:color w:val="000000" w:themeColor="text1"/>
        </w:rPr>
        <w:t xml:space="preserve">. </w:t>
      </w:r>
      <w:r w:rsidRPr="00FF7859">
        <w:rPr>
          <w:color w:val="000000" w:themeColor="text1"/>
        </w:rPr>
        <w:t>The</w:t>
      </w:r>
      <w:r>
        <w:t xml:space="preserve">se BGC Argo floats on A20 were the first in this program, which is slated to grow to 500 floats globally over the next 5 years. GO-BGC contributes to international and US BGC-Argo, and all floats conform to Argo mission requirements. </w:t>
      </w:r>
      <w:r w:rsidR="00871D89">
        <w:t xml:space="preserve">Data are freely available through the Argo data portals and from the GO-BGC website. </w:t>
      </w:r>
      <w:r>
        <w:t xml:space="preserve">BGC-Argo </w:t>
      </w:r>
      <w:r w:rsidR="00E437AA">
        <w:t xml:space="preserve">floats are helping </w:t>
      </w:r>
      <w:r>
        <w:t xml:space="preserve">to </w:t>
      </w:r>
      <w:r w:rsidR="00E437AA">
        <w:t xml:space="preserve">resolve seasonal cycles of </w:t>
      </w:r>
      <w:r w:rsidR="00203298">
        <w:t xml:space="preserve">many key </w:t>
      </w:r>
      <w:r w:rsidR="00E437AA">
        <w:t>properties</w:t>
      </w:r>
      <w:r w:rsidR="00203298">
        <w:t xml:space="preserve"> that </w:t>
      </w:r>
      <w:r w:rsidR="00E437AA">
        <w:t>are relevant to global biogeochemical processes.</w:t>
      </w:r>
    </w:p>
    <w:p w14:paraId="4552E764" w14:textId="1883BA94" w:rsidR="00BE7F71" w:rsidRDefault="00BE7F71" w:rsidP="00E437AA"/>
    <w:p w14:paraId="10996BAD" w14:textId="1E89E53E" w:rsidR="00BE7F71" w:rsidRDefault="00BE7F71" w:rsidP="00E437AA">
      <w:r>
        <w:t xml:space="preserve">The Atlantic sector for GO-BGC is led by the WHOI Argo group (Susan </w:t>
      </w:r>
      <w:proofErr w:type="spellStart"/>
      <w:r>
        <w:t>Wijffels</w:t>
      </w:r>
      <w:proofErr w:type="spellEnd"/>
      <w:r>
        <w:t xml:space="preserve">, Roo Nicholson; planning Pelle Robbins), who </w:t>
      </w:r>
      <w:r w:rsidR="00871D89">
        <w:t>planned</w:t>
      </w:r>
      <w:r>
        <w:t xml:space="preserve"> the float deployment locations</w:t>
      </w:r>
      <w:r w:rsidR="00871D89">
        <w:t xml:space="preserve"> to span the length of both A20 and A22</w:t>
      </w:r>
      <w:r>
        <w:t>.</w:t>
      </w:r>
    </w:p>
    <w:p w14:paraId="5FB05665" w14:textId="38EF8758" w:rsidR="00E437AA" w:rsidRDefault="00E437AA" w:rsidP="00915019"/>
    <w:p w14:paraId="4492308E" w14:textId="26BF7718" w:rsidR="00E437AA" w:rsidRDefault="00E437AA" w:rsidP="00E437AA">
      <w:r w:rsidRPr="00915019">
        <w:t xml:space="preserve">The floats have a 10-day cycle. After an initial test dive, the floats descend to a parking depth of 1000 m, and then drift for 10 days with the ocean currents; after the 10-day drift, the floats dive to 2000 m and then ascend to the surface, during which data are measured and saved. The 2000 m-surface data profiles are then sent to shore via Iridium Satellite communication, using an antenna located at the top of the float. </w:t>
      </w:r>
      <w:r>
        <w:t>The floats deployed were UW-modified Teledyne Webb Apex floats. The floats are equipped with CTD, oxygen, nitrate, FLBB bio-optical, and pH sensors</w:t>
      </w:r>
      <w:r w:rsidRPr="00915019">
        <w:t>.</w:t>
      </w:r>
    </w:p>
    <w:p w14:paraId="1BA973E2" w14:textId="77777777" w:rsidR="00E437AA" w:rsidRDefault="00E437AA" w:rsidP="00E437AA"/>
    <w:p w14:paraId="12C1D13F" w14:textId="3044B46B" w:rsidR="00E437AA" w:rsidRDefault="00BE7F71" w:rsidP="00E437AA">
      <w:r>
        <w:t>These 8 floats and 4 additional floats for the subsequent A22 voyage were readied at U. Washington (S. Riser Argo lab), and shipped to Woods Hole</w:t>
      </w:r>
      <w:r w:rsidR="00753B3B">
        <w:t xml:space="preserve"> Oceanographic Institution (WHOI)</w:t>
      </w:r>
      <w:r>
        <w:t xml:space="preserve">.  In Woods Hole, UW </w:t>
      </w:r>
      <w:r w:rsidR="00753B3B">
        <w:t xml:space="preserve">Argo </w:t>
      </w:r>
      <w:r>
        <w:t xml:space="preserve">engineer Greg </w:t>
      </w:r>
      <w:proofErr w:type="spellStart"/>
      <w:r>
        <w:t>Brusseau</w:t>
      </w:r>
      <w:proofErr w:type="spellEnd"/>
      <w:r w:rsidR="00E437AA">
        <w:t xml:space="preserve"> tested each float </w:t>
      </w:r>
      <w:r>
        <w:t>prior to loading on R/V Thompson</w:t>
      </w:r>
      <w:r w:rsidR="00E437AA">
        <w:t xml:space="preserve">. </w:t>
      </w:r>
      <w:r w:rsidR="00753B3B">
        <w:t>WHOI</w:t>
      </w:r>
      <w:r>
        <w:t xml:space="preserve"> provided excellent </w:t>
      </w:r>
      <w:r w:rsidR="00753B3B">
        <w:t xml:space="preserve">high-bay </w:t>
      </w:r>
      <w:r>
        <w:t xml:space="preserve">lab space with </w:t>
      </w:r>
      <w:r w:rsidR="00753B3B">
        <w:t xml:space="preserve">an </w:t>
      </w:r>
      <w:r>
        <w:t>adjacent outdoor parking lot where it was possible to test the floats, to satisfy the Covid19 pandemic isolation requirements.</w:t>
      </w:r>
    </w:p>
    <w:p w14:paraId="3E7B48BA" w14:textId="1AA1E41C" w:rsidR="005F676A" w:rsidRDefault="005F676A" w:rsidP="00E437AA"/>
    <w:p w14:paraId="5B1FDACA" w14:textId="10106095" w:rsidR="005F676A" w:rsidRPr="005F676A" w:rsidRDefault="005F676A" w:rsidP="005F676A">
      <w:r w:rsidRPr="005F676A">
        <w:t xml:space="preserve">Before the deployment of each float, the </w:t>
      </w:r>
      <w:r>
        <w:t>FLBB</w:t>
      </w:r>
      <w:r w:rsidRPr="005F676A">
        <w:t xml:space="preserve"> and the nitrate sensors were carefully cleaned using lens wipes, DI water and lens paper. </w:t>
      </w:r>
      <w:r w:rsidR="00BE7F71">
        <w:t xml:space="preserve">Co-chief scientist Andreas </w:t>
      </w:r>
      <w:proofErr w:type="spellStart"/>
      <w:r w:rsidR="00BE7F71">
        <w:t>Thurnherr</w:t>
      </w:r>
      <w:proofErr w:type="spellEnd"/>
      <w:r w:rsidR="00BE7F71">
        <w:t xml:space="preserve"> and Thompson marine technicians Elizabeth Ricci and </w:t>
      </w:r>
      <w:r w:rsidR="00753B3B">
        <w:t xml:space="preserve">Stephen </w:t>
      </w:r>
      <w:proofErr w:type="spellStart"/>
      <w:r w:rsidR="00753B3B">
        <w:t>Jalickee</w:t>
      </w:r>
      <w:proofErr w:type="spellEnd"/>
      <w:r w:rsidR="00753B3B">
        <w:t xml:space="preserve"> </w:t>
      </w:r>
      <w:r w:rsidRPr="005F676A">
        <w:t xml:space="preserve">were in charge of the </w:t>
      </w:r>
      <w:r w:rsidR="00753B3B">
        <w:t>GO-BGC</w:t>
      </w:r>
      <w:r w:rsidRPr="005F676A">
        <w:t xml:space="preserve"> float deployments. Additional assistance was </w:t>
      </w:r>
      <w:r w:rsidR="00753B3B">
        <w:t>provided</w:t>
      </w:r>
      <w:r w:rsidRPr="005F676A">
        <w:t xml:space="preserve"> </w:t>
      </w:r>
      <w:r w:rsidRPr="00052FC9">
        <w:t xml:space="preserve">by </w:t>
      </w:r>
      <w:r w:rsidR="00052FC9" w:rsidRPr="00052FC9">
        <w:t xml:space="preserve">Stephanie </w:t>
      </w:r>
      <w:proofErr w:type="spellStart"/>
      <w:r w:rsidR="00052FC9" w:rsidRPr="00052FC9">
        <w:t>O’Daly</w:t>
      </w:r>
      <w:proofErr w:type="spellEnd"/>
      <w:r w:rsidR="00052FC9" w:rsidRPr="00052FC9">
        <w:t xml:space="preserve"> and the ABs on watch</w:t>
      </w:r>
      <w:r w:rsidRPr="00052FC9">
        <w:t>. The procedure required the use of a line strung through the deployment collar of the float. Each deployment occurred off the fantail while the ship was steaming at about 2 knots.</w:t>
      </w:r>
      <w:r w:rsidRPr="005F676A">
        <w:t xml:space="preserve"> </w:t>
      </w:r>
      <w:r w:rsidR="00753B3B">
        <w:t xml:space="preserve">Deployments were smooth with the exception of float 5906440 (UW ID 19107), during which the line tangled </w:t>
      </w:r>
      <w:r w:rsidR="00753B3B">
        <w:lastRenderedPageBreak/>
        <w:t xml:space="preserve">and the float was freed with a hook; a slight line </w:t>
      </w:r>
      <w:proofErr w:type="spellStart"/>
      <w:r w:rsidR="00753B3B">
        <w:t>hangup</w:t>
      </w:r>
      <w:proofErr w:type="spellEnd"/>
      <w:r w:rsidR="00753B3B">
        <w:t xml:space="preserve"> also occurred for float 5906434 (UW ID 19970).</w:t>
      </w:r>
    </w:p>
    <w:p w14:paraId="701952B8" w14:textId="77777777" w:rsidR="005F676A" w:rsidRPr="005F676A" w:rsidRDefault="005F676A" w:rsidP="005F676A"/>
    <w:p w14:paraId="727E702E" w14:textId="378E6E83" w:rsidR="005F676A" w:rsidRPr="005F676A" w:rsidRDefault="00FF7859" w:rsidP="005F676A">
      <w:r>
        <w:t>Float</w:t>
      </w:r>
      <w:r w:rsidR="005F676A" w:rsidRPr="005F676A">
        <w:t xml:space="preserve"> deployments occurred after the completion of </w:t>
      </w:r>
      <w:r w:rsidR="005F676A">
        <w:t>a</w:t>
      </w:r>
      <w:r w:rsidR="005F676A" w:rsidRPr="005F676A">
        <w:t xml:space="preserve"> CTD station</w:t>
      </w:r>
      <w:r w:rsidR="005F676A">
        <w:t xml:space="preserve">. </w:t>
      </w:r>
      <w:r w:rsidR="005F676A" w:rsidRPr="005F676A">
        <w:t xml:space="preserve">For all deployments, samples of nutrients, salinity, POC/HPLC, DIC, pH and </w:t>
      </w:r>
      <w:r w:rsidR="00E24D71">
        <w:t>a</w:t>
      </w:r>
      <w:r w:rsidR="005F676A" w:rsidRPr="005F676A">
        <w:t xml:space="preserve">lkalinity were taken at each depth, at least down to 2000 m. The HPLC and POC samples were taken from </w:t>
      </w:r>
      <w:proofErr w:type="spellStart"/>
      <w:r w:rsidR="005F676A" w:rsidRPr="005F676A">
        <w:t>Niskin</w:t>
      </w:r>
      <w:proofErr w:type="spellEnd"/>
      <w:r w:rsidR="005F676A" w:rsidRPr="005F676A">
        <w:t xml:space="preserve"> bottles tripped as duplicates, at the surface and at the chlorophyll maximum depths (DCM). The samples were filtered by</w:t>
      </w:r>
      <w:r w:rsidR="00E24D71">
        <w:t xml:space="preserve"> </w:t>
      </w:r>
      <w:r w:rsidR="00753B3B">
        <w:t>Susan Becker</w:t>
      </w:r>
      <w:r w:rsidR="005F676A" w:rsidRPr="005F676A">
        <w:t xml:space="preserve">, and will be sent frozen to the U.S. for analysis (NASA for HPLC and </w:t>
      </w:r>
      <w:r w:rsidR="00753B3B">
        <w:t>SIO</w:t>
      </w:r>
      <w:r w:rsidR="005F676A" w:rsidRPr="005F676A">
        <w:t xml:space="preserve"> for POC). </w:t>
      </w:r>
    </w:p>
    <w:p w14:paraId="77A28327" w14:textId="77777777" w:rsidR="005F676A" w:rsidRPr="005F676A" w:rsidRDefault="005F676A" w:rsidP="005F676A"/>
    <w:p w14:paraId="0FC220D7" w14:textId="2CED8060" w:rsidR="005F676A" w:rsidRDefault="005F676A" w:rsidP="005F676A">
      <w:r w:rsidRPr="005F676A">
        <w:t xml:space="preserve">The floats were adopted by different schools </w:t>
      </w:r>
      <w:r w:rsidR="001D6805">
        <w:t xml:space="preserve">and organizations </w:t>
      </w:r>
      <w:r w:rsidRPr="005F676A">
        <w:t>in the U</w:t>
      </w:r>
      <w:r w:rsidR="001D6805">
        <w:t>.</w:t>
      </w:r>
      <w:r w:rsidRPr="005F676A">
        <w:t>S</w:t>
      </w:r>
      <w:r w:rsidR="001D6805">
        <w:t>.</w:t>
      </w:r>
      <w:r w:rsidRPr="005F676A">
        <w:t xml:space="preserve"> as part of the outreach program “Adopt-a-float”</w:t>
      </w:r>
      <w:r w:rsidR="00753B3B">
        <w:t xml:space="preserve"> (</w:t>
      </w:r>
      <w:r w:rsidR="00753B3B" w:rsidRPr="00753B3B">
        <w:t>https://www.go-bgc.org/outreach/adopt-a-float</w:t>
      </w:r>
      <w:r w:rsidR="00753B3B">
        <w:t>)</w:t>
      </w:r>
      <w:r w:rsidRPr="005F676A">
        <w:t xml:space="preserve">. Each class named the float and received the details (and pictures) of their deployment from </w:t>
      </w:r>
      <w:r w:rsidR="00753B3B">
        <w:t xml:space="preserve">Andreas </w:t>
      </w:r>
      <w:proofErr w:type="spellStart"/>
      <w:r w:rsidR="00753B3B">
        <w:t>Thurnherr</w:t>
      </w:r>
      <w:proofErr w:type="spellEnd"/>
      <w:r w:rsidRPr="005F676A">
        <w:t xml:space="preserve">, via </w:t>
      </w:r>
      <w:r w:rsidR="00753B3B">
        <w:t>GO-BGC</w:t>
      </w:r>
      <w:r w:rsidRPr="005F676A">
        <w:t xml:space="preserve"> personnel onshore George Matsumoto (MBARI). Together with their teachers, the students will follow the float</w:t>
      </w:r>
      <w:r w:rsidR="00FF7859">
        <w:t xml:space="preserve"> data</w:t>
      </w:r>
      <w:r w:rsidRPr="005F676A">
        <w:t xml:space="preserve">, which can be easily downloaded and plotted </w:t>
      </w:r>
      <w:r w:rsidR="00753B3B">
        <w:t>from</w:t>
      </w:r>
      <w:r w:rsidRPr="005F676A">
        <w:t xml:space="preserve"> the website</w:t>
      </w:r>
      <w:r w:rsidR="0088465F">
        <w:t xml:space="preserve">. </w:t>
      </w:r>
    </w:p>
    <w:p w14:paraId="30852751" w14:textId="2F29B7C1" w:rsidR="00E437AA" w:rsidRDefault="00E437AA" w:rsidP="00E437AA"/>
    <w:p w14:paraId="121A3F7E" w14:textId="7C67BFAF" w:rsidR="005F676A" w:rsidRPr="005F676A" w:rsidRDefault="006E1BDA" w:rsidP="005F676A">
      <w:r>
        <w:t>Seven of the</w:t>
      </w:r>
      <w:r w:rsidR="005F676A" w:rsidRPr="005F676A">
        <w:t xml:space="preserve"> float</w:t>
      </w:r>
      <w:r w:rsidR="0088465F">
        <w:t xml:space="preserve">s </w:t>
      </w:r>
      <w:r>
        <w:t>began</w:t>
      </w:r>
      <w:r w:rsidR="0088465F">
        <w:t xml:space="preserve"> reporting data</w:t>
      </w:r>
      <w:r>
        <w:t xml:space="preserve"> immediately, beginning with the engineering profile followed within a day by the first profile. The second float deployed (5906341, UW ID 19061) reported its engineering profile, but has not produced full profiles as of the end of the cruise</w:t>
      </w:r>
      <w:r w:rsidR="00FF7859">
        <w:t>.</w:t>
      </w:r>
      <w:r w:rsidR="005F676A" w:rsidRPr="005F676A">
        <w:t xml:space="preserve"> </w:t>
      </w:r>
      <w:r w:rsidR="00FF7859">
        <w:t>I</w:t>
      </w:r>
      <w:r w:rsidR="00937B27">
        <w:t xml:space="preserve">t </w:t>
      </w:r>
      <w:r w:rsidR="0088465F">
        <w:t>appears that</w:t>
      </w:r>
      <w:r w:rsidR="005F676A" w:rsidRPr="005F676A">
        <w:t xml:space="preserve"> </w:t>
      </w:r>
      <w:r w:rsidR="0088465F">
        <w:t>all</w:t>
      </w:r>
      <w:r w:rsidR="005F676A" w:rsidRPr="005F676A">
        <w:t xml:space="preserve"> sensors are working well, </w:t>
      </w:r>
      <w:r w:rsidR="00FF7859">
        <w:t>with the exception of</w:t>
      </w:r>
      <w:r w:rsidR="00937B27">
        <w:t xml:space="preserve"> </w:t>
      </w:r>
      <w:r w:rsidR="005F676A" w:rsidRPr="005F676A">
        <w:t xml:space="preserve">pH </w:t>
      </w:r>
      <w:r w:rsidR="00FF7859">
        <w:t>on</w:t>
      </w:r>
      <w:r w:rsidR="005F676A" w:rsidRPr="005F676A">
        <w:t xml:space="preserve"> float </w:t>
      </w:r>
      <w:r>
        <w:t>5906343 (UW ID 19881)</w:t>
      </w:r>
      <w:r w:rsidR="0088465F">
        <w:t>,</w:t>
      </w:r>
      <w:r>
        <w:t xml:space="preserve"> which provided only a partial first profile.</w:t>
      </w:r>
      <w:r w:rsidR="0088465F">
        <w:t xml:space="preserve"> This was not related to issues with </w:t>
      </w:r>
      <w:r w:rsidR="005F676A" w:rsidRPr="005F676A">
        <w:t xml:space="preserve">the </w:t>
      </w:r>
      <w:r w:rsidR="0088465F">
        <w:t xml:space="preserve">float deployment. </w:t>
      </w:r>
    </w:p>
    <w:p w14:paraId="140289A3" w14:textId="77777777" w:rsidR="005F676A" w:rsidRPr="005F676A" w:rsidRDefault="005F676A" w:rsidP="005F676A"/>
    <w:p w14:paraId="6E7B2BAC" w14:textId="44083A59" w:rsidR="005F676A" w:rsidRDefault="005F676A" w:rsidP="005F676A">
      <w:r w:rsidRPr="005F676A">
        <w:t xml:space="preserve">The location and date of the float deployments are indicated in the table below, with </w:t>
      </w:r>
      <w:r w:rsidR="006E1BDA">
        <w:t xml:space="preserve">WMO and </w:t>
      </w:r>
      <w:r w:rsidRPr="005F676A">
        <w:t>UW ID numbers and the CTD cast at the deployment</w:t>
      </w:r>
      <w:r w:rsidR="00FF7859">
        <w:t xml:space="preserve"> location</w:t>
      </w:r>
      <w:r w:rsidRPr="005F676A">
        <w:t>.</w:t>
      </w:r>
    </w:p>
    <w:p w14:paraId="6D2F2B90" w14:textId="14D24580" w:rsidR="00937B27" w:rsidRDefault="00937B27" w:rsidP="005F676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17"/>
        <w:gridCol w:w="801"/>
        <w:gridCol w:w="1095"/>
        <w:gridCol w:w="1085"/>
        <w:gridCol w:w="1265"/>
        <w:gridCol w:w="951"/>
        <w:gridCol w:w="1151"/>
        <w:gridCol w:w="1985"/>
      </w:tblGrid>
      <w:tr w:rsidR="00FE3C7A" w14:paraId="050A7CC1" w14:textId="77777777" w:rsidTr="00FE3C7A">
        <w:tc>
          <w:tcPr>
            <w:tcW w:w="1017" w:type="dxa"/>
          </w:tcPr>
          <w:p w14:paraId="7673BE2F" w14:textId="4FA6458A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WMO </w:t>
            </w:r>
            <w:r w:rsidRPr="00937B2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01" w:type="dxa"/>
          </w:tcPr>
          <w:p w14:paraId="7ACD6E45" w14:textId="34043BB2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 w:rsidRPr="00937B27">
              <w:rPr>
                <w:b/>
                <w:sz w:val="20"/>
                <w:szCs w:val="20"/>
              </w:rPr>
              <w:t>UW ID</w:t>
            </w:r>
          </w:p>
        </w:tc>
        <w:tc>
          <w:tcPr>
            <w:tcW w:w="1095" w:type="dxa"/>
          </w:tcPr>
          <w:p w14:paraId="5153FACC" w14:textId="4F0B2D15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 w:rsidRPr="00937B27">
              <w:rPr>
                <w:b/>
                <w:sz w:val="20"/>
                <w:szCs w:val="20"/>
              </w:rPr>
              <w:t>Longitude</w:t>
            </w:r>
          </w:p>
        </w:tc>
        <w:tc>
          <w:tcPr>
            <w:tcW w:w="1085" w:type="dxa"/>
          </w:tcPr>
          <w:p w14:paraId="1DC94957" w14:textId="50CA8985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 w:rsidRPr="00937B27">
              <w:rPr>
                <w:b/>
                <w:sz w:val="20"/>
                <w:szCs w:val="20"/>
              </w:rPr>
              <w:t>Latitude</w:t>
            </w:r>
          </w:p>
        </w:tc>
        <w:tc>
          <w:tcPr>
            <w:tcW w:w="1265" w:type="dxa"/>
          </w:tcPr>
          <w:p w14:paraId="4E0F514B" w14:textId="1BDE7701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 w:rsidRPr="00937B27">
              <w:rPr>
                <w:b/>
                <w:sz w:val="20"/>
                <w:szCs w:val="20"/>
              </w:rPr>
              <w:t>Date and Time (UTC)</w:t>
            </w:r>
          </w:p>
        </w:tc>
        <w:tc>
          <w:tcPr>
            <w:tcW w:w="951" w:type="dxa"/>
          </w:tcPr>
          <w:p w14:paraId="1E21ABA7" w14:textId="77777777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 w:rsidRPr="00937B27">
              <w:rPr>
                <w:b/>
                <w:sz w:val="20"/>
                <w:szCs w:val="20"/>
              </w:rPr>
              <w:t xml:space="preserve">CTD </w:t>
            </w:r>
          </w:p>
          <w:p w14:paraId="4B054D22" w14:textId="0CC2E0DD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 w:rsidRPr="00937B27">
              <w:rPr>
                <w:b/>
                <w:sz w:val="20"/>
                <w:szCs w:val="20"/>
              </w:rPr>
              <w:t>Station #</w:t>
            </w:r>
          </w:p>
        </w:tc>
        <w:tc>
          <w:tcPr>
            <w:tcW w:w="1151" w:type="dxa"/>
          </w:tcPr>
          <w:p w14:paraId="0C19E82C" w14:textId="14972279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  <w:r w:rsidR="00161B4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58EC872C" w14:textId="0CC6A887" w:rsidR="00FE3C7A" w:rsidRPr="00937B27" w:rsidRDefault="00FE3C7A" w:rsidP="00FE3C7A">
            <w:pPr>
              <w:jc w:val="center"/>
              <w:rPr>
                <w:b/>
                <w:sz w:val="20"/>
                <w:szCs w:val="20"/>
              </w:rPr>
            </w:pPr>
            <w:r w:rsidRPr="00937B27">
              <w:rPr>
                <w:b/>
                <w:sz w:val="20"/>
                <w:szCs w:val="20"/>
              </w:rPr>
              <w:t>Deployer</w:t>
            </w:r>
          </w:p>
        </w:tc>
      </w:tr>
      <w:tr w:rsidR="00FE3C7A" w14:paraId="4CF36753" w14:textId="77777777" w:rsidTr="00FE3C7A">
        <w:tc>
          <w:tcPr>
            <w:tcW w:w="1017" w:type="dxa"/>
            <w:vAlign w:val="center"/>
          </w:tcPr>
          <w:p w14:paraId="7E609C73" w14:textId="16ADD60B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5906342</w:t>
            </w:r>
          </w:p>
        </w:tc>
        <w:tc>
          <w:tcPr>
            <w:tcW w:w="801" w:type="dxa"/>
          </w:tcPr>
          <w:p w14:paraId="0EF1F95B" w14:textId="63D3CA40" w:rsidR="00FE3C7A" w:rsidRPr="006E1BDA" w:rsidRDefault="00FE3C7A" w:rsidP="00FE3C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19142</w:t>
            </w:r>
          </w:p>
        </w:tc>
        <w:tc>
          <w:tcPr>
            <w:tcW w:w="1095" w:type="dxa"/>
            <w:vAlign w:val="center"/>
          </w:tcPr>
          <w:p w14:paraId="5B5EEBA6" w14:textId="360C3FA2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6E1BDA">
              <w:rPr>
                <w:rFonts w:eastAsiaTheme="minorEastAsia"/>
                <w:sz w:val="20"/>
                <w:szCs w:val="20"/>
              </w:rPr>
              <w:t>-52.3364</w:t>
            </w:r>
          </w:p>
        </w:tc>
        <w:tc>
          <w:tcPr>
            <w:tcW w:w="1085" w:type="dxa"/>
            <w:vAlign w:val="center"/>
          </w:tcPr>
          <w:p w14:paraId="63833384" w14:textId="0783E946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6E1BDA">
              <w:rPr>
                <w:rFonts w:eastAsiaTheme="minorEastAsia"/>
                <w:sz w:val="20"/>
                <w:szCs w:val="20"/>
              </w:rPr>
              <w:t>40.0657</w:t>
            </w:r>
          </w:p>
        </w:tc>
        <w:tc>
          <w:tcPr>
            <w:tcW w:w="1265" w:type="dxa"/>
            <w:vAlign w:val="center"/>
          </w:tcPr>
          <w:p w14:paraId="186DD2B1" w14:textId="577F3E38" w:rsidR="00FE3C7A" w:rsidRDefault="00FE3C7A" w:rsidP="00FE3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03/24/2021</w:t>
            </w:r>
          </w:p>
          <w:p w14:paraId="3B5C4497" w14:textId="1219EB1B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6E1BDA">
              <w:rPr>
                <w:rFonts w:eastAsiaTheme="minorEastAsia"/>
                <w:sz w:val="20"/>
                <w:szCs w:val="20"/>
              </w:rPr>
              <w:t>2347</w:t>
            </w:r>
          </w:p>
        </w:tc>
        <w:tc>
          <w:tcPr>
            <w:tcW w:w="951" w:type="dxa"/>
            <w:vAlign w:val="center"/>
          </w:tcPr>
          <w:p w14:paraId="5F761DBD" w14:textId="4A9C1FE9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51" w:type="dxa"/>
            <w:vAlign w:val="center"/>
          </w:tcPr>
          <w:p w14:paraId="31CEE8B3" w14:textId="6F2E19DD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</w:t>
            </w:r>
          </w:p>
        </w:tc>
        <w:tc>
          <w:tcPr>
            <w:tcW w:w="1985" w:type="dxa"/>
            <w:vAlign w:val="center"/>
          </w:tcPr>
          <w:p w14:paraId="69C1DACA" w14:textId="4A03820D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Stephen </w:t>
            </w:r>
            <w:proofErr w:type="spellStart"/>
            <w:r>
              <w:rPr>
                <w:sz w:val="20"/>
                <w:szCs w:val="20"/>
              </w:rPr>
              <w:t>Jalickee</w:t>
            </w:r>
            <w:proofErr w:type="spellEnd"/>
          </w:p>
        </w:tc>
      </w:tr>
      <w:tr w:rsidR="00FE3C7A" w14:paraId="5676BFA1" w14:textId="77777777" w:rsidTr="00FE3C7A">
        <w:tc>
          <w:tcPr>
            <w:tcW w:w="1017" w:type="dxa"/>
            <w:vAlign w:val="center"/>
          </w:tcPr>
          <w:p w14:paraId="30CFC33B" w14:textId="25F91BE5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5906341</w:t>
            </w:r>
          </w:p>
        </w:tc>
        <w:tc>
          <w:tcPr>
            <w:tcW w:w="801" w:type="dxa"/>
          </w:tcPr>
          <w:p w14:paraId="02AD0AF0" w14:textId="7436B5E2" w:rsidR="00FE3C7A" w:rsidRPr="006E1BD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19061</w:t>
            </w:r>
          </w:p>
        </w:tc>
        <w:tc>
          <w:tcPr>
            <w:tcW w:w="1095" w:type="dxa"/>
            <w:vAlign w:val="center"/>
          </w:tcPr>
          <w:p w14:paraId="2D816D60" w14:textId="73F7C0D1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6E1BDA">
              <w:rPr>
                <w:sz w:val="20"/>
                <w:szCs w:val="20"/>
              </w:rPr>
              <w:t>-52.3324</w:t>
            </w:r>
          </w:p>
        </w:tc>
        <w:tc>
          <w:tcPr>
            <w:tcW w:w="1085" w:type="dxa"/>
            <w:vAlign w:val="center"/>
          </w:tcPr>
          <w:p w14:paraId="594DC587" w14:textId="0380968A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6E1BDA">
              <w:rPr>
                <w:sz w:val="20"/>
                <w:szCs w:val="20"/>
              </w:rPr>
              <w:t>35.8859</w:t>
            </w:r>
          </w:p>
        </w:tc>
        <w:tc>
          <w:tcPr>
            <w:tcW w:w="1265" w:type="dxa"/>
            <w:vAlign w:val="center"/>
          </w:tcPr>
          <w:p w14:paraId="72B9C204" w14:textId="2FE4F9FC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03/27/2021</w:t>
            </w:r>
          </w:p>
          <w:p w14:paraId="179FBB17" w14:textId="18F76ED4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0800</w:t>
            </w:r>
          </w:p>
        </w:tc>
        <w:tc>
          <w:tcPr>
            <w:tcW w:w="951" w:type="dxa"/>
            <w:vAlign w:val="center"/>
          </w:tcPr>
          <w:p w14:paraId="602D1C63" w14:textId="6281139F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51" w:type="dxa"/>
            <w:vAlign w:val="center"/>
          </w:tcPr>
          <w:p w14:paraId="551AB460" w14:textId="409579CA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Clean; No first profile</w:t>
            </w:r>
          </w:p>
        </w:tc>
        <w:tc>
          <w:tcPr>
            <w:tcW w:w="1985" w:type="dxa"/>
            <w:vAlign w:val="center"/>
          </w:tcPr>
          <w:p w14:paraId="7C86B265" w14:textId="64348859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Ricci</w:t>
            </w:r>
          </w:p>
        </w:tc>
      </w:tr>
      <w:tr w:rsidR="00FE3C7A" w14:paraId="2E6AB9F7" w14:textId="77777777" w:rsidTr="00A0159F">
        <w:tc>
          <w:tcPr>
            <w:tcW w:w="1017" w:type="dxa"/>
            <w:vAlign w:val="center"/>
          </w:tcPr>
          <w:p w14:paraId="24A275E8" w14:textId="6275AB84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5906440</w:t>
            </w:r>
          </w:p>
        </w:tc>
        <w:tc>
          <w:tcPr>
            <w:tcW w:w="801" w:type="dxa"/>
            <w:vAlign w:val="center"/>
          </w:tcPr>
          <w:p w14:paraId="07545028" w14:textId="49389E34" w:rsidR="00FE3C7A" w:rsidRPr="006E1BD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19107</w:t>
            </w:r>
          </w:p>
        </w:tc>
        <w:tc>
          <w:tcPr>
            <w:tcW w:w="1095" w:type="dxa"/>
            <w:vAlign w:val="center"/>
          </w:tcPr>
          <w:p w14:paraId="079206C6" w14:textId="43895A27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6E1BDA">
              <w:rPr>
                <w:rFonts w:eastAsiaTheme="minorEastAsia"/>
                <w:sz w:val="20"/>
                <w:szCs w:val="20"/>
              </w:rPr>
              <w:t>-52.33</w:t>
            </w:r>
          </w:p>
        </w:tc>
        <w:tc>
          <w:tcPr>
            <w:tcW w:w="1085" w:type="dxa"/>
            <w:vAlign w:val="center"/>
          </w:tcPr>
          <w:p w14:paraId="081A83F8" w14:textId="5F67983C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6E1BDA">
              <w:rPr>
                <w:rFonts w:eastAsiaTheme="minorEastAsia"/>
                <w:sz w:val="20"/>
                <w:szCs w:val="20"/>
              </w:rPr>
              <w:t>31.66</w:t>
            </w:r>
          </w:p>
        </w:tc>
        <w:tc>
          <w:tcPr>
            <w:tcW w:w="1265" w:type="dxa"/>
            <w:vAlign w:val="center"/>
          </w:tcPr>
          <w:p w14:paraId="75D3186B" w14:textId="1A416637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3/29/2021</w:t>
            </w:r>
          </w:p>
          <w:p w14:paraId="7C4570BF" w14:textId="772CA924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1240</w:t>
            </w:r>
          </w:p>
        </w:tc>
        <w:tc>
          <w:tcPr>
            <w:tcW w:w="951" w:type="dxa"/>
            <w:vAlign w:val="center"/>
          </w:tcPr>
          <w:p w14:paraId="455F5E9A" w14:textId="0CDA9CC5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51" w:type="dxa"/>
            <w:vAlign w:val="center"/>
          </w:tcPr>
          <w:p w14:paraId="0A53C529" w14:textId="5C071A22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tangled</w:t>
            </w:r>
          </w:p>
        </w:tc>
        <w:tc>
          <w:tcPr>
            <w:tcW w:w="1985" w:type="dxa"/>
            <w:vAlign w:val="center"/>
          </w:tcPr>
          <w:p w14:paraId="4ABF77FB" w14:textId="2D0F932E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Ricci</w:t>
            </w:r>
          </w:p>
        </w:tc>
      </w:tr>
      <w:tr w:rsidR="00FE3C7A" w14:paraId="5D3340F8" w14:textId="77777777" w:rsidTr="00A0159F">
        <w:tc>
          <w:tcPr>
            <w:tcW w:w="1017" w:type="dxa"/>
            <w:vAlign w:val="center"/>
          </w:tcPr>
          <w:p w14:paraId="4F6D1424" w14:textId="28F3991C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5906435</w:t>
            </w:r>
          </w:p>
        </w:tc>
        <w:tc>
          <w:tcPr>
            <w:tcW w:w="801" w:type="dxa"/>
            <w:vAlign w:val="center"/>
          </w:tcPr>
          <w:p w14:paraId="68F967B7" w14:textId="6AD131CE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19512</w:t>
            </w:r>
          </w:p>
        </w:tc>
        <w:tc>
          <w:tcPr>
            <w:tcW w:w="1095" w:type="dxa"/>
            <w:vAlign w:val="center"/>
          </w:tcPr>
          <w:p w14:paraId="26AA99FF" w14:textId="4893CBAC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-52.33</w:t>
            </w:r>
          </w:p>
        </w:tc>
        <w:tc>
          <w:tcPr>
            <w:tcW w:w="1085" w:type="dxa"/>
            <w:vAlign w:val="center"/>
          </w:tcPr>
          <w:p w14:paraId="79E29B35" w14:textId="42B712C9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27.64</w:t>
            </w:r>
          </w:p>
        </w:tc>
        <w:tc>
          <w:tcPr>
            <w:tcW w:w="1265" w:type="dxa"/>
            <w:vAlign w:val="center"/>
          </w:tcPr>
          <w:p w14:paraId="5535176B" w14:textId="58A628F4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3/31/2021</w:t>
            </w:r>
          </w:p>
          <w:p w14:paraId="05693CB7" w14:textId="7B1F7CE2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1515</w:t>
            </w:r>
          </w:p>
        </w:tc>
        <w:tc>
          <w:tcPr>
            <w:tcW w:w="951" w:type="dxa"/>
            <w:vAlign w:val="center"/>
          </w:tcPr>
          <w:p w14:paraId="5008A80B" w14:textId="39BCFB85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151" w:type="dxa"/>
            <w:vAlign w:val="center"/>
          </w:tcPr>
          <w:p w14:paraId="209BBB14" w14:textId="0EE45A96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</w:t>
            </w:r>
          </w:p>
        </w:tc>
        <w:tc>
          <w:tcPr>
            <w:tcW w:w="1985" w:type="dxa"/>
            <w:vAlign w:val="center"/>
          </w:tcPr>
          <w:p w14:paraId="1164A5A4" w14:textId="7D318F09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Ricci</w:t>
            </w:r>
          </w:p>
        </w:tc>
      </w:tr>
      <w:tr w:rsidR="00FE3C7A" w14:paraId="4499A72C" w14:textId="77777777" w:rsidTr="00A0159F">
        <w:tc>
          <w:tcPr>
            <w:tcW w:w="1017" w:type="dxa"/>
            <w:vAlign w:val="center"/>
          </w:tcPr>
          <w:p w14:paraId="1250535F" w14:textId="1CCBF272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5906340</w:t>
            </w:r>
          </w:p>
        </w:tc>
        <w:tc>
          <w:tcPr>
            <w:tcW w:w="801" w:type="dxa"/>
            <w:vAlign w:val="center"/>
          </w:tcPr>
          <w:p w14:paraId="59BBFFCB" w14:textId="76709029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19364</w:t>
            </w:r>
          </w:p>
        </w:tc>
        <w:tc>
          <w:tcPr>
            <w:tcW w:w="1095" w:type="dxa"/>
            <w:vAlign w:val="center"/>
          </w:tcPr>
          <w:p w14:paraId="2E9B1EDB" w14:textId="430CB657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-52.33</w:t>
            </w:r>
          </w:p>
        </w:tc>
        <w:tc>
          <w:tcPr>
            <w:tcW w:w="1085" w:type="dxa"/>
            <w:vAlign w:val="center"/>
          </w:tcPr>
          <w:p w14:paraId="0FFB8C02" w14:textId="5638ADC5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24.14</w:t>
            </w:r>
          </w:p>
        </w:tc>
        <w:tc>
          <w:tcPr>
            <w:tcW w:w="1265" w:type="dxa"/>
            <w:vAlign w:val="center"/>
          </w:tcPr>
          <w:p w14:paraId="4036D10A" w14:textId="067EFC17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4/02/2021 1215</w:t>
            </w:r>
          </w:p>
        </w:tc>
        <w:tc>
          <w:tcPr>
            <w:tcW w:w="951" w:type="dxa"/>
            <w:vAlign w:val="center"/>
          </w:tcPr>
          <w:p w14:paraId="29136EEF" w14:textId="220A01DF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151" w:type="dxa"/>
            <w:vAlign w:val="center"/>
          </w:tcPr>
          <w:p w14:paraId="614A33FE" w14:textId="559C7B22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</w:t>
            </w:r>
          </w:p>
        </w:tc>
        <w:tc>
          <w:tcPr>
            <w:tcW w:w="1985" w:type="dxa"/>
            <w:vAlign w:val="center"/>
          </w:tcPr>
          <w:p w14:paraId="76B97A67" w14:textId="22280AFD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Ricci</w:t>
            </w:r>
          </w:p>
        </w:tc>
      </w:tr>
      <w:tr w:rsidR="00FE3C7A" w14:paraId="5D6EEC73" w14:textId="77777777" w:rsidTr="00A0159F">
        <w:tc>
          <w:tcPr>
            <w:tcW w:w="1017" w:type="dxa"/>
            <w:vAlign w:val="center"/>
          </w:tcPr>
          <w:p w14:paraId="55AF103C" w14:textId="4B9281DA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5906339</w:t>
            </w:r>
          </w:p>
        </w:tc>
        <w:tc>
          <w:tcPr>
            <w:tcW w:w="801" w:type="dxa"/>
            <w:vAlign w:val="center"/>
          </w:tcPr>
          <w:p w14:paraId="6B83BFC9" w14:textId="57577D7D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19588</w:t>
            </w:r>
          </w:p>
        </w:tc>
        <w:tc>
          <w:tcPr>
            <w:tcW w:w="1095" w:type="dxa"/>
            <w:vAlign w:val="center"/>
          </w:tcPr>
          <w:p w14:paraId="380EB20D" w14:textId="1C5106EF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-52.33</w:t>
            </w:r>
          </w:p>
        </w:tc>
        <w:tc>
          <w:tcPr>
            <w:tcW w:w="1085" w:type="dxa"/>
            <w:vAlign w:val="center"/>
          </w:tcPr>
          <w:p w14:paraId="26D177EA" w14:textId="4CB717BE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20.0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265" w:type="dxa"/>
            <w:vAlign w:val="center"/>
          </w:tcPr>
          <w:p w14:paraId="37676130" w14:textId="3257AB3A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4/04/2021</w:t>
            </w:r>
          </w:p>
          <w:p w14:paraId="4CF201A8" w14:textId="4FFDE958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  <w:tc>
          <w:tcPr>
            <w:tcW w:w="951" w:type="dxa"/>
            <w:vAlign w:val="center"/>
          </w:tcPr>
          <w:p w14:paraId="5C3491B5" w14:textId="74F698B5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151" w:type="dxa"/>
            <w:vAlign w:val="center"/>
          </w:tcPr>
          <w:p w14:paraId="70F2B00F" w14:textId="2B8BAB31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</w:t>
            </w:r>
          </w:p>
        </w:tc>
        <w:tc>
          <w:tcPr>
            <w:tcW w:w="1985" w:type="dxa"/>
            <w:vAlign w:val="center"/>
          </w:tcPr>
          <w:p w14:paraId="29592F0E" w14:textId="32A7AAFB" w:rsidR="00FE3C7A" w:rsidRPr="00937B27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Ricci</w:t>
            </w:r>
          </w:p>
        </w:tc>
      </w:tr>
      <w:tr w:rsidR="00FE3C7A" w14:paraId="6DD5AAEE" w14:textId="77777777" w:rsidTr="00A0159F">
        <w:tc>
          <w:tcPr>
            <w:tcW w:w="1017" w:type="dxa"/>
            <w:vAlign w:val="center"/>
          </w:tcPr>
          <w:p w14:paraId="1B14FE51" w14:textId="79F02C92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5906343</w:t>
            </w:r>
          </w:p>
        </w:tc>
        <w:tc>
          <w:tcPr>
            <w:tcW w:w="801" w:type="dxa"/>
            <w:vAlign w:val="center"/>
          </w:tcPr>
          <w:p w14:paraId="0CD3D8CE" w14:textId="52760358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19881</w:t>
            </w:r>
          </w:p>
        </w:tc>
        <w:tc>
          <w:tcPr>
            <w:tcW w:w="1095" w:type="dxa"/>
            <w:vAlign w:val="center"/>
          </w:tcPr>
          <w:p w14:paraId="0F6D2C7D" w14:textId="38616E5E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-52.33</w:t>
            </w:r>
          </w:p>
        </w:tc>
        <w:tc>
          <w:tcPr>
            <w:tcW w:w="1085" w:type="dxa"/>
            <w:vAlign w:val="center"/>
          </w:tcPr>
          <w:p w14:paraId="6A5080B0" w14:textId="4C98967B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15.97</w:t>
            </w:r>
          </w:p>
        </w:tc>
        <w:tc>
          <w:tcPr>
            <w:tcW w:w="1265" w:type="dxa"/>
            <w:vAlign w:val="center"/>
          </w:tcPr>
          <w:p w14:paraId="0D528D50" w14:textId="5706F2D1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4/06/2021</w:t>
            </w:r>
          </w:p>
          <w:p w14:paraId="2D65D281" w14:textId="419F34C3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</w:t>
            </w:r>
          </w:p>
        </w:tc>
        <w:tc>
          <w:tcPr>
            <w:tcW w:w="951" w:type="dxa"/>
            <w:vAlign w:val="center"/>
          </w:tcPr>
          <w:p w14:paraId="4F7572E7" w14:textId="334D49A5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151" w:type="dxa"/>
            <w:vAlign w:val="center"/>
          </w:tcPr>
          <w:p w14:paraId="3A18D50A" w14:textId="2B2AE896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Clean; pH partial</w:t>
            </w:r>
          </w:p>
        </w:tc>
        <w:tc>
          <w:tcPr>
            <w:tcW w:w="1985" w:type="dxa"/>
            <w:vAlign w:val="center"/>
          </w:tcPr>
          <w:p w14:paraId="65B1B766" w14:textId="03F679E3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Ricci</w:t>
            </w:r>
          </w:p>
        </w:tc>
      </w:tr>
      <w:tr w:rsidR="00FE3C7A" w14:paraId="398F5CC5" w14:textId="77777777" w:rsidTr="00A0159F">
        <w:tc>
          <w:tcPr>
            <w:tcW w:w="1017" w:type="dxa"/>
            <w:vAlign w:val="center"/>
          </w:tcPr>
          <w:p w14:paraId="3A6F09A0" w14:textId="574C4BB7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5906434</w:t>
            </w:r>
          </w:p>
        </w:tc>
        <w:tc>
          <w:tcPr>
            <w:tcW w:w="801" w:type="dxa"/>
            <w:vAlign w:val="center"/>
          </w:tcPr>
          <w:p w14:paraId="115A1CC4" w14:textId="146B2621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19970</w:t>
            </w:r>
          </w:p>
        </w:tc>
        <w:tc>
          <w:tcPr>
            <w:tcW w:w="1095" w:type="dxa"/>
            <w:vAlign w:val="center"/>
          </w:tcPr>
          <w:p w14:paraId="50D10B7A" w14:textId="36310358" w:rsidR="00FE3C7A" w:rsidRPr="00FE3C7A" w:rsidRDefault="00FE3C7A" w:rsidP="00FE3C7A">
            <w:pPr>
              <w:jc w:val="center"/>
              <w:rPr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-52.33</w:t>
            </w:r>
          </w:p>
        </w:tc>
        <w:tc>
          <w:tcPr>
            <w:tcW w:w="1085" w:type="dxa"/>
            <w:vAlign w:val="center"/>
          </w:tcPr>
          <w:p w14:paraId="7EB224AD" w14:textId="4FD55F6A" w:rsidR="00FE3C7A" w:rsidRPr="00FE3C7A" w:rsidRDefault="00FE3C7A" w:rsidP="00FE3C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E3C7A">
              <w:rPr>
                <w:rFonts w:eastAsiaTheme="minorEastAsia"/>
                <w:sz w:val="20"/>
                <w:szCs w:val="20"/>
              </w:rPr>
              <w:t>11.89</w:t>
            </w:r>
          </w:p>
        </w:tc>
        <w:tc>
          <w:tcPr>
            <w:tcW w:w="1265" w:type="dxa"/>
            <w:vAlign w:val="center"/>
          </w:tcPr>
          <w:p w14:paraId="3C0D8992" w14:textId="4460E4CD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4/08/2021</w:t>
            </w:r>
          </w:p>
          <w:p w14:paraId="13360D7E" w14:textId="486D7E6D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1425</w:t>
            </w:r>
          </w:p>
        </w:tc>
        <w:tc>
          <w:tcPr>
            <w:tcW w:w="951" w:type="dxa"/>
            <w:vAlign w:val="center"/>
          </w:tcPr>
          <w:p w14:paraId="2C532E15" w14:textId="370F1C61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151" w:type="dxa"/>
            <w:vAlign w:val="center"/>
          </w:tcPr>
          <w:p w14:paraId="556082CD" w14:textId="48711CB0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</w:t>
            </w:r>
          </w:p>
        </w:tc>
        <w:tc>
          <w:tcPr>
            <w:tcW w:w="1985" w:type="dxa"/>
            <w:vAlign w:val="center"/>
          </w:tcPr>
          <w:p w14:paraId="7286D467" w14:textId="414060C7" w:rsidR="00FE3C7A" w:rsidRDefault="00FE3C7A" w:rsidP="00FE3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Ricci</w:t>
            </w:r>
          </w:p>
        </w:tc>
      </w:tr>
    </w:tbl>
    <w:p w14:paraId="0970EE45" w14:textId="77777777" w:rsidR="00937B27" w:rsidRDefault="00937B27" w:rsidP="00E437AA"/>
    <w:p w14:paraId="567C9A89" w14:textId="6E8C0DF7" w:rsidR="002A0D27" w:rsidRPr="00915019" w:rsidRDefault="00937B27" w:rsidP="00915019">
      <w:r w:rsidRPr="00E14270">
        <w:rPr>
          <w:b/>
        </w:rPr>
        <w:t>Table 1</w:t>
      </w:r>
      <w:r>
        <w:t xml:space="preserve">. Summary of deployment details for the </w:t>
      </w:r>
      <w:r w:rsidR="006E1BDA">
        <w:t>GO-BGC</w:t>
      </w:r>
      <w:r>
        <w:t xml:space="preserve"> </w:t>
      </w:r>
      <w:r w:rsidR="00FF7859">
        <w:t xml:space="preserve">profiling </w:t>
      </w:r>
      <w:r>
        <w:t>floats.</w:t>
      </w:r>
    </w:p>
    <w:sectPr w:rsidR="002A0D27" w:rsidRPr="00915019" w:rsidSect="004F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EF"/>
    <w:rsid w:val="00052FC9"/>
    <w:rsid w:val="00161B43"/>
    <w:rsid w:val="001D6805"/>
    <w:rsid w:val="0020264C"/>
    <w:rsid w:val="00203298"/>
    <w:rsid w:val="0025554C"/>
    <w:rsid w:val="00442BB7"/>
    <w:rsid w:val="00454CFE"/>
    <w:rsid w:val="004F1B75"/>
    <w:rsid w:val="004F22FA"/>
    <w:rsid w:val="00557696"/>
    <w:rsid w:val="005A1BEF"/>
    <w:rsid w:val="005A2A1C"/>
    <w:rsid w:val="005F676A"/>
    <w:rsid w:val="006E1BDA"/>
    <w:rsid w:val="00753B3B"/>
    <w:rsid w:val="00871D89"/>
    <w:rsid w:val="0088465F"/>
    <w:rsid w:val="00915019"/>
    <w:rsid w:val="00937B27"/>
    <w:rsid w:val="00B92447"/>
    <w:rsid w:val="00BE7F71"/>
    <w:rsid w:val="00C14CE6"/>
    <w:rsid w:val="00E14270"/>
    <w:rsid w:val="00E24D71"/>
    <w:rsid w:val="00E437AA"/>
    <w:rsid w:val="00F64748"/>
    <w:rsid w:val="00FE3C7A"/>
    <w:rsid w:val="00FE4F0E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7141"/>
  <w15:chartTrackingRefBased/>
  <w15:docId w15:val="{88A2FC4F-5E6A-C44D-972D-B1A1EE14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65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37B2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-bg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2021-04-10T18:53:00Z</dcterms:created>
  <dcterms:modified xsi:type="dcterms:W3CDTF">2021-04-15T11:29:00Z</dcterms:modified>
</cp:coreProperties>
</file>