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EB02E" w14:textId="6AE46338" w:rsidR="00BD5535" w:rsidRDefault="00BD5535" w:rsidP="00BD5535">
      <w:pPr>
        <w:autoSpaceDE w:val="0"/>
        <w:autoSpaceDN w:val="0"/>
        <w:adjustRightInd w:val="0"/>
        <w:rPr>
          <w:rFonts w:ascii="Times New Roman" w:hAnsi="Times New Roman" w:cs="Times New Roman"/>
        </w:rPr>
      </w:pPr>
      <w:r>
        <w:rPr>
          <w:rFonts w:ascii="Times New Roman" w:hAnsi="Times New Roman" w:cs="Times New Roman"/>
        </w:rPr>
        <w:t xml:space="preserve">Cruise Report </w:t>
      </w:r>
      <w:r>
        <w:rPr>
          <w:rFonts w:ascii="Times New Roman" w:hAnsi="Times New Roman" w:cs="Times New Roman"/>
        </w:rPr>
        <w:t>INT</w:t>
      </w:r>
    </w:p>
    <w:p w14:paraId="7A39A8ED" w14:textId="77777777" w:rsidR="00BD5535" w:rsidRDefault="00BD5535" w:rsidP="00BD5535">
      <w:pPr>
        <w:autoSpaceDE w:val="0"/>
        <w:autoSpaceDN w:val="0"/>
        <w:adjustRightInd w:val="0"/>
        <w:rPr>
          <w:rFonts w:ascii="Times New Roman" w:hAnsi="Times New Roman" w:cs="Times New Roman"/>
        </w:rPr>
      </w:pPr>
    </w:p>
    <w:p w14:paraId="11129299" w14:textId="384C6AB6" w:rsidR="00BD5535" w:rsidRDefault="00BD5535" w:rsidP="00BD5535">
      <w:pPr>
        <w:autoSpaceDE w:val="0"/>
        <w:autoSpaceDN w:val="0"/>
        <w:adjustRightInd w:val="0"/>
        <w:rPr>
          <w:rFonts w:ascii="Times New Roman" w:hAnsi="Times New Roman" w:cs="Times New Roman"/>
        </w:rPr>
      </w:pPr>
      <w:r>
        <w:rPr>
          <w:rFonts w:ascii="Times New Roman" w:hAnsi="Times New Roman" w:cs="Times New Roman"/>
        </w:rPr>
        <w:t>R/V Thomas G. Thompson</w:t>
      </w:r>
      <w:r>
        <w:rPr>
          <w:rFonts w:ascii="Times New Roman" w:hAnsi="Times New Roman" w:cs="Times New Roman"/>
        </w:rPr>
        <w:t xml:space="preserve"> </w:t>
      </w:r>
      <w:r>
        <w:rPr>
          <w:rFonts w:ascii="Times New Roman" w:hAnsi="Times New Roman" w:cs="Times New Roman"/>
        </w:rPr>
        <w:t>4</w:t>
      </w:r>
      <w:r>
        <w:rPr>
          <w:rFonts w:ascii="Times New Roman" w:hAnsi="Times New Roman" w:cs="Times New Roman"/>
        </w:rPr>
        <w:t>/</w:t>
      </w:r>
      <w:r>
        <w:rPr>
          <w:rFonts w:ascii="Times New Roman" w:hAnsi="Times New Roman" w:cs="Times New Roman"/>
        </w:rPr>
        <w:t>20</w:t>
      </w:r>
      <w:r>
        <w:rPr>
          <w:rFonts w:ascii="Times New Roman" w:hAnsi="Times New Roman" w:cs="Times New Roman"/>
        </w:rPr>
        <w:t>/</w:t>
      </w:r>
      <w:r>
        <w:rPr>
          <w:rFonts w:ascii="Times New Roman" w:hAnsi="Times New Roman" w:cs="Times New Roman"/>
        </w:rPr>
        <w:t>21</w:t>
      </w:r>
      <w:r>
        <w:rPr>
          <w:rFonts w:ascii="Times New Roman" w:hAnsi="Times New Roman" w:cs="Times New Roman"/>
        </w:rPr>
        <w:t xml:space="preserve"> – </w:t>
      </w:r>
      <w:r>
        <w:rPr>
          <w:rFonts w:ascii="Times New Roman" w:hAnsi="Times New Roman" w:cs="Times New Roman"/>
        </w:rPr>
        <w:t>05</w:t>
      </w:r>
      <w:r>
        <w:rPr>
          <w:rFonts w:ascii="Times New Roman" w:hAnsi="Times New Roman" w:cs="Times New Roman"/>
        </w:rPr>
        <w:t>/</w:t>
      </w:r>
      <w:r>
        <w:rPr>
          <w:rFonts w:ascii="Times New Roman" w:hAnsi="Times New Roman" w:cs="Times New Roman"/>
        </w:rPr>
        <w:t>17</w:t>
      </w:r>
      <w:r>
        <w:rPr>
          <w:rFonts w:ascii="Times New Roman" w:hAnsi="Times New Roman" w:cs="Times New Roman"/>
        </w:rPr>
        <w:t>/20</w:t>
      </w:r>
    </w:p>
    <w:p w14:paraId="108EACDC" w14:textId="77777777" w:rsidR="00BD5535" w:rsidRDefault="00BD5535" w:rsidP="00BD5535">
      <w:pPr>
        <w:autoSpaceDE w:val="0"/>
        <w:autoSpaceDN w:val="0"/>
        <w:adjustRightInd w:val="0"/>
        <w:rPr>
          <w:rFonts w:ascii="Times New Roman" w:hAnsi="Times New Roman" w:cs="Times New Roman"/>
        </w:rPr>
      </w:pPr>
    </w:p>
    <w:p w14:paraId="4C8A2D04" w14:textId="77777777" w:rsidR="00BD5535" w:rsidRPr="00F3160C" w:rsidRDefault="00BD5535" w:rsidP="00BD5535">
      <w:pPr>
        <w:autoSpaceDE w:val="0"/>
        <w:autoSpaceDN w:val="0"/>
        <w:adjustRightInd w:val="0"/>
        <w:rPr>
          <w:rFonts w:ascii="Times New Roman" w:hAnsi="Times New Roman" w:cs="Times New Roman"/>
          <w:color w:val="000000"/>
        </w:rPr>
      </w:pPr>
      <w:r w:rsidRPr="00F3160C">
        <w:rPr>
          <w:rFonts w:ascii="Times New Roman" w:hAnsi="Times New Roman" w:cs="Times New Roman"/>
          <w:color w:val="000000"/>
        </w:rPr>
        <w:t>P</w:t>
      </w:r>
      <w:r>
        <w:rPr>
          <w:rFonts w:ascii="Times New Roman" w:hAnsi="Times New Roman" w:cs="Times New Roman"/>
          <w:color w:val="000000"/>
        </w:rPr>
        <w:t xml:space="preserve">rincipal </w:t>
      </w:r>
      <w:proofErr w:type="spellStart"/>
      <w:r>
        <w:rPr>
          <w:rFonts w:ascii="Times New Roman" w:hAnsi="Times New Roman" w:cs="Times New Roman"/>
          <w:color w:val="000000"/>
        </w:rPr>
        <w:t>Investgator</w:t>
      </w:r>
      <w:proofErr w:type="spellEnd"/>
    </w:p>
    <w:p w14:paraId="6BEDDC06" w14:textId="77777777" w:rsidR="00BD5535" w:rsidRPr="00F3160C" w:rsidRDefault="00BD5535" w:rsidP="00BD5535">
      <w:pPr>
        <w:autoSpaceDE w:val="0"/>
        <w:autoSpaceDN w:val="0"/>
        <w:adjustRightInd w:val="0"/>
        <w:ind w:firstLine="720"/>
        <w:rPr>
          <w:rFonts w:ascii="Times New Roman" w:hAnsi="Times New Roman" w:cs="Times New Roman"/>
          <w:color w:val="000000"/>
        </w:rPr>
      </w:pPr>
      <w:r w:rsidRPr="00F3160C">
        <w:rPr>
          <w:rFonts w:ascii="Times New Roman" w:hAnsi="Times New Roman" w:cs="Times New Roman"/>
          <w:color w:val="000000"/>
        </w:rPr>
        <w:t>• Craig Carlson (UCSB)</w:t>
      </w:r>
    </w:p>
    <w:p w14:paraId="1F1ECFC3" w14:textId="77777777" w:rsidR="00BD5535" w:rsidRDefault="00BD5535" w:rsidP="00BD5535">
      <w:pPr>
        <w:autoSpaceDE w:val="0"/>
        <w:autoSpaceDN w:val="0"/>
        <w:adjustRightInd w:val="0"/>
        <w:rPr>
          <w:rFonts w:ascii="Times New Roman" w:hAnsi="Times New Roman" w:cs="Times New Roman"/>
          <w:color w:val="000000"/>
        </w:rPr>
      </w:pPr>
    </w:p>
    <w:p w14:paraId="7C152FCC" w14:textId="77777777" w:rsidR="00BD5535" w:rsidRPr="00F3160C" w:rsidRDefault="00BD5535" w:rsidP="00BD5535">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Cruise Participant </w:t>
      </w:r>
      <w:r w:rsidRPr="00F3160C">
        <w:rPr>
          <w:rFonts w:ascii="Times New Roman" w:hAnsi="Times New Roman" w:cs="Times New Roman"/>
          <w:color w:val="000000"/>
        </w:rPr>
        <w:t xml:space="preserve"> </w:t>
      </w:r>
    </w:p>
    <w:p w14:paraId="53D79BA5" w14:textId="77777777" w:rsidR="00BD5535" w:rsidRPr="00F3160C" w:rsidRDefault="00BD5535" w:rsidP="00BD5535">
      <w:pPr>
        <w:autoSpaceDE w:val="0"/>
        <w:autoSpaceDN w:val="0"/>
        <w:adjustRightInd w:val="0"/>
        <w:ind w:firstLine="720"/>
        <w:rPr>
          <w:rFonts w:ascii="Times New Roman" w:hAnsi="Times New Roman" w:cs="Times New Roman"/>
          <w:color w:val="000000"/>
        </w:rPr>
      </w:pPr>
      <w:r w:rsidRPr="00F3160C">
        <w:rPr>
          <w:rFonts w:ascii="Times New Roman" w:hAnsi="Times New Roman" w:cs="Times New Roman"/>
          <w:color w:val="000000"/>
        </w:rPr>
        <w:t>• Chance English</w:t>
      </w:r>
    </w:p>
    <w:p w14:paraId="117AF092" w14:textId="77777777" w:rsidR="00BD5535" w:rsidRDefault="00BD5535" w:rsidP="00BD5535">
      <w:pPr>
        <w:autoSpaceDE w:val="0"/>
        <w:autoSpaceDN w:val="0"/>
        <w:adjustRightInd w:val="0"/>
        <w:rPr>
          <w:rFonts w:ascii="Times New Roman" w:hAnsi="Times New Roman" w:cs="Times New Roman"/>
          <w:color w:val="000000"/>
        </w:rPr>
      </w:pPr>
    </w:p>
    <w:p w14:paraId="346BCC88" w14:textId="77777777" w:rsidR="00BD5535" w:rsidRPr="00F3160C" w:rsidRDefault="00BD5535" w:rsidP="00BD5535">
      <w:pPr>
        <w:autoSpaceDE w:val="0"/>
        <w:autoSpaceDN w:val="0"/>
        <w:adjustRightInd w:val="0"/>
        <w:rPr>
          <w:rFonts w:ascii="Times New Roman" w:hAnsi="Times New Roman" w:cs="Times New Roman"/>
          <w:color w:val="000000"/>
        </w:rPr>
      </w:pPr>
      <w:r w:rsidRPr="00F3160C">
        <w:rPr>
          <w:rFonts w:ascii="Times New Roman" w:hAnsi="Times New Roman" w:cs="Times New Roman"/>
          <w:color w:val="000000"/>
        </w:rPr>
        <w:t>Analysts</w:t>
      </w:r>
    </w:p>
    <w:p w14:paraId="26925FCA" w14:textId="77777777" w:rsidR="00BD5535" w:rsidRDefault="00BD5535" w:rsidP="00BD5535">
      <w:pPr>
        <w:autoSpaceDE w:val="0"/>
        <w:autoSpaceDN w:val="0"/>
        <w:adjustRightInd w:val="0"/>
        <w:ind w:firstLine="720"/>
        <w:rPr>
          <w:rFonts w:ascii="Times New Roman" w:hAnsi="Times New Roman" w:cs="Times New Roman"/>
          <w:color w:val="000000"/>
        </w:rPr>
      </w:pPr>
      <w:r w:rsidRPr="00F3160C">
        <w:rPr>
          <w:rFonts w:ascii="Times New Roman" w:hAnsi="Times New Roman" w:cs="Times New Roman"/>
          <w:color w:val="000000"/>
        </w:rPr>
        <w:t>•</w:t>
      </w:r>
      <w:r>
        <w:rPr>
          <w:rFonts w:ascii="Times New Roman" w:hAnsi="Times New Roman" w:cs="Times New Roman"/>
          <w:color w:val="000000"/>
        </w:rPr>
        <w:t xml:space="preserve"> Chance English </w:t>
      </w:r>
    </w:p>
    <w:p w14:paraId="58718ED0" w14:textId="77777777" w:rsidR="00BD5535" w:rsidRDefault="00BD5535" w:rsidP="00BD5535">
      <w:pPr>
        <w:autoSpaceDE w:val="0"/>
        <w:autoSpaceDN w:val="0"/>
        <w:adjustRightInd w:val="0"/>
        <w:ind w:firstLine="720"/>
        <w:rPr>
          <w:rFonts w:ascii="Times New Roman" w:hAnsi="Times New Roman" w:cs="Times New Roman"/>
          <w:color w:val="000000"/>
        </w:rPr>
      </w:pPr>
    </w:p>
    <w:p w14:paraId="1780B7E1" w14:textId="69B15B26" w:rsidR="00BD5535" w:rsidRPr="00F3160C" w:rsidRDefault="00BD5535" w:rsidP="00BD5535">
      <w:pPr>
        <w:autoSpaceDE w:val="0"/>
        <w:autoSpaceDN w:val="0"/>
        <w:adjustRightInd w:val="0"/>
        <w:rPr>
          <w:rFonts w:ascii="Times New Roman" w:hAnsi="Times New Roman" w:cs="Times New Roman"/>
          <w:color w:val="000000"/>
        </w:rPr>
      </w:pPr>
      <w:r>
        <w:rPr>
          <w:rFonts w:ascii="Times New Roman" w:hAnsi="Times New Roman" w:cs="Times New Roman"/>
        </w:rPr>
        <w:t>INT (</w:t>
      </w:r>
      <w:r>
        <w:rPr>
          <w:rFonts w:ascii="Times New Roman" w:hAnsi="Times New Roman" w:cs="Times New Roman"/>
        </w:rPr>
        <w:t>Microbial Respiration</w:t>
      </w:r>
      <w:r>
        <w:rPr>
          <w:rFonts w:ascii="Times New Roman" w:hAnsi="Times New Roman" w:cs="Times New Roman"/>
        </w:rPr>
        <w:t>)</w:t>
      </w:r>
    </w:p>
    <w:p w14:paraId="401ADEF2" w14:textId="77777777" w:rsidR="00BD5535" w:rsidRDefault="00BD5535" w:rsidP="00BD5535">
      <w:pPr>
        <w:autoSpaceDE w:val="0"/>
        <w:autoSpaceDN w:val="0"/>
        <w:adjustRightInd w:val="0"/>
        <w:rPr>
          <w:rFonts w:ascii="Times New Roman" w:hAnsi="Times New Roman" w:cs="Times New Roman"/>
          <w:color w:val="000000"/>
        </w:rPr>
      </w:pPr>
    </w:p>
    <w:p w14:paraId="61E7CA32" w14:textId="77777777" w:rsidR="00BD5535" w:rsidRDefault="00BD5535" w:rsidP="00BD5535">
      <w:pPr>
        <w:autoSpaceDE w:val="0"/>
        <w:autoSpaceDN w:val="0"/>
        <w:adjustRightInd w:val="0"/>
        <w:rPr>
          <w:rFonts w:ascii="Times New Roman" w:hAnsi="Times New Roman" w:cs="Times New Roman"/>
          <w:b/>
          <w:color w:val="000000"/>
        </w:rPr>
      </w:pPr>
      <w:r>
        <w:rPr>
          <w:rFonts w:ascii="Times New Roman" w:hAnsi="Times New Roman" w:cs="Times New Roman"/>
          <w:b/>
          <w:color w:val="000000"/>
        </w:rPr>
        <w:t xml:space="preserve">Motivation </w:t>
      </w:r>
    </w:p>
    <w:p w14:paraId="1444C9AB" w14:textId="77777777" w:rsidR="00BD5535" w:rsidRDefault="00BD5535" w:rsidP="00BD5535">
      <w:pPr>
        <w:autoSpaceDE w:val="0"/>
        <w:autoSpaceDN w:val="0"/>
        <w:adjustRightInd w:val="0"/>
        <w:rPr>
          <w:rFonts w:ascii="Times New Roman" w:hAnsi="Times New Roman" w:cs="Times New Roman"/>
          <w:b/>
          <w:color w:val="000000"/>
        </w:rPr>
      </w:pPr>
    </w:p>
    <w:p w14:paraId="2DF94F02" w14:textId="5776D0F3" w:rsidR="00BD5535" w:rsidRDefault="00BD5535" w:rsidP="00BD5535">
      <w:pPr>
        <w:autoSpaceDE w:val="0"/>
        <w:autoSpaceDN w:val="0"/>
        <w:adjustRightInd w:val="0"/>
        <w:rPr>
          <w:rFonts w:ascii="Times New Roman" w:hAnsi="Times New Roman" w:cs="Times New Roman"/>
          <w:bCs/>
          <w:color w:val="000000"/>
        </w:rPr>
      </w:pPr>
      <w:r>
        <w:rPr>
          <w:rFonts w:ascii="Times New Roman" w:hAnsi="Times New Roman" w:cs="Times New Roman"/>
          <w:bCs/>
          <w:color w:val="000000"/>
        </w:rPr>
        <w:t xml:space="preserve">Heterotrophic Respiration is the fundamental process by which organisms obtain energy from organic matter and at the ecosystem level represents the largest sink for organic matter in the ocean. </w:t>
      </w:r>
      <w:r>
        <w:rPr>
          <w:rFonts w:ascii="Times New Roman" w:hAnsi="Times New Roman" w:cs="Times New Roman"/>
          <w:bCs/>
          <w:color w:val="000000"/>
        </w:rPr>
        <w:fldChar w:fldCharType="begin"/>
      </w:r>
      <w:r>
        <w:rPr>
          <w:rFonts w:ascii="Times New Roman" w:hAnsi="Times New Roman" w:cs="Times New Roman"/>
          <w:bCs/>
          <w:color w:val="000000"/>
        </w:rPr>
        <w:instrText xml:space="preserve"> ADDIN ZOTERO_ITEM CSL_CITATION {"citationID":"5Evct51M","properties":{"formattedCitation":"(Del Giorgio &amp; Williams, 2005)","plainCitation":"(Del Giorgio &amp; Williams, 2005)","noteIndex":0},"citationItems":[{"id":986,"uris":["http://zotero.org/users/local/6i4XPSZ8/items/LJFJP5KW"],"uri":["http://zotero.org/users/local/6i4XPSZ8/items/LJFJP5KW"],"itemData":{"id":986,"type":"book","call-number":"QH541.5.W3 R47 2005","collection-title":"Oxford biology","event-place":"Oxford ; New York","ISBN":"978-0-19-852709-1","language":"en","note":"OCLC: ocm56807149","number-of-pages":"315","publisher":"Oxford University Press","publisher-place":"Oxford ; New York","source":"Library of Congress ISBN","title":"Respiration in aquatic ecosystems","editor":[{"family":"Del Giorgio","given":"Paul A."},{"family":"Williams","given":"Peter J.","dropping-particle":"leB"}],"issued":{"date-parts":[["2005"]]}}}],"schema":"https://github.com/citation-style-language/schema/raw/master/csl-citation.json"} </w:instrText>
      </w:r>
      <w:r>
        <w:rPr>
          <w:rFonts w:ascii="Times New Roman" w:hAnsi="Times New Roman" w:cs="Times New Roman"/>
          <w:bCs/>
          <w:color w:val="000000"/>
        </w:rPr>
        <w:fldChar w:fldCharType="separate"/>
      </w:r>
      <w:r>
        <w:rPr>
          <w:rFonts w:ascii="Times New Roman" w:hAnsi="Times New Roman" w:cs="Times New Roman"/>
          <w:bCs/>
          <w:noProof/>
          <w:color w:val="000000"/>
        </w:rPr>
        <w:t>(Del Giorgio &amp; Williams, 2005)</w:t>
      </w:r>
      <w:r>
        <w:rPr>
          <w:rFonts w:ascii="Times New Roman" w:hAnsi="Times New Roman" w:cs="Times New Roman"/>
          <w:bCs/>
          <w:color w:val="000000"/>
        </w:rPr>
        <w:fldChar w:fldCharType="end"/>
      </w:r>
      <w:r>
        <w:rPr>
          <w:rFonts w:ascii="Times New Roman" w:hAnsi="Times New Roman" w:cs="Times New Roman"/>
          <w:bCs/>
          <w:color w:val="000000"/>
        </w:rPr>
        <w:t xml:space="preserve">. Understanding the magnitude and variability of microbial respiration is critical for the understanding the metabolic balance of the ocean and the efficiency at which carbon is stored in the ocean. Measurements for </w:t>
      </w:r>
      <w:r>
        <w:rPr>
          <w:rFonts w:ascii="Times New Roman" w:hAnsi="Times New Roman" w:cs="Times New Roman"/>
          <w:bCs/>
          <w:color w:val="000000"/>
        </w:rPr>
        <w:t>respiration</w:t>
      </w:r>
      <w:r>
        <w:rPr>
          <w:rFonts w:ascii="Times New Roman" w:hAnsi="Times New Roman" w:cs="Times New Roman"/>
          <w:bCs/>
          <w:color w:val="000000"/>
        </w:rPr>
        <w:t xml:space="preserve"> are rarely performed due to constraints in methodology and feasibility and thus respiration remains one of the least constrained parameters in contemporary oceanography </w:t>
      </w:r>
      <w:r>
        <w:rPr>
          <w:rFonts w:ascii="Times New Roman" w:hAnsi="Times New Roman" w:cs="Times New Roman"/>
          <w:bCs/>
          <w:color w:val="000000"/>
        </w:rPr>
        <w:fldChar w:fldCharType="begin"/>
      </w:r>
      <w:r>
        <w:rPr>
          <w:rFonts w:ascii="Times New Roman" w:hAnsi="Times New Roman" w:cs="Times New Roman"/>
          <w:bCs/>
          <w:color w:val="000000"/>
        </w:rPr>
        <w:instrText xml:space="preserve"> ADDIN ZOTERO_ITEM CSL_CITATION {"citationID":"6JCyb02l","properties":{"formattedCitation":"(Robinson, 2019)","plainCitation":"(Robinson, 2019)","noteIndex":0},"citationItems":[{"id":1008,"uris":["http://zotero.org/users/local/6i4XPSZ8/items/EZLMRG36"],"uri":["http://zotero.org/users/local/6i4XPSZ8/items/EZLMRG36"],"itemData":{"id":1008,"type":"article-journal","abstract":"Microbial plankton respiration is the key determinant in the balance between the storage of organic carbon in the oceans or its conversion to carbon dioxide with accompanying consumption of dissolved oxygen. Over the past 50 years, dissolved oxygen concentrations have decreased in many parts of the world’s oceans, and this trend of ocean deoxygenation is predicted to continue. Yet despite its pivotal role in ocean deoxygenation, microbial respiration remains one of the least constrained microbial metabolic processes. Improved understanding of the magnitude and variability of respiration, including attribution to component plankton groups, and quantiﬁcation of the respiratory quotient, would enable better predictions, and projections of the intensity and extent of ocean deoxygenation and of the integrative impact of ocean deoxygenation, ocean acidiﬁcation, warming, and changes in nutrient concentration and stoichiometry on marine carbon storage. This study will synthesize current knowledge of respiration in relation to deoxygenation, including the drivers of its variability, identify key unknowns in our ability to project future scenarios and suggest an approach to move the ﬁeld forward.","container-title":"Frontiers in Marine Science","DOI":"10.3389/fmars.2018.00533","ISSN":"2296-7745","journalAbbreviation":"Front. Mar. Sci.","language":"en","page":"533","source":"DOI.org (Crossref)","title":"Microbial Respiration, the Engine of Ocean Deoxygenation","volume":"5","author":[{"family":"Robinson","given":"Carol"}],"issued":{"date-parts":[["2019",1,17]]}}}],"schema":"https://github.com/citation-style-language/schema/raw/master/csl-citation.json"} </w:instrText>
      </w:r>
      <w:r>
        <w:rPr>
          <w:rFonts w:ascii="Times New Roman" w:hAnsi="Times New Roman" w:cs="Times New Roman"/>
          <w:bCs/>
          <w:color w:val="000000"/>
        </w:rPr>
        <w:fldChar w:fldCharType="separate"/>
      </w:r>
      <w:r>
        <w:rPr>
          <w:rFonts w:ascii="Times New Roman" w:hAnsi="Times New Roman" w:cs="Times New Roman"/>
          <w:bCs/>
          <w:noProof/>
          <w:color w:val="000000"/>
        </w:rPr>
        <w:t>(Robinson, 2019)</w:t>
      </w:r>
      <w:r>
        <w:rPr>
          <w:rFonts w:ascii="Times New Roman" w:hAnsi="Times New Roman" w:cs="Times New Roman"/>
          <w:bCs/>
          <w:color w:val="000000"/>
        </w:rPr>
        <w:fldChar w:fldCharType="end"/>
      </w:r>
      <w:r>
        <w:rPr>
          <w:rFonts w:ascii="Times New Roman" w:hAnsi="Times New Roman" w:cs="Times New Roman"/>
          <w:bCs/>
          <w:color w:val="000000"/>
        </w:rPr>
        <w:t xml:space="preserve">. However, recent advances in methodology </w:t>
      </w:r>
      <w:r>
        <w:rPr>
          <w:rFonts w:ascii="Times New Roman" w:hAnsi="Times New Roman" w:cs="Times New Roman"/>
          <w:bCs/>
          <w:color w:val="000000"/>
        </w:rPr>
        <w:t>via the</w:t>
      </w:r>
      <w:r>
        <w:rPr>
          <w:rFonts w:ascii="Times New Roman" w:hAnsi="Times New Roman" w:cs="Times New Roman"/>
          <w:bCs/>
          <w:color w:val="000000"/>
        </w:rPr>
        <w:t xml:space="preserve"> </w:t>
      </w:r>
      <w:proofErr w:type="spellStart"/>
      <w:r>
        <w:rPr>
          <w:rFonts w:ascii="Times New Roman" w:hAnsi="Times New Roman" w:cs="Times New Roman"/>
          <w:bCs/>
          <w:color w:val="000000"/>
        </w:rPr>
        <w:t>Iodo</w:t>
      </w:r>
      <w:proofErr w:type="spellEnd"/>
      <w:r>
        <w:rPr>
          <w:rFonts w:ascii="Times New Roman" w:hAnsi="Times New Roman" w:cs="Times New Roman"/>
          <w:bCs/>
          <w:color w:val="000000"/>
        </w:rPr>
        <w:t xml:space="preserve">-nitro-tetrazolium (INT) reduction assay have improved the ability to </w:t>
      </w:r>
      <w:r>
        <w:rPr>
          <w:rFonts w:ascii="Times New Roman" w:hAnsi="Times New Roman" w:cs="Times New Roman"/>
          <w:bCs/>
          <w:color w:val="000000"/>
        </w:rPr>
        <w:t xml:space="preserve">measure microbial </w:t>
      </w:r>
      <w:r>
        <w:rPr>
          <w:rFonts w:ascii="Times New Roman" w:hAnsi="Times New Roman" w:cs="Times New Roman"/>
          <w:bCs/>
          <w:color w:val="000000"/>
        </w:rPr>
        <w:t xml:space="preserve">respiration in aquatic environments </w:t>
      </w:r>
      <w:r>
        <w:rPr>
          <w:rFonts w:ascii="Times New Roman" w:hAnsi="Times New Roman" w:cs="Times New Roman"/>
          <w:bCs/>
          <w:color w:val="000000"/>
        </w:rPr>
        <w:fldChar w:fldCharType="begin"/>
      </w:r>
      <w:r>
        <w:rPr>
          <w:rFonts w:ascii="Times New Roman" w:hAnsi="Times New Roman" w:cs="Times New Roman"/>
          <w:bCs/>
          <w:color w:val="000000"/>
        </w:rPr>
        <w:instrText xml:space="preserve"> ADDIN ZOTERO_ITEM CSL_CITATION {"citationID":"jRkHtd9i","properties":{"formattedCitation":"(Bittig et al., 2018; Garc\\uc0\\u237{}a-Mart\\uc0\\u237{}n et al., 2019)","plainCitation":"(Bittig et al., 2018; García-Martín et al., 2019)","noteIndex":0},"citationItems":[{"id":1030,"uris":["http://zotero.org/users/local/6i4XPSZ8/items/CXAE6IR8"],"uri":["http://zotero.org/users/local/6i4XPSZ8/items/CXAE6IR8"],"itemData":{"id":1030,"type":"article-journal","abstract":"Recently, measurements of oxygen concentration in the ocean—one of the most classical parameters in chemical oceanography—are experiencing a revival. This is not surprising, given the key role of oxygen for assessing the status of the marine carbon cycle and feeling the pulse of the biological pump. The revival, however, has to a large extent been driven by the availability of robust optical oxygen sensors and their painstakingly thorough characterization. For autonomous observations, oxygen optodes are the sensors of choice: They are used abundantly on Biogeochemical-Argo ﬂoats, gliders and other autonomous oceanographic observation platforms. Still, data quality and accuracy are often suboptimal, in some part because sensor and data treatment are not always straightforward and/or sensor characteristics are not adequately taken into account. Here, we want to summarize the current knowledge about oxygen optodes, their working principle as well as their behavior with respect to oxygen, temperature, hydrostatic pressure, and response time. The focus will lie on the most widely used and accepted optodes made by Aanderaa and Sea-Bird. We revisit the essentials and caveats of in-situ in air calibration as well as of time response correction for proﬁling applications, and provide requirements for a successful ﬁeld deployment. In addition, all required steps to post-correct oxygen optode data will be discussed. We hope this summary will serve as a comprehensive, yet concise reference to help people get started with oxygen observations, ensure successful sensor deployments and acquisition of highest quality data, and facilitate post-treatment of oxygen data. In the end, we hope that this will lead to more and higher-quality oxygen observations and help to advance our understanding of ocean biogeochemistry in a changing ocean.","container-title":"Frontiers in Marine Science","DOI":"10.3389/fmars.2017.00429","ISSN":"2296-7745","journalAbbreviation":"Front. Mar. Sci.","language":"en","page":"429","source":"DOI.org (Crossref)","title":"Oxygen Optode Sensors: Principle, Characterization, Calibration, and Application in the Ocean","title-short":"Oxygen Optode Sensors","volume":"4","author":[{"family":"Bittig","given":"Henry C."},{"family":"Körtzinger","given":"Arne"},{"family":"Neill","given":"Craig"},{"family":"Ooijen","given":"Eikbert","non-dropping-particle":"van"},{"family":"Plant","given":"Joshua N."},{"family":"Hahn","given":"Johannes"},{"family":"Johnson","given":"Kenneth S."},{"family":"Yang","given":"Bo"},{"family":"Emerson","given":"Steven R."}],"issued":{"date-parts":[["2018",1,24]]}}},{"id":1085,"uris":["http://zotero.org/users/local/6i4XPSZ8/items/IYUA378K"],"uri":["http://zotero.org/users/local/6i4XPSZ8/items/IYUA378K"],"itemData":{"id":1085,"type":"article-journal","abstract":"Knowledge of the magnitude and variability of plankton respiration is a crucial gap in our understanding of marine carbon cycling. In order to validate the INT reduction method as a proxy for plankton respiration, we have compiled and analyzed a dataset (n = 376) of concurrent measurements of dissolved oxygen consumption (CRO2) and in vivo reduction of 2-para (iodophenyl)-3(nitrophenyl)-5(phenyl) tetrazolium chloride tetrazolium salt (INT) spanning a wide range of oceanic regions and physicochemical conditions. Data were randomly divided into two independent subgroups: two thirds of the data were used to derive a regression conversion between dissolved oxygen consumption and INT reduction (“training” dataset) and one third of the data was used to validate the regression (“test” dataset). There was a signiﬁcant relationship between the log-transformed dissolved oxygen consumption rates and the log-transformed INT reduction rates (INTT) with the “training” dataset (logCRO2 = 0.72logINTT + 0.44, R2 = 0.69, n = 249, p &lt; 0.001). The estimated oxygen consumption rates obtained applying the former equation were compared to the measured dissolved oxygen consumption rates from the “test” dataset which spans over three orders of magnitude range of respiration rates. There was no signiﬁcant difference between the measured and estimated dissolved oxygen consumption rates, indicating that the INT reduction method can be used as a proxy for respiration in natural plankton communities. Further analysis dividing the data by temperature and chlorophylla concentration, indicated that the predictive capacity of the empirical conversion equation is increased at temperatures &gt;8◦C and chlorophyll-a concentrations &gt;0.2 µg L−1 and reduced at lower temperatures and chlorophyll-a concentrations. The results of this study endorse the adequate performance and reliability of the INT method for natural plankton communities.","container-title":"Frontiers in Marine Science","DOI":"10.3389/fmars.2019.00220","ISSN":"2296-7745","journalAbbreviation":"Front. Mar. Sci.","language":"en","page":"220","source":"DOI.org (Crossref)","title":"Validation of the in vivo Iodo-Nitro-Tetrazolium (INT) Salt Reduction Method as a Proxy for Plankton Respiration","volume":"6","author":[{"family":"García-Martín","given":"E. Elena"},{"family":"Aranguren-Gassis","given":"María"},{"family":"Karl","given":"David M."},{"family":"Martínez-García","given":"Sandra"},{"family":"Robinson","given":"Carol"},{"family":"Serret","given":"Pablo"},{"family":"Teira","given":"Eva"}],"issued":{"date-parts":[["2019",5,3]]}}}],"schema":"https://github.com/citation-style-language/schema/raw/master/csl-citation.json"} </w:instrText>
      </w:r>
      <w:r>
        <w:rPr>
          <w:rFonts w:ascii="Times New Roman" w:hAnsi="Times New Roman" w:cs="Times New Roman"/>
          <w:bCs/>
          <w:color w:val="000000"/>
        </w:rPr>
        <w:fldChar w:fldCharType="separate"/>
      </w:r>
      <w:r w:rsidRPr="008B2CFC">
        <w:rPr>
          <w:rFonts w:ascii="Times New Roman" w:hAnsi="Times New Roman" w:cs="Times New Roman"/>
          <w:color w:val="000000"/>
        </w:rPr>
        <w:t>(García-Martín et al., 2019)</w:t>
      </w:r>
      <w:r>
        <w:rPr>
          <w:rFonts w:ascii="Times New Roman" w:hAnsi="Times New Roman" w:cs="Times New Roman"/>
          <w:bCs/>
          <w:color w:val="000000"/>
        </w:rPr>
        <w:fldChar w:fldCharType="end"/>
      </w:r>
      <w:r>
        <w:rPr>
          <w:rFonts w:ascii="Times New Roman" w:hAnsi="Times New Roman" w:cs="Times New Roman"/>
          <w:bCs/>
          <w:color w:val="000000"/>
        </w:rPr>
        <w:t xml:space="preserve">. During this cruise, community and size-fractionated respiration rates were determined using </w:t>
      </w:r>
      <w:r>
        <w:rPr>
          <w:rFonts w:ascii="Times New Roman" w:hAnsi="Times New Roman" w:cs="Times New Roman"/>
          <w:bCs/>
          <w:color w:val="000000"/>
        </w:rPr>
        <w:t xml:space="preserve">the </w:t>
      </w:r>
      <w:r>
        <w:rPr>
          <w:rFonts w:ascii="Times New Roman" w:hAnsi="Times New Roman" w:cs="Times New Roman"/>
          <w:bCs/>
          <w:color w:val="000000"/>
        </w:rPr>
        <w:t>INT reduction method</w:t>
      </w:r>
      <w:r>
        <w:rPr>
          <w:rFonts w:ascii="Times New Roman" w:hAnsi="Times New Roman" w:cs="Times New Roman"/>
          <w:bCs/>
          <w:color w:val="000000"/>
        </w:rPr>
        <w:t xml:space="preserve"> </w:t>
      </w:r>
      <w:r>
        <w:rPr>
          <w:rFonts w:ascii="Times New Roman" w:hAnsi="Times New Roman" w:cs="Times New Roman"/>
          <w:bCs/>
          <w:color w:val="000000"/>
        </w:rPr>
        <w:t xml:space="preserve">described below. </w:t>
      </w:r>
    </w:p>
    <w:p w14:paraId="5058C7CF" w14:textId="77777777" w:rsidR="00BD5535" w:rsidRDefault="00BD5535" w:rsidP="00BD5535">
      <w:pPr>
        <w:autoSpaceDE w:val="0"/>
        <w:autoSpaceDN w:val="0"/>
        <w:adjustRightInd w:val="0"/>
        <w:rPr>
          <w:rFonts w:ascii="Times New Roman" w:hAnsi="Times New Roman" w:cs="Times New Roman"/>
          <w:bCs/>
          <w:color w:val="000000"/>
        </w:rPr>
      </w:pPr>
    </w:p>
    <w:p w14:paraId="245F460E" w14:textId="77777777" w:rsidR="00BD5535" w:rsidRDefault="00BD5535" w:rsidP="00BD5535">
      <w:pPr>
        <w:autoSpaceDE w:val="0"/>
        <w:autoSpaceDN w:val="0"/>
        <w:adjustRightInd w:val="0"/>
        <w:rPr>
          <w:rFonts w:ascii="Times New Roman" w:hAnsi="Times New Roman" w:cs="Times New Roman"/>
          <w:b/>
          <w:color w:val="000000"/>
        </w:rPr>
      </w:pPr>
    </w:p>
    <w:p w14:paraId="78F61FFF" w14:textId="46CF93A0" w:rsidR="00BD5535" w:rsidRDefault="00BD5535" w:rsidP="00BD5535">
      <w:pPr>
        <w:autoSpaceDE w:val="0"/>
        <w:autoSpaceDN w:val="0"/>
        <w:adjustRightInd w:val="0"/>
        <w:rPr>
          <w:rFonts w:ascii="Times New Roman" w:hAnsi="Times New Roman" w:cs="Times New Roman"/>
          <w:bCs/>
          <w:color w:val="000000"/>
        </w:rPr>
      </w:pPr>
      <w:r>
        <w:rPr>
          <w:rFonts w:ascii="Times New Roman" w:hAnsi="Times New Roman" w:cs="Times New Roman"/>
          <w:b/>
          <w:color w:val="000000"/>
        </w:rPr>
        <w:t xml:space="preserve">Sampling </w:t>
      </w:r>
    </w:p>
    <w:p w14:paraId="153664A3" w14:textId="77777777" w:rsidR="00BD5535" w:rsidRDefault="00BD5535" w:rsidP="00BD5535">
      <w:pPr>
        <w:autoSpaceDE w:val="0"/>
        <w:autoSpaceDN w:val="0"/>
        <w:adjustRightInd w:val="0"/>
        <w:rPr>
          <w:rFonts w:ascii="Times New Roman" w:hAnsi="Times New Roman" w:cs="Times New Roman"/>
          <w:bCs/>
          <w:color w:val="000000"/>
        </w:rPr>
      </w:pPr>
    </w:p>
    <w:p w14:paraId="06BD6D8F" w14:textId="77777777" w:rsidR="00BD5535" w:rsidRDefault="00BD5535" w:rsidP="00BD5535">
      <w:pPr>
        <w:autoSpaceDE w:val="0"/>
        <w:autoSpaceDN w:val="0"/>
        <w:adjustRightInd w:val="0"/>
        <w:rPr>
          <w:rFonts w:ascii="Times New Roman" w:hAnsi="Times New Roman" w:cs="Times New Roman"/>
          <w:b/>
          <w:color w:val="000000"/>
        </w:rPr>
      </w:pPr>
    </w:p>
    <w:p w14:paraId="7E7D1AB0" w14:textId="77777777" w:rsidR="00BD5535" w:rsidRDefault="00BD5535" w:rsidP="00BD5535">
      <w:pPr>
        <w:autoSpaceDE w:val="0"/>
        <w:autoSpaceDN w:val="0"/>
        <w:adjustRightInd w:val="0"/>
        <w:rPr>
          <w:rFonts w:ascii="Times New Roman" w:hAnsi="Times New Roman" w:cs="Times New Roman"/>
          <w:bCs/>
          <w:color w:val="000000"/>
        </w:rPr>
      </w:pPr>
      <w:r>
        <w:rPr>
          <w:rFonts w:ascii="Times New Roman" w:hAnsi="Times New Roman" w:cs="Times New Roman"/>
          <w:b/>
          <w:color w:val="000000"/>
        </w:rPr>
        <w:t xml:space="preserve">In Vivo </w:t>
      </w:r>
      <w:proofErr w:type="spellStart"/>
      <w:r>
        <w:rPr>
          <w:rFonts w:ascii="Times New Roman" w:hAnsi="Times New Roman" w:cs="Times New Roman"/>
          <w:b/>
          <w:color w:val="000000"/>
        </w:rPr>
        <w:t>Iodo</w:t>
      </w:r>
      <w:proofErr w:type="spellEnd"/>
      <w:r>
        <w:rPr>
          <w:rFonts w:ascii="Times New Roman" w:hAnsi="Times New Roman" w:cs="Times New Roman"/>
          <w:b/>
          <w:color w:val="000000"/>
        </w:rPr>
        <w:t>-nitro-tetrazolium (INT) Reduction Assay</w:t>
      </w:r>
    </w:p>
    <w:p w14:paraId="2075D8A9" w14:textId="77777777" w:rsidR="00BD5535" w:rsidRDefault="00BD5535" w:rsidP="00BD5535">
      <w:pPr>
        <w:autoSpaceDE w:val="0"/>
        <w:autoSpaceDN w:val="0"/>
        <w:adjustRightInd w:val="0"/>
        <w:rPr>
          <w:rFonts w:ascii="Times New Roman" w:hAnsi="Times New Roman" w:cs="Times New Roman"/>
          <w:bCs/>
          <w:color w:val="000000"/>
        </w:rPr>
      </w:pPr>
    </w:p>
    <w:p w14:paraId="640595A6" w14:textId="14453FA8" w:rsidR="00BD5535" w:rsidRDefault="00BD5535" w:rsidP="00BD5535">
      <w:pPr>
        <w:autoSpaceDE w:val="0"/>
        <w:autoSpaceDN w:val="0"/>
        <w:adjustRightInd w:val="0"/>
        <w:rPr>
          <w:rFonts w:ascii="Times New Roman" w:hAnsi="Times New Roman" w:cs="Times New Roman"/>
          <w:bCs/>
          <w:color w:val="000000"/>
        </w:rPr>
      </w:pPr>
      <w:r>
        <w:rPr>
          <w:rFonts w:ascii="Times New Roman" w:hAnsi="Times New Roman" w:cs="Times New Roman"/>
          <w:bCs/>
          <w:color w:val="000000"/>
        </w:rPr>
        <w:t>This method is based on the reduction of INT, a water soluble, membrane permeable salt which passively penetrates into the cell, by dehydrogenase enzymes in the electron transport system forming insoluble formazan crystals (INT-</w:t>
      </w:r>
      <w:r>
        <w:rPr>
          <w:rFonts w:ascii="Times New Roman" w:hAnsi="Times New Roman" w:cs="Times New Roman"/>
          <w:bCs/>
          <w:i/>
          <w:iCs/>
          <w:color w:val="000000"/>
        </w:rPr>
        <w:t>f</w:t>
      </w:r>
      <w:r>
        <w:rPr>
          <w:rFonts w:ascii="Times New Roman" w:hAnsi="Times New Roman" w:cs="Times New Roman"/>
          <w:bCs/>
          <w:color w:val="000000"/>
        </w:rPr>
        <w:t xml:space="preserve">) </w:t>
      </w:r>
      <w:r>
        <w:rPr>
          <w:rFonts w:ascii="Times New Roman" w:hAnsi="Times New Roman" w:cs="Times New Roman"/>
          <w:bCs/>
          <w:color w:val="000000"/>
        </w:rPr>
        <w:fldChar w:fldCharType="begin"/>
      </w:r>
      <w:r>
        <w:rPr>
          <w:rFonts w:ascii="Times New Roman" w:hAnsi="Times New Roman" w:cs="Times New Roman"/>
          <w:bCs/>
          <w:color w:val="000000"/>
        </w:rPr>
        <w:instrText xml:space="preserve"> ADDIN ZOTERO_ITEM CSL_CITATION {"citationID":"ZEmc7YrI","properties":{"formattedCitation":"(Mart\\uc0\\u237{}nez-Garc\\uc0\\u237{}a et al., 2009)","plainCitation":"(Martínez-García et al., 2009)","noteIndex":0},"citationItems":[{"id":1462,"uris":["http://zotero.org/users/local/6i4XPSZ8/items/QMM2DSUS"],"uri":["http://zotero.org/users/local/6i4XPSZ8/items/QMM2DSUS"],"itemData":{"id":1462,"type":"article-journal","abstract":"Oxygen consumption during in vitro dark bottle incubations is the most common method to estimate planktonic respiration. This method is time consuming and labor instensive and, consequently, the database of planktonic respiration rates is scarce. Electron Transport System (ETS) activity measurement has gained acceptance as a routine technique to estimate respiration due to its high sensitivity. However, the in vitro ETS assay commonly used yields potential rates. Hence, the empirically determined ratio between in situ respiration and potential ETS activity is not constant, varying over two orders of magnitude, highly limiting the routine application of this technique to estimate microbial respiration. We hypothesized that in vivo ETS activity should be a reliable estimator of in situ respiration in marine plankton communities. The aim of this study was to develop a methodology to estimate in vivo ETS activity rates by using tetrazolium salt 2-para (iodo-phenyl)-3(nitrophenyl)-5(phenyl)tetrazolium chloride (INT) as electron acceptor. We established a procedure to apply the in vivo INT reduction method to natural marine microplankton samples. Optimum incubation times were found to be lower than 2-6 h, even for oligotrophic waters. The method was tested in natural waters, covering a very wide range of respiration rates and trophic conditions. A significant linear relationship was found between in situ respiration and in vivo INT reduction. Moreover, the ratio between oxygen consumption and INT reduction was constant across contrasting environments, which reveals the INT reduction method as a simple, quick, sensitive, and robust technique suitable to substantially improve the microbial plankton respiration database.","container-title":"Limnology and Oceanography: Methods","DOI":"10.4319/lom.2009.7.459","ISSN":"15415856","issue":"6","journalAbbreviation":"Limnol. Oceanogr. Methods","language":"en","page":"459-469","source":"DOI.org (Crossref)","title":"In vivo electron transport system activity: a method to estimate respiration in natural marine microbial planktonic communities: Estimating in vivo ETS activity rates","title-short":"In vivo electron transport system activity","volume":"7","author":[{"family":"Martínez-García","given":"Sandra"},{"family":"Fernández","given":"Emilio"},{"family":"Aranguren-Gassis","given":"María"},{"family":"Teira","given":"Eva"}],"issued":{"date-parts":[["2009",6]]}}}],"schema":"https://github.com/citation-style-language/schema/raw/master/csl-citation.json"} </w:instrText>
      </w:r>
      <w:r>
        <w:rPr>
          <w:rFonts w:ascii="Times New Roman" w:hAnsi="Times New Roman" w:cs="Times New Roman"/>
          <w:bCs/>
          <w:color w:val="000000"/>
        </w:rPr>
        <w:fldChar w:fldCharType="separate"/>
      </w:r>
      <w:r w:rsidRPr="00192BAD">
        <w:rPr>
          <w:rFonts w:ascii="Times New Roman" w:hAnsi="Times New Roman" w:cs="Times New Roman"/>
          <w:color w:val="000000"/>
        </w:rPr>
        <w:t>(Martínez-García et al., 2009)</w:t>
      </w:r>
      <w:r>
        <w:rPr>
          <w:rFonts w:ascii="Times New Roman" w:hAnsi="Times New Roman" w:cs="Times New Roman"/>
          <w:bCs/>
          <w:color w:val="000000"/>
        </w:rPr>
        <w:fldChar w:fldCharType="end"/>
      </w:r>
      <w:r>
        <w:rPr>
          <w:rFonts w:ascii="Times New Roman" w:hAnsi="Times New Roman" w:cs="Times New Roman"/>
          <w:bCs/>
          <w:color w:val="000000"/>
        </w:rPr>
        <w:t xml:space="preserve">.  The </w:t>
      </w:r>
      <w:r>
        <w:rPr>
          <w:rFonts w:ascii="Times New Roman" w:hAnsi="Times New Roman" w:cs="Times New Roman"/>
          <w:bCs/>
          <w:i/>
          <w:iCs/>
          <w:color w:val="000000"/>
        </w:rPr>
        <w:t>in-vivo</w:t>
      </w:r>
      <w:r>
        <w:rPr>
          <w:rFonts w:ascii="Times New Roman" w:hAnsi="Times New Roman" w:cs="Times New Roman"/>
          <w:bCs/>
          <w:color w:val="000000"/>
        </w:rPr>
        <w:t xml:space="preserve"> method is based on a variation of the </w:t>
      </w:r>
      <w:r w:rsidRPr="006D6829">
        <w:rPr>
          <w:rFonts w:ascii="Times New Roman" w:hAnsi="Times New Roman" w:cs="Times New Roman"/>
          <w:bCs/>
          <w:i/>
          <w:iCs/>
          <w:color w:val="000000"/>
        </w:rPr>
        <w:t>in-vitro</w:t>
      </w:r>
      <w:r>
        <w:rPr>
          <w:rFonts w:ascii="Times New Roman" w:hAnsi="Times New Roman" w:cs="Times New Roman"/>
          <w:bCs/>
          <w:color w:val="000000"/>
        </w:rPr>
        <w:t xml:space="preserve"> method described by </w:t>
      </w:r>
      <w:r>
        <w:rPr>
          <w:rFonts w:ascii="Times New Roman" w:hAnsi="Times New Roman" w:cs="Times New Roman"/>
          <w:bCs/>
          <w:color w:val="000000"/>
        </w:rPr>
        <w:fldChar w:fldCharType="begin"/>
      </w:r>
      <w:r>
        <w:rPr>
          <w:rFonts w:ascii="Times New Roman" w:hAnsi="Times New Roman" w:cs="Times New Roman"/>
          <w:bCs/>
          <w:color w:val="000000"/>
        </w:rPr>
        <w:instrText xml:space="preserve"> ADDIN ZOTERO_ITEM CSL_CITATION {"citationID":"VHon4QNW","properties":{"formattedCitation":"(Packard et al., 1996)","plainCitation":"(Packard et al., 1996)","noteIndex":0},"citationItems":[{"id":1474,"uris":["http://zotero.org/users/local/6i4XPSZ8/items/NVCBSYTQ"],"uri":["http://zotero.org/users/local/6i4XPSZ8/items/NVCBSYTQ"],"itemData":{"id":1474,"type":"article-journal","abstract":"The respiratory O2 consumption in aerobic bacterial cultures has been modeled from the time profiles of the in vitro activity of the respiratory electron transfer system (ETS), the bacterial protein and the concentration of the carbon source in the cultures. The model was based on the concept of bisubstrate kinetic control of the ETS throughout the exponential, steady-state and senescent phases of the cultures. In the exponential phase, the measured rates of O2 consumption and the in vitro ETS activity were closely coupled, but in the senescent phase, they were uncoupled. The in vitro ETS activity remained high even after the culture's carbon source was exhausted, while the O2 consumption fell to low levels. Based on the hypothesis that this uncoupling was caused by limitation of the intracellular ETS substrates (NADH and NADPH), a semi-empirical model incorporating a bisubstrate enzyme kinetics algorithm was formulated and fitted to the observations of the experiments. The model predicted the rate of O2 consumption throughout the different phases of the cultures with an r2 &gt; 0.92 (n = 9, P &lt; 0.001) using physiologically realistic Michaelis and dissociation constants. These results suggest that plankton respiration in thefieldcould be assessed more accurately than before by measuring the intracellular ETS substrates (NADH and NADPH), in addition to ETS activity, in plankton.","container-title":"Journal of Plankton Research","DOI":"10.1093/plankt/18.10.1819","ISSN":"0142-7873, 1464-3774","issue":"10","journalAbbreviation":"J Plankton Res","language":"en","page":"1819-1835","source":"DOI.org (Crossref)","title":"Oxygen consumption in the marine bacterium Pseudomonas nautica predicted from ETS activity and bisubstrate enzyme kinetics","volume":"18","author":[{"family":"Packard","given":"T.T."},{"family":"Berdalet","given":"E."},{"family":"Blasco","given":"D."},{"family":"Roy","given":"S.O."},{"family":"St-Amand","given":"L."},{"family":"Lagacé","given":"B."},{"family":"Lee","given":"K."},{"family":"Gagnó","given":"J.-P."}],"issued":{"date-parts":[["1996"]]}}}],"schema":"https://github.com/citation-style-language/schema/raw/master/csl-citation.json"} </w:instrText>
      </w:r>
      <w:r>
        <w:rPr>
          <w:rFonts w:ascii="Times New Roman" w:hAnsi="Times New Roman" w:cs="Times New Roman"/>
          <w:bCs/>
          <w:color w:val="000000"/>
        </w:rPr>
        <w:fldChar w:fldCharType="separate"/>
      </w:r>
      <w:r>
        <w:rPr>
          <w:rFonts w:ascii="Times New Roman" w:hAnsi="Times New Roman" w:cs="Times New Roman"/>
          <w:bCs/>
          <w:noProof/>
          <w:color w:val="000000"/>
        </w:rPr>
        <w:t xml:space="preserve">Packard et al., 1996. </w:t>
      </w:r>
      <w:r>
        <w:rPr>
          <w:rFonts w:ascii="Times New Roman" w:hAnsi="Times New Roman" w:cs="Times New Roman"/>
          <w:bCs/>
          <w:color w:val="000000"/>
        </w:rPr>
        <w:fldChar w:fldCharType="end"/>
      </w:r>
      <w:r>
        <w:rPr>
          <w:rFonts w:ascii="Times New Roman" w:hAnsi="Times New Roman" w:cs="Times New Roman"/>
          <w:bCs/>
          <w:color w:val="000000"/>
        </w:rPr>
        <w:t>Whole seawater was collected from</w:t>
      </w:r>
      <w:r>
        <w:rPr>
          <w:rFonts w:ascii="Times New Roman" w:hAnsi="Times New Roman" w:cs="Times New Roman"/>
          <w:bCs/>
          <w:color w:val="000000"/>
        </w:rPr>
        <w:t xml:space="preserve"> 5m using</w:t>
      </w:r>
      <w:r>
        <w:rPr>
          <w:rFonts w:ascii="Times New Roman" w:hAnsi="Times New Roman" w:cs="Times New Roman"/>
          <w:bCs/>
          <w:color w:val="000000"/>
        </w:rPr>
        <w:t xml:space="preserve"> the </w:t>
      </w:r>
      <w:r>
        <w:rPr>
          <w:rFonts w:ascii="Times New Roman" w:hAnsi="Times New Roman" w:cs="Times New Roman"/>
          <w:bCs/>
          <w:color w:val="000000"/>
        </w:rPr>
        <w:t xml:space="preserve">ship’s underway seawater system at 30 stations across the transect. Five </w:t>
      </w:r>
      <w:r>
        <w:rPr>
          <w:rFonts w:ascii="Times New Roman" w:hAnsi="Times New Roman" w:cs="Times New Roman"/>
          <w:bCs/>
          <w:color w:val="000000"/>
        </w:rPr>
        <w:t>250 ml polycarbonate bottles were rinsed</w:t>
      </w:r>
      <w:r>
        <w:rPr>
          <w:rFonts w:ascii="Times New Roman" w:hAnsi="Times New Roman" w:cs="Times New Roman"/>
          <w:bCs/>
          <w:color w:val="000000"/>
        </w:rPr>
        <w:t xml:space="preserve"> </w:t>
      </w:r>
      <w:r>
        <w:rPr>
          <w:rFonts w:ascii="Times New Roman" w:hAnsi="Times New Roman" w:cs="Times New Roman"/>
          <w:bCs/>
          <w:color w:val="000000"/>
        </w:rPr>
        <w:t>with sample water and filled</w:t>
      </w:r>
      <w:r>
        <w:rPr>
          <w:rFonts w:ascii="Times New Roman" w:hAnsi="Times New Roman" w:cs="Times New Roman"/>
          <w:bCs/>
          <w:color w:val="000000"/>
        </w:rPr>
        <w:t>, two of which were</w:t>
      </w:r>
      <w:r>
        <w:rPr>
          <w:rFonts w:ascii="Times New Roman" w:hAnsi="Times New Roman" w:cs="Times New Roman"/>
          <w:bCs/>
          <w:color w:val="000000"/>
        </w:rPr>
        <w:t xml:space="preserve"> immediately killed with 0.2 filtered formalin (2% v/v final concentration) and used as a control. The remaining 3 bottles were inoculated with 8mM INT solution to a final concentration of 0.2 </w:t>
      </w:r>
      <w:proofErr w:type="spellStart"/>
      <w:r>
        <w:rPr>
          <w:rFonts w:ascii="Times New Roman" w:hAnsi="Times New Roman" w:cs="Times New Roman"/>
          <w:bCs/>
          <w:color w:val="000000"/>
        </w:rPr>
        <w:t>mM.</w:t>
      </w:r>
      <w:proofErr w:type="spellEnd"/>
      <w:r>
        <w:rPr>
          <w:rFonts w:ascii="Times New Roman" w:hAnsi="Times New Roman" w:cs="Times New Roman"/>
          <w:bCs/>
          <w:color w:val="000000"/>
        </w:rPr>
        <w:t xml:space="preserve"> Samples were incubated within 1 degree of </w:t>
      </w:r>
      <w:r>
        <w:rPr>
          <w:rFonts w:ascii="Times New Roman" w:hAnsi="Times New Roman" w:cs="Times New Roman"/>
          <w:bCs/>
          <w:i/>
          <w:iCs/>
          <w:color w:val="000000"/>
        </w:rPr>
        <w:t xml:space="preserve">in situ </w:t>
      </w:r>
      <w:r>
        <w:rPr>
          <w:rFonts w:ascii="Times New Roman" w:hAnsi="Times New Roman" w:cs="Times New Roman"/>
          <w:bCs/>
          <w:color w:val="000000"/>
        </w:rPr>
        <w:t xml:space="preserve">temperature for </w:t>
      </w:r>
      <w:r>
        <w:rPr>
          <w:rFonts w:ascii="Times New Roman" w:hAnsi="Times New Roman" w:cs="Times New Roman"/>
          <w:bCs/>
          <w:color w:val="000000"/>
        </w:rPr>
        <w:t>2-2.5</w:t>
      </w:r>
      <w:r>
        <w:rPr>
          <w:rFonts w:ascii="Times New Roman" w:hAnsi="Times New Roman" w:cs="Times New Roman"/>
          <w:bCs/>
          <w:color w:val="000000"/>
        </w:rPr>
        <w:t xml:space="preserve"> hours and subsequently fixed with formalin. Because the INT-</w:t>
      </w:r>
      <w:r>
        <w:rPr>
          <w:rFonts w:ascii="Times New Roman" w:hAnsi="Times New Roman" w:cs="Times New Roman"/>
          <w:bCs/>
          <w:i/>
          <w:iCs/>
          <w:color w:val="000000"/>
        </w:rPr>
        <w:t>f</w:t>
      </w:r>
      <w:r>
        <w:rPr>
          <w:rFonts w:ascii="Times New Roman" w:hAnsi="Times New Roman" w:cs="Times New Roman"/>
          <w:bCs/>
          <w:color w:val="000000"/>
        </w:rPr>
        <w:t xml:space="preserve"> is formed internally, cells can be size-fractionated post-incubation and the INT-reduction rate determined for different size </w:t>
      </w:r>
      <w:r>
        <w:rPr>
          <w:rFonts w:ascii="Times New Roman" w:hAnsi="Times New Roman" w:cs="Times New Roman"/>
          <w:bCs/>
          <w:color w:val="000000"/>
        </w:rPr>
        <w:lastRenderedPageBreak/>
        <w:t>classes</w:t>
      </w:r>
      <w:r>
        <w:rPr>
          <w:rFonts w:ascii="Times New Roman" w:hAnsi="Times New Roman" w:cs="Times New Roman"/>
          <w:bCs/>
          <w:color w:val="000000"/>
        </w:rPr>
        <w:t>, specifically bacterial (0.2-0.8µm) and non-bacterial (&gt;0.8µm)</w:t>
      </w:r>
      <w:r>
        <w:rPr>
          <w:rFonts w:ascii="Times New Roman" w:hAnsi="Times New Roman" w:cs="Times New Roman"/>
          <w:bCs/>
          <w:color w:val="000000"/>
        </w:rPr>
        <w:t xml:space="preserve">. During </w:t>
      </w:r>
      <w:r>
        <w:rPr>
          <w:rFonts w:ascii="Times New Roman" w:hAnsi="Times New Roman" w:cs="Times New Roman"/>
          <w:bCs/>
          <w:color w:val="000000"/>
        </w:rPr>
        <w:t xml:space="preserve">A22 </w:t>
      </w:r>
      <w:r>
        <w:rPr>
          <w:rFonts w:ascii="Times New Roman" w:hAnsi="Times New Roman" w:cs="Times New Roman"/>
          <w:bCs/>
          <w:color w:val="000000"/>
        </w:rPr>
        <w:t xml:space="preserve">samples were filtered sequentially through a </w:t>
      </w:r>
      <w:r>
        <w:rPr>
          <w:rFonts w:ascii="Times New Roman" w:hAnsi="Times New Roman" w:cs="Times New Roman"/>
          <w:bCs/>
          <w:color w:val="000000"/>
        </w:rPr>
        <w:t>0.8</w:t>
      </w:r>
      <w:r>
        <w:rPr>
          <w:rFonts w:ascii="Times New Roman" w:hAnsi="Times New Roman" w:cs="Times New Roman"/>
          <w:bCs/>
          <w:color w:val="000000"/>
        </w:rPr>
        <w:t xml:space="preserve"> and 0.2 </w:t>
      </w:r>
      <w:r>
        <w:rPr>
          <w:rFonts w:ascii="Times New Roman" w:hAnsi="Times New Roman" w:cs="Times New Roman"/>
          <w:bCs/>
          <w:color w:val="000000"/>
        </w:rPr>
        <w:sym w:font="Symbol" w:char="F06D"/>
      </w:r>
      <w:r>
        <w:rPr>
          <w:rFonts w:ascii="Times New Roman" w:hAnsi="Times New Roman" w:cs="Times New Roman"/>
          <w:bCs/>
          <w:color w:val="000000"/>
        </w:rPr>
        <w:t>m polycarbonate filter which were then stored in 2ml sterile cryovials at -20</w:t>
      </w:r>
      <w:r>
        <w:rPr>
          <w:rFonts w:ascii="Times New Roman" w:hAnsi="Times New Roman" w:cs="Times New Roman"/>
          <w:bCs/>
          <w:color w:val="000000"/>
        </w:rPr>
        <w:sym w:font="Symbol" w:char="F0B0"/>
      </w:r>
      <w:r>
        <w:rPr>
          <w:rFonts w:ascii="Times New Roman" w:hAnsi="Times New Roman" w:cs="Times New Roman"/>
          <w:bCs/>
          <w:color w:val="000000"/>
        </w:rPr>
        <w:t xml:space="preserve">C until further analysis. Samples from </w:t>
      </w:r>
      <w:r>
        <w:rPr>
          <w:rFonts w:ascii="Times New Roman" w:hAnsi="Times New Roman" w:cs="Times New Roman"/>
          <w:bCs/>
          <w:color w:val="000000"/>
        </w:rPr>
        <w:t>A22</w:t>
      </w:r>
      <w:r>
        <w:rPr>
          <w:rFonts w:ascii="Times New Roman" w:hAnsi="Times New Roman" w:cs="Times New Roman"/>
          <w:bCs/>
          <w:color w:val="000000"/>
        </w:rPr>
        <w:t xml:space="preserve"> were stored on board until being shipped back to an in-shore laboratory at the University of California, Santa Barbara. The method uses the spectrophotometric absorption of the INT-</w:t>
      </w:r>
      <w:r>
        <w:rPr>
          <w:rFonts w:ascii="Times New Roman" w:hAnsi="Times New Roman" w:cs="Times New Roman"/>
          <w:bCs/>
          <w:i/>
          <w:iCs/>
          <w:color w:val="000000"/>
        </w:rPr>
        <w:t>f</w:t>
      </w:r>
      <w:r>
        <w:rPr>
          <w:rFonts w:ascii="Times New Roman" w:hAnsi="Times New Roman" w:cs="Times New Roman"/>
          <w:bCs/>
          <w:color w:val="000000"/>
        </w:rPr>
        <w:t xml:space="preserve"> at 485 nm to determine the rate at which the insoluble crystals are formed inside the cell membranes. Absorbance of each sample will be determined by incubating the filters in 1 mL of </w:t>
      </w:r>
      <w:r w:rsidR="00AD59C1">
        <w:rPr>
          <w:rFonts w:ascii="Times New Roman" w:hAnsi="Times New Roman" w:cs="Times New Roman"/>
          <w:bCs/>
          <w:color w:val="000000"/>
        </w:rPr>
        <w:t>1-</w:t>
      </w:r>
      <w:r>
        <w:rPr>
          <w:rFonts w:ascii="Times New Roman" w:hAnsi="Times New Roman" w:cs="Times New Roman"/>
          <w:bCs/>
          <w:color w:val="000000"/>
        </w:rPr>
        <w:t>propanol, followed by sonication and centrifugation. The concentration of the INT-</w:t>
      </w:r>
      <w:r>
        <w:rPr>
          <w:rFonts w:ascii="Times New Roman" w:hAnsi="Times New Roman" w:cs="Times New Roman"/>
          <w:bCs/>
          <w:i/>
          <w:iCs/>
          <w:color w:val="000000"/>
        </w:rPr>
        <w:t>f</w:t>
      </w:r>
      <w:r>
        <w:rPr>
          <w:rFonts w:ascii="Times New Roman" w:hAnsi="Times New Roman" w:cs="Times New Roman"/>
          <w:bCs/>
          <w:color w:val="000000"/>
        </w:rPr>
        <w:t xml:space="preserve"> in solution is calculated from its absorbance by applying a standard curve previously determined using twelve different concentrations of stock INT-</w:t>
      </w:r>
      <w:r>
        <w:rPr>
          <w:rFonts w:ascii="Times New Roman" w:hAnsi="Times New Roman" w:cs="Times New Roman"/>
          <w:bCs/>
          <w:i/>
          <w:iCs/>
          <w:color w:val="000000"/>
        </w:rPr>
        <w:t xml:space="preserve">f </w:t>
      </w:r>
      <w:r>
        <w:rPr>
          <w:rFonts w:ascii="Times New Roman" w:hAnsi="Times New Roman" w:cs="Times New Roman"/>
          <w:bCs/>
          <w:color w:val="000000"/>
        </w:rPr>
        <w:t xml:space="preserve">dissolved in pure </w:t>
      </w:r>
      <w:r w:rsidR="00AD59C1">
        <w:rPr>
          <w:rFonts w:ascii="Times New Roman" w:hAnsi="Times New Roman" w:cs="Times New Roman"/>
          <w:bCs/>
          <w:color w:val="000000"/>
        </w:rPr>
        <w:t>1-</w:t>
      </w:r>
      <w:r>
        <w:rPr>
          <w:rFonts w:ascii="Times New Roman" w:hAnsi="Times New Roman" w:cs="Times New Roman"/>
          <w:bCs/>
          <w:color w:val="000000"/>
        </w:rPr>
        <w:t xml:space="preserve">propanol. </w:t>
      </w:r>
    </w:p>
    <w:p w14:paraId="3FA7C395" w14:textId="77777777" w:rsidR="00B70F21" w:rsidRDefault="00B70F21" w:rsidP="00BD5535">
      <w:pPr>
        <w:autoSpaceDE w:val="0"/>
        <w:autoSpaceDN w:val="0"/>
        <w:adjustRightInd w:val="0"/>
        <w:rPr>
          <w:rFonts w:ascii="Times New Roman" w:hAnsi="Times New Roman" w:cs="Times New Roman"/>
          <w:bCs/>
          <w:color w:val="000000"/>
        </w:rPr>
      </w:pPr>
    </w:p>
    <w:p w14:paraId="10B00FEA" w14:textId="4D5F2F77" w:rsidR="00B70F21" w:rsidRDefault="00B70F21" w:rsidP="00BD5535">
      <w:pPr>
        <w:autoSpaceDE w:val="0"/>
        <w:autoSpaceDN w:val="0"/>
        <w:adjustRightInd w:val="0"/>
        <w:rPr>
          <w:rFonts w:ascii="Times New Roman" w:hAnsi="Times New Roman" w:cs="Times New Roman"/>
          <w:bCs/>
          <w:color w:val="000000"/>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70F21" w14:paraId="79547772" w14:textId="77777777" w:rsidTr="004F45B9">
        <w:tc>
          <w:tcPr>
            <w:tcW w:w="9350" w:type="dxa"/>
            <w:gridSpan w:val="6"/>
          </w:tcPr>
          <w:p w14:paraId="23A48379" w14:textId="3AB386C0" w:rsidR="00B70F21" w:rsidRDefault="00B70F21" w:rsidP="00BD5535">
            <w:pPr>
              <w:autoSpaceDE w:val="0"/>
              <w:autoSpaceDN w:val="0"/>
              <w:adjustRightInd w:val="0"/>
              <w:rPr>
                <w:rFonts w:ascii="Times New Roman" w:hAnsi="Times New Roman" w:cs="Times New Roman"/>
                <w:bCs/>
                <w:color w:val="000000"/>
              </w:rPr>
            </w:pPr>
            <w:r>
              <w:rPr>
                <w:rFonts w:ascii="Times New Roman" w:hAnsi="Times New Roman" w:cs="Times New Roman"/>
                <w:bCs/>
                <w:color w:val="000000"/>
              </w:rPr>
              <w:t xml:space="preserve">Stations Sampled </w:t>
            </w:r>
          </w:p>
        </w:tc>
      </w:tr>
      <w:tr w:rsidR="00B70F21" w14:paraId="3C39E21D" w14:textId="77777777" w:rsidTr="00B70F21">
        <w:tc>
          <w:tcPr>
            <w:tcW w:w="1558" w:type="dxa"/>
          </w:tcPr>
          <w:p w14:paraId="38773CFC" w14:textId="73703593"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2</w:t>
            </w:r>
          </w:p>
        </w:tc>
        <w:tc>
          <w:tcPr>
            <w:tcW w:w="1558" w:type="dxa"/>
          </w:tcPr>
          <w:p w14:paraId="516B7107" w14:textId="2C87520F"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10</w:t>
            </w:r>
          </w:p>
        </w:tc>
        <w:tc>
          <w:tcPr>
            <w:tcW w:w="1558" w:type="dxa"/>
          </w:tcPr>
          <w:p w14:paraId="21DBFF73" w14:textId="399A797A"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14</w:t>
            </w:r>
          </w:p>
        </w:tc>
        <w:tc>
          <w:tcPr>
            <w:tcW w:w="1558" w:type="dxa"/>
          </w:tcPr>
          <w:p w14:paraId="0FE39375" w14:textId="20B33594"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18</w:t>
            </w:r>
          </w:p>
        </w:tc>
        <w:tc>
          <w:tcPr>
            <w:tcW w:w="1559" w:type="dxa"/>
          </w:tcPr>
          <w:p w14:paraId="289C9738" w14:textId="2BD4E0FD"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20</w:t>
            </w:r>
          </w:p>
        </w:tc>
        <w:tc>
          <w:tcPr>
            <w:tcW w:w="1559" w:type="dxa"/>
          </w:tcPr>
          <w:p w14:paraId="1A61FD2A" w14:textId="3572B811"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22</w:t>
            </w:r>
          </w:p>
        </w:tc>
      </w:tr>
      <w:tr w:rsidR="00B70F21" w14:paraId="259B8A99" w14:textId="77777777" w:rsidTr="00B70F21">
        <w:tc>
          <w:tcPr>
            <w:tcW w:w="1558" w:type="dxa"/>
          </w:tcPr>
          <w:p w14:paraId="13A452AC" w14:textId="27470D10"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32</w:t>
            </w:r>
          </w:p>
        </w:tc>
        <w:tc>
          <w:tcPr>
            <w:tcW w:w="1558" w:type="dxa"/>
          </w:tcPr>
          <w:p w14:paraId="220445B0" w14:textId="2CC5E5E2"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34</w:t>
            </w:r>
          </w:p>
        </w:tc>
        <w:tc>
          <w:tcPr>
            <w:tcW w:w="1558" w:type="dxa"/>
          </w:tcPr>
          <w:p w14:paraId="18F22311" w14:textId="03ABDAEC"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38</w:t>
            </w:r>
          </w:p>
        </w:tc>
        <w:tc>
          <w:tcPr>
            <w:tcW w:w="1558" w:type="dxa"/>
          </w:tcPr>
          <w:p w14:paraId="1C380A83" w14:textId="03DA9859"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41</w:t>
            </w:r>
          </w:p>
        </w:tc>
        <w:tc>
          <w:tcPr>
            <w:tcW w:w="1559" w:type="dxa"/>
          </w:tcPr>
          <w:p w14:paraId="2CF7F412" w14:textId="21A275F1"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42</w:t>
            </w:r>
          </w:p>
        </w:tc>
        <w:tc>
          <w:tcPr>
            <w:tcW w:w="1559" w:type="dxa"/>
          </w:tcPr>
          <w:p w14:paraId="3F5B1E05" w14:textId="62D4F923"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44</w:t>
            </w:r>
          </w:p>
        </w:tc>
      </w:tr>
      <w:tr w:rsidR="00B70F21" w14:paraId="77071CF5" w14:textId="77777777" w:rsidTr="00B70F21">
        <w:tc>
          <w:tcPr>
            <w:tcW w:w="1558" w:type="dxa"/>
          </w:tcPr>
          <w:p w14:paraId="5B20CED2" w14:textId="41701749"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48</w:t>
            </w:r>
          </w:p>
        </w:tc>
        <w:tc>
          <w:tcPr>
            <w:tcW w:w="1558" w:type="dxa"/>
          </w:tcPr>
          <w:p w14:paraId="14AB33D2" w14:textId="45BDCBD6"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50</w:t>
            </w:r>
          </w:p>
        </w:tc>
        <w:tc>
          <w:tcPr>
            <w:tcW w:w="1558" w:type="dxa"/>
          </w:tcPr>
          <w:p w14:paraId="06EFB77D" w14:textId="79EC76CD"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52</w:t>
            </w:r>
          </w:p>
        </w:tc>
        <w:tc>
          <w:tcPr>
            <w:tcW w:w="1558" w:type="dxa"/>
          </w:tcPr>
          <w:p w14:paraId="355EF2BA" w14:textId="324A0A20"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54</w:t>
            </w:r>
          </w:p>
        </w:tc>
        <w:tc>
          <w:tcPr>
            <w:tcW w:w="1559" w:type="dxa"/>
          </w:tcPr>
          <w:p w14:paraId="1692ABE1" w14:textId="3A7B3A16"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58</w:t>
            </w:r>
          </w:p>
        </w:tc>
        <w:tc>
          <w:tcPr>
            <w:tcW w:w="1559" w:type="dxa"/>
          </w:tcPr>
          <w:p w14:paraId="13D89635" w14:textId="7F2F02A7"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62</w:t>
            </w:r>
          </w:p>
        </w:tc>
      </w:tr>
      <w:tr w:rsidR="00B70F21" w14:paraId="566CFB92" w14:textId="77777777" w:rsidTr="00B70F21">
        <w:tc>
          <w:tcPr>
            <w:tcW w:w="1558" w:type="dxa"/>
          </w:tcPr>
          <w:p w14:paraId="66EEDB90" w14:textId="2A1A0A36"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64</w:t>
            </w:r>
          </w:p>
        </w:tc>
        <w:tc>
          <w:tcPr>
            <w:tcW w:w="1558" w:type="dxa"/>
          </w:tcPr>
          <w:p w14:paraId="746A0730" w14:textId="478B0CC2"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68</w:t>
            </w:r>
          </w:p>
        </w:tc>
        <w:tc>
          <w:tcPr>
            <w:tcW w:w="1558" w:type="dxa"/>
          </w:tcPr>
          <w:p w14:paraId="22A2C183" w14:textId="7B7AF08D"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70</w:t>
            </w:r>
          </w:p>
        </w:tc>
        <w:tc>
          <w:tcPr>
            <w:tcW w:w="1558" w:type="dxa"/>
          </w:tcPr>
          <w:p w14:paraId="58E688D8" w14:textId="4BA45100"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72</w:t>
            </w:r>
          </w:p>
        </w:tc>
        <w:tc>
          <w:tcPr>
            <w:tcW w:w="1559" w:type="dxa"/>
          </w:tcPr>
          <w:p w14:paraId="1F1CA089" w14:textId="7A6591B2"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73</w:t>
            </w:r>
          </w:p>
        </w:tc>
        <w:tc>
          <w:tcPr>
            <w:tcW w:w="1559" w:type="dxa"/>
          </w:tcPr>
          <w:p w14:paraId="284767FC" w14:textId="20952F47"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74</w:t>
            </w:r>
          </w:p>
        </w:tc>
      </w:tr>
      <w:tr w:rsidR="00B70F21" w14:paraId="7F7FE8D3" w14:textId="77777777" w:rsidTr="00B70F21">
        <w:tc>
          <w:tcPr>
            <w:tcW w:w="1558" w:type="dxa"/>
          </w:tcPr>
          <w:p w14:paraId="2DFC05C1" w14:textId="359270BF"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76</w:t>
            </w:r>
          </w:p>
        </w:tc>
        <w:tc>
          <w:tcPr>
            <w:tcW w:w="1558" w:type="dxa"/>
          </w:tcPr>
          <w:p w14:paraId="38757E4D" w14:textId="5A4E2FB4"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78</w:t>
            </w:r>
          </w:p>
        </w:tc>
        <w:tc>
          <w:tcPr>
            <w:tcW w:w="1558" w:type="dxa"/>
          </w:tcPr>
          <w:p w14:paraId="0E7B2ADD" w14:textId="14008B15"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80</w:t>
            </w:r>
          </w:p>
        </w:tc>
        <w:tc>
          <w:tcPr>
            <w:tcW w:w="1558" w:type="dxa"/>
          </w:tcPr>
          <w:p w14:paraId="2628206D" w14:textId="1A11F59D"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84</w:t>
            </w:r>
          </w:p>
        </w:tc>
        <w:tc>
          <w:tcPr>
            <w:tcW w:w="1559" w:type="dxa"/>
          </w:tcPr>
          <w:p w14:paraId="6C70BBA7" w14:textId="5D6F9BCB"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86</w:t>
            </w:r>
          </w:p>
        </w:tc>
        <w:tc>
          <w:tcPr>
            <w:tcW w:w="1559" w:type="dxa"/>
          </w:tcPr>
          <w:p w14:paraId="3BDBEF81" w14:textId="608A424E" w:rsidR="00B70F21" w:rsidRDefault="00B70F21" w:rsidP="00B70F21">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88</w:t>
            </w:r>
          </w:p>
        </w:tc>
      </w:tr>
    </w:tbl>
    <w:p w14:paraId="57ACCF8E" w14:textId="77777777" w:rsidR="00B70F21" w:rsidRDefault="00B70F21" w:rsidP="00BD5535">
      <w:pPr>
        <w:autoSpaceDE w:val="0"/>
        <w:autoSpaceDN w:val="0"/>
        <w:adjustRightInd w:val="0"/>
        <w:rPr>
          <w:rFonts w:ascii="Times New Roman" w:hAnsi="Times New Roman" w:cs="Times New Roman"/>
          <w:bCs/>
          <w:color w:val="000000"/>
        </w:rPr>
      </w:pPr>
    </w:p>
    <w:p w14:paraId="44F573D9" w14:textId="176A260C" w:rsidR="00AD59C1" w:rsidRDefault="00AD59C1" w:rsidP="00BD5535">
      <w:pPr>
        <w:autoSpaceDE w:val="0"/>
        <w:autoSpaceDN w:val="0"/>
        <w:adjustRightInd w:val="0"/>
        <w:rPr>
          <w:rFonts w:ascii="Times New Roman" w:hAnsi="Times New Roman" w:cs="Times New Roman"/>
          <w:bCs/>
          <w:color w:val="000000"/>
        </w:rPr>
      </w:pPr>
    </w:p>
    <w:p w14:paraId="5E426882" w14:textId="34B02E60" w:rsidR="00AD59C1" w:rsidRDefault="00AD59C1" w:rsidP="00BD5535">
      <w:pPr>
        <w:autoSpaceDE w:val="0"/>
        <w:autoSpaceDN w:val="0"/>
        <w:adjustRightInd w:val="0"/>
        <w:rPr>
          <w:rFonts w:ascii="Times New Roman" w:hAnsi="Times New Roman" w:cs="Times New Roman"/>
          <w:bCs/>
          <w:color w:val="000000"/>
        </w:rPr>
      </w:pPr>
    </w:p>
    <w:p w14:paraId="65EFE8F9" w14:textId="7878D264" w:rsidR="00AD59C1" w:rsidRPr="00AD59C1" w:rsidRDefault="00AD59C1" w:rsidP="00BD5535">
      <w:pPr>
        <w:autoSpaceDE w:val="0"/>
        <w:autoSpaceDN w:val="0"/>
        <w:adjustRightInd w:val="0"/>
        <w:rPr>
          <w:rFonts w:ascii="Times New Roman" w:hAnsi="Times New Roman" w:cs="Times New Roman"/>
          <w:b/>
          <w:color w:val="000000"/>
        </w:rPr>
      </w:pPr>
      <w:r w:rsidRPr="00AD59C1">
        <w:rPr>
          <w:rFonts w:ascii="Times New Roman" w:hAnsi="Times New Roman" w:cs="Times New Roman"/>
          <w:b/>
          <w:color w:val="000000"/>
        </w:rPr>
        <w:t>References</w:t>
      </w:r>
    </w:p>
    <w:p w14:paraId="0F7BD4F8" w14:textId="1C43814D" w:rsidR="005F6307" w:rsidRDefault="00B70F21"/>
    <w:p w14:paraId="64C42250" w14:textId="536551DE" w:rsidR="00AD59C1" w:rsidRDefault="00AD59C1"/>
    <w:p w14:paraId="240C212F" w14:textId="7AD330A7" w:rsidR="00AD59C1" w:rsidRPr="00AD59C1" w:rsidRDefault="00AD59C1" w:rsidP="00AD59C1">
      <w:pPr>
        <w:pStyle w:val="Bibliography"/>
        <w:rPr>
          <w:rFonts w:ascii="Calibri" w:cs="Calibri"/>
        </w:rPr>
      </w:pPr>
      <w:r>
        <w:fldChar w:fldCharType="begin"/>
      </w:r>
      <w:r>
        <w:instrText xml:space="preserve"> ADDIN ZOTERO_BIBL {"uncited":[],"omitted":[],"custom":[]} CSL_BIBLIOGRAPHY </w:instrText>
      </w:r>
      <w:r>
        <w:fldChar w:fldCharType="separate"/>
      </w:r>
      <w:r w:rsidRPr="00AD59C1">
        <w:rPr>
          <w:rFonts w:ascii="Calibri" w:cs="Calibri"/>
        </w:rPr>
        <w:t xml:space="preserve">Del Giorgio, P. A., &amp; Williams, P. J. </w:t>
      </w:r>
      <w:proofErr w:type="spellStart"/>
      <w:r w:rsidRPr="00AD59C1">
        <w:rPr>
          <w:rFonts w:ascii="Calibri" w:cs="Calibri"/>
        </w:rPr>
        <w:t>leB</w:t>
      </w:r>
      <w:proofErr w:type="spellEnd"/>
      <w:r w:rsidRPr="00AD59C1">
        <w:rPr>
          <w:rFonts w:ascii="Calibri" w:cs="Calibri"/>
        </w:rPr>
        <w:t xml:space="preserve"> (Eds.). (2005). </w:t>
      </w:r>
      <w:r w:rsidRPr="00AD59C1">
        <w:rPr>
          <w:rFonts w:ascii="Calibri" w:cs="Calibri"/>
          <w:i/>
          <w:iCs/>
        </w:rPr>
        <w:t>Respiration in aquatic ecosystems</w:t>
      </w:r>
      <w:r w:rsidRPr="00AD59C1">
        <w:rPr>
          <w:rFonts w:ascii="Calibri" w:cs="Calibri"/>
        </w:rPr>
        <w:t>. Oxford University Press.</w:t>
      </w:r>
    </w:p>
    <w:p w14:paraId="0061D388" w14:textId="77777777" w:rsidR="00AD59C1" w:rsidRPr="00AD59C1" w:rsidRDefault="00AD59C1" w:rsidP="00AD59C1">
      <w:pPr>
        <w:pStyle w:val="Bibliography"/>
        <w:rPr>
          <w:rFonts w:ascii="Calibri" w:cs="Calibri"/>
        </w:rPr>
      </w:pPr>
      <w:r w:rsidRPr="00AD59C1">
        <w:rPr>
          <w:rFonts w:ascii="Calibri" w:cs="Calibri"/>
        </w:rPr>
        <w:t xml:space="preserve">García-Martín, E. E., </w:t>
      </w:r>
      <w:proofErr w:type="spellStart"/>
      <w:r w:rsidRPr="00AD59C1">
        <w:rPr>
          <w:rFonts w:ascii="Calibri" w:cs="Calibri"/>
        </w:rPr>
        <w:t>Aranguren-Gassis</w:t>
      </w:r>
      <w:proofErr w:type="spellEnd"/>
      <w:r w:rsidRPr="00AD59C1">
        <w:rPr>
          <w:rFonts w:ascii="Calibri" w:cs="Calibri"/>
        </w:rPr>
        <w:t xml:space="preserve">, M., Karl, D. M., Martínez-García, S., Robinson, C., </w:t>
      </w:r>
      <w:proofErr w:type="spellStart"/>
      <w:r w:rsidRPr="00AD59C1">
        <w:rPr>
          <w:rFonts w:ascii="Calibri" w:cs="Calibri"/>
        </w:rPr>
        <w:t>Serret</w:t>
      </w:r>
      <w:proofErr w:type="spellEnd"/>
      <w:r w:rsidRPr="00AD59C1">
        <w:rPr>
          <w:rFonts w:ascii="Calibri" w:cs="Calibri"/>
        </w:rPr>
        <w:t xml:space="preserve">, P., &amp; </w:t>
      </w:r>
      <w:proofErr w:type="spellStart"/>
      <w:r w:rsidRPr="00AD59C1">
        <w:rPr>
          <w:rFonts w:ascii="Calibri" w:cs="Calibri"/>
        </w:rPr>
        <w:t>Teira</w:t>
      </w:r>
      <w:proofErr w:type="spellEnd"/>
      <w:r w:rsidRPr="00AD59C1">
        <w:rPr>
          <w:rFonts w:ascii="Calibri" w:cs="Calibri"/>
        </w:rPr>
        <w:t xml:space="preserve">, E. (2019). Validation of the in vivo </w:t>
      </w:r>
      <w:proofErr w:type="spellStart"/>
      <w:r w:rsidRPr="00AD59C1">
        <w:rPr>
          <w:rFonts w:ascii="Calibri" w:cs="Calibri"/>
        </w:rPr>
        <w:t>Iodo</w:t>
      </w:r>
      <w:proofErr w:type="spellEnd"/>
      <w:r w:rsidRPr="00AD59C1">
        <w:rPr>
          <w:rFonts w:ascii="Calibri" w:cs="Calibri"/>
        </w:rPr>
        <w:t xml:space="preserve">-Nitro-Tetrazolium (INT) Salt Reduction Method as a Proxy for Plankton Respiration. </w:t>
      </w:r>
      <w:r w:rsidRPr="00AD59C1">
        <w:rPr>
          <w:rFonts w:ascii="Calibri" w:cs="Calibri"/>
          <w:i/>
          <w:iCs/>
        </w:rPr>
        <w:t>Frontiers in Marine Science</w:t>
      </w:r>
      <w:r w:rsidRPr="00AD59C1">
        <w:rPr>
          <w:rFonts w:ascii="Calibri" w:cs="Calibri"/>
        </w:rPr>
        <w:t xml:space="preserve">, </w:t>
      </w:r>
      <w:r w:rsidRPr="00AD59C1">
        <w:rPr>
          <w:rFonts w:ascii="Calibri" w:cs="Calibri"/>
          <w:i/>
          <w:iCs/>
        </w:rPr>
        <w:t>6</w:t>
      </w:r>
      <w:r w:rsidRPr="00AD59C1">
        <w:rPr>
          <w:rFonts w:ascii="Calibri" w:cs="Calibri"/>
        </w:rPr>
        <w:t>, 220. https://doi.org/10.3389/fmars.2019.00220</w:t>
      </w:r>
    </w:p>
    <w:p w14:paraId="43FCB883" w14:textId="77777777" w:rsidR="00AD59C1" w:rsidRPr="00AD59C1" w:rsidRDefault="00AD59C1" w:rsidP="00AD59C1">
      <w:pPr>
        <w:pStyle w:val="Bibliography"/>
        <w:rPr>
          <w:rFonts w:ascii="Calibri" w:cs="Calibri"/>
        </w:rPr>
      </w:pPr>
      <w:r w:rsidRPr="00AD59C1">
        <w:rPr>
          <w:rFonts w:ascii="Calibri" w:cs="Calibri"/>
        </w:rPr>
        <w:t xml:space="preserve">Martínez-García, S., Fernández, E., </w:t>
      </w:r>
      <w:proofErr w:type="spellStart"/>
      <w:r w:rsidRPr="00AD59C1">
        <w:rPr>
          <w:rFonts w:ascii="Calibri" w:cs="Calibri"/>
        </w:rPr>
        <w:t>Aranguren-Gassis</w:t>
      </w:r>
      <w:proofErr w:type="spellEnd"/>
      <w:r w:rsidRPr="00AD59C1">
        <w:rPr>
          <w:rFonts w:ascii="Calibri" w:cs="Calibri"/>
        </w:rPr>
        <w:t xml:space="preserve">, M., &amp; </w:t>
      </w:r>
      <w:proofErr w:type="spellStart"/>
      <w:r w:rsidRPr="00AD59C1">
        <w:rPr>
          <w:rFonts w:ascii="Calibri" w:cs="Calibri"/>
        </w:rPr>
        <w:t>Teira</w:t>
      </w:r>
      <w:proofErr w:type="spellEnd"/>
      <w:r w:rsidRPr="00AD59C1">
        <w:rPr>
          <w:rFonts w:ascii="Calibri" w:cs="Calibri"/>
        </w:rPr>
        <w:t xml:space="preserve">, E. (2009). In vivo electron transport system activity: A method to estimate respiration in natural marine microbial planktonic communities: Estimating in vivo ETS activity rates. </w:t>
      </w:r>
      <w:r w:rsidRPr="00AD59C1">
        <w:rPr>
          <w:rFonts w:ascii="Calibri" w:cs="Calibri"/>
          <w:i/>
          <w:iCs/>
        </w:rPr>
        <w:t>Limnology and Oceanography: Methods</w:t>
      </w:r>
      <w:r w:rsidRPr="00AD59C1">
        <w:rPr>
          <w:rFonts w:ascii="Calibri" w:cs="Calibri"/>
        </w:rPr>
        <w:t xml:space="preserve">, </w:t>
      </w:r>
      <w:r w:rsidRPr="00AD59C1">
        <w:rPr>
          <w:rFonts w:ascii="Calibri" w:cs="Calibri"/>
          <w:i/>
          <w:iCs/>
        </w:rPr>
        <w:t>7</w:t>
      </w:r>
      <w:r w:rsidRPr="00AD59C1">
        <w:rPr>
          <w:rFonts w:ascii="Calibri" w:cs="Calibri"/>
        </w:rPr>
        <w:t>(6), 459–469. https://doi.org/10.4319/lom.2009.7.459</w:t>
      </w:r>
    </w:p>
    <w:p w14:paraId="513F4498" w14:textId="77777777" w:rsidR="00AD59C1" w:rsidRPr="00AD59C1" w:rsidRDefault="00AD59C1" w:rsidP="00AD59C1">
      <w:pPr>
        <w:pStyle w:val="Bibliography"/>
        <w:rPr>
          <w:rFonts w:ascii="Calibri" w:cs="Calibri"/>
        </w:rPr>
      </w:pPr>
      <w:r w:rsidRPr="00AD59C1">
        <w:rPr>
          <w:rFonts w:ascii="Calibri" w:cs="Calibri"/>
        </w:rPr>
        <w:lastRenderedPageBreak/>
        <w:t xml:space="preserve">Packard, T. T., </w:t>
      </w:r>
      <w:proofErr w:type="spellStart"/>
      <w:r w:rsidRPr="00AD59C1">
        <w:rPr>
          <w:rFonts w:ascii="Calibri" w:cs="Calibri"/>
        </w:rPr>
        <w:t>Berdalet</w:t>
      </w:r>
      <w:proofErr w:type="spellEnd"/>
      <w:r w:rsidRPr="00AD59C1">
        <w:rPr>
          <w:rFonts w:ascii="Calibri" w:cs="Calibri"/>
        </w:rPr>
        <w:t xml:space="preserve">, E., </w:t>
      </w:r>
      <w:proofErr w:type="spellStart"/>
      <w:r w:rsidRPr="00AD59C1">
        <w:rPr>
          <w:rFonts w:ascii="Calibri" w:cs="Calibri"/>
        </w:rPr>
        <w:t>Blasco</w:t>
      </w:r>
      <w:proofErr w:type="spellEnd"/>
      <w:r w:rsidRPr="00AD59C1">
        <w:rPr>
          <w:rFonts w:ascii="Calibri" w:cs="Calibri"/>
        </w:rPr>
        <w:t>, D., Roy, S. O., St-</w:t>
      </w:r>
      <w:proofErr w:type="spellStart"/>
      <w:r w:rsidRPr="00AD59C1">
        <w:rPr>
          <w:rFonts w:ascii="Calibri" w:cs="Calibri"/>
        </w:rPr>
        <w:t>Amand</w:t>
      </w:r>
      <w:proofErr w:type="spellEnd"/>
      <w:r w:rsidRPr="00AD59C1">
        <w:rPr>
          <w:rFonts w:ascii="Calibri" w:cs="Calibri"/>
        </w:rPr>
        <w:t xml:space="preserve">, L., </w:t>
      </w:r>
      <w:proofErr w:type="spellStart"/>
      <w:r w:rsidRPr="00AD59C1">
        <w:rPr>
          <w:rFonts w:ascii="Calibri" w:cs="Calibri"/>
        </w:rPr>
        <w:t>Lagacé</w:t>
      </w:r>
      <w:proofErr w:type="spellEnd"/>
      <w:r w:rsidRPr="00AD59C1">
        <w:rPr>
          <w:rFonts w:ascii="Calibri" w:cs="Calibri"/>
        </w:rPr>
        <w:t xml:space="preserve">, B., Lee, K., &amp; </w:t>
      </w:r>
      <w:proofErr w:type="spellStart"/>
      <w:r w:rsidRPr="00AD59C1">
        <w:rPr>
          <w:rFonts w:ascii="Calibri" w:cs="Calibri"/>
        </w:rPr>
        <w:t>Gagnó</w:t>
      </w:r>
      <w:proofErr w:type="spellEnd"/>
      <w:r w:rsidRPr="00AD59C1">
        <w:rPr>
          <w:rFonts w:ascii="Calibri" w:cs="Calibri"/>
        </w:rPr>
        <w:t xml:space="preserve">, J.-P. (1996). Oxygen consumption in the marine bacterium Pseudomonas </w:t>
      </w:r>
      <w:proofErr w:type="spellStart"/>
      <w:r w:rsidRPr="00AD59C1">
        <w:rPr>
          <w:rFonts w:ascii="Calibri" w:cs="Calibri"/>
        </w:rPr>
        <w:t>nautica</w:t>
      </w:r>
      <w:proofErr w:type="spellEnd"/>
      <w:r w:rsidRPr="00AD59C1">
        <w:rPr>
          <w:rFonts w:ascii="Calibri" w:cs="Calibri"/>
        </w:rPr>
        <w:t xml:space="preserve"> predicted from ETS activity and </w:t>
      </w:r>
      <w:proofErr w:type="spellStart"/>
      <w:r w:rsidRPr="00AD59C1">
        <w:rPr>
          <w:rFonts w:ascii="Calibri" w:cs="Calibri"/>
        </w:rPr>
        <w:t>bisubstrate</w:t>
      </w:r>
      <w:proofErr w:type="spellEnd"/>
      <w:r w:rsidRPr="00AD59C1">
        <w:rPr>
          <w:rFonts w:ascii="Calibri" w:cs="Calibri"/>
        </w:rPr>
        <w:t xml:space="preserve"> enzyme kinetics. </w:t>
      </w:r>
      <w:r w:rsidRPr="00AD59C1">
        <w:rPr>
          <w:rFonts w:ascii="Calibri" w:cs="Calibri"/>
          <w:i/>
          <w:iCs/>
        </w:rPr>
        <w:t>Journal of Plankton Research</w:t>
      </w:r>
      <w:r w:rsidRPr="00AD59C1">
        <w:rPr>
          <w:rFonts w:ascii="Calibri" w:cs="Calibri"/>
        </w:rPr>
        <w:t xml:space="preserve">, </w:t>
      </w:r>
      <w:r w:rsidRPr="00AD59C1">
        <w:rPr>
          <w:rFonts w:ascii="Calibri" w:cs="Calibri"/>
          <w:i/>
          <w:iCs/>
        </w:rPr>
        <w:t>18</w:t>
      </w:r>
      <w:r w:rsidRPr="00AD59C1">
        <w:rPr>
          <w:rFonts w:ascii="Calibri" w:cs="Calibri"/>
        </w:rPr>
        <w:t>(10), 1819–1835. https://doi.org/10.1093/plankt/18.10.1819</w:t>
      </w:r>
    </w:p>
    <w:p w14:paraId="03375CA1" w14:textId="77777777" w:rsidR="00AD59C1" w:rsidRPr="00AD59C1" w:rsidRDefault="00AD59C1" w:rsidP="00AD59C1">
      <w:pPr>
        <w:pStyle w:val="Bibliography"/>
        <w:rPr>
          <w:rFonts w:ascii="Calibri" w:cs="Calibri"/>
        </w:rPr>
      </w:pPr>
      <w:r w:rsidRPr="00AD59C1">
        <w:rPr>
          <w:rFonts w:ascii="Calibri" w:cs="Calibri"/>
        </w:rPr>
        <w:t xml:space="preserve">Robinson, C. (2019). Microbial Respiration, the Engine of Ocean Deoxygenation. </w:t>
      </w:r>
      <w:r w:rsidRPr="00AD59C1">
        <w:rPr>
          <w:rFonts w:ascii="Calibri" w:cs="Calibri"/>
          <w:i/>
          <w:iCs/>
        </w:rPr>
        <w:t>Frontiers in Marine Science</w:t>
      </w:r>
      <w:r w:rsidRPr="00AD59C1">
        <w:rPr>
          <w:rFonts w:ascii="Calibri" w:cs="Calibri"/>
        </w:rPr>
        <w:t xml:space="preserve">, </w:t>
      </w:r>
      <w:r w:rsidRPr="00AD59C1">
        <w:rPr>
          <w:rFonts w:ascii="Calibri" w:cs="Calibri"/>
          <w:i/>
          <w:iCs/>
        </w:rPr>
        <w:t>5</w:t>
      </w:r>
      <w:r w:rsidRPr="00AD59C1">
        <w:rPr>
          <w:rFonts w:ascii="Calibri" w:cs="Calibri"/>
        </w:rPr>
        <w:t>, 533. https://doi.org/10.3389/fmars.2018.00533</w:t>
      </w:r>
    </w:p>
    <w:p w14:paraId="7102A6AF" w14:textId="34B78D8F" w:rsidR="00AD59C1" w:rsidRDefault="00AD59C1">
      <w:r>
        <w:fldChar w:fldCharType="end"/>
      </w:r>
    </w:p>
    <w:sectPr w:rsidR="00AD5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35"/>
    <w:rsid w:val="0052388B"/>
    <w:rsid w:val="005A33C4"/>
    <w:rsid w:val="00AD59C1"/>
    <w:rsid w:val="00B70F21"/>
    <w:rsid w:val="00BD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3573E8"/>
  <w15:chartTrackingRefBased/>
  <w15:docId w15:val="{F5659B1D-9261-AD4F-BE8B-12619833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5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D59C1"/>
    <w:pPr>
      <w:spacing w:line="480" w:lineRule="auto"/>
      <w:ind w:left="720" w:hanging="720"/>
    </w:pPr>
  </w:style>
  <w:style w:type="table" w:styleId="TableGrid">
    <w:name w:val="Table Grid"/>
    <w:basedOn w:val="TableNormal"/>
    <w:uiPriority w:val="39"/>
    <w:rsid w:val="00B70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2868</Words>
  <Characters>16351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 English</dc:creator>
  <cp:keywords/>
  <dc:description/>
  <cp:lastModifiedBy>Chance English</cp:lastModifiedBy>
  <cp:revision>2</cp:revision>
  <dcterms:created xsi:type="dcterms:W3CDTF">2021-05-16T14:01:00Z</dcterms:created>
  <dcterms:modified xsi:type="dcterms:W3CDTF">2021-05-16T14:15:00Z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zotero-version="5.0.97-beta.15+205fe7f03"&gt;&lt;session id="UWKC1Z69"/&gt;&lt;style id="http://www.zotero.org/styles/apa"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