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hd w:val="clear" w:color="auto" w:fill="FFFFFF"/>
        <w:spacing w:line="360" w:lineRule="atLeast"/>
        <w:ind w:firstLine="426"/>
        <w:jc w:val="center"/>
        <w:rPr>
          <w:rFonts w:ascii="华文中宋" w:hAnsi="华文中宋" w:eastAsia="华文中宋" w:cs="Arial"/>
          <w:color w:val="333333"/>
          <w:kern w:val="0"/>
          <w:sz w:val="52"/>
          <w:szCs w:val="52"/>
        </w:rPr>
      </w:pPr>
      <w:r>
        <w:rPr>
          <w:rFonts w:hint="eastAsia" w:ascii="华文中宋" w:hAnsi="华文中宋" w:eastAsia="华文中宋" w:cs="Arial"/>
          <w:color w:val="333333"/>
          <w:kern w:val="0"/>
          <w:sz w:val="52"/>
          <w:szCs w:val="52"/>
        </w:rPr>
        <w:t>中国大学生计算机设计大赛</w:t>
      </w:r>
    </w:p>
    <w:p>
      <w:pPr>
        <w:widowControl/>
        <w:shd w:val="clear" w:color="auto" w:fill="FFFFFF"/>
        <w:spacing w:line="360" w:lineRule="atLeast"/>
        <w:ind w:firstLine="1040"/>
        <w:jc w:val="center"/>
        <w:rPr>
          <w:rFonts w:ascii="华文中宋" w:hAnsi="华文中宋" w:eastAsia="华文中宋" w:cs="Arial"/>
          <w:color w:val="333333"/>
          <w:kern w:val="0"/>
          <w:szCs w:val="21"/>
        </w:rPr>
      </w:pPr>
    </w:p>
    <w:p>
      <w:pPr>
        <w:widowControl/>
        <w:shd w:val="clear" w:color="auto" w:fill="FFFFFF"/>
        <w:spacing w:line="360" w:lineRule="atLeast"/>
        <w:ind w:firstLine="420"/>
        <w:jc w:val="center"/>
        <w:rPr>
          <w:rFonts w:ascii="Arial" w:hAnsi="Arial" w:eastAsia="宋体" w:cs="Arial"/>
          <w:color w:val="333333"/>
          <w:kern w:val="0"/>
          <w:szCs w:val="21"/>
        </w:rPr>
      </w:pPr>
      <w:r>
        <w:rPr>
          <w:rFonts w:ascii="仿宋_GB2312" w:hAnsi="楷体" w:eastAsia="仿宋_GB2312" w:cs="仿宋_GB2312"/>
          <w:color w:val="000000"/>
          <w:sz w:val="32"/>
          <w:szCs w:val="32"/>
        </w:rPr>
        <w:drawing>
          <wp:inline distT="0" distB="0" distL="0" distR="0">
            <wp:extent cx="1713230" cy="1565910"/>
            <wp:effectExtent l="0" t="0" r="1270" b="0"/>
            <wp:docPr id="3" name="图片 3" descr="C:\Users\blculjm\AppData\Local\Temp\1618755595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blculjm\AppData\Local\Temp\1618755595(1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0092" cy="1608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F"/>
        <w:spacing w:line="360" w:lineRule="atLeast"/>
        <w:ind w:firstLine="1040"/>
        <w:jc w:val="center"/>
        <w:rPr>
          <w:rFonts w:ascii="华文中宋" w:hAnsi="华文中宋" w:eastAsia="华文中宋" w:cs="Arial"/>
          <w:color w:val="333333"/>
          <w:kern w:val="0"/>
          <w:szCs w:val="21"/>
        </w:rPr>
      </w:pPr>
    </w:p>
    <w:p>
      <w:pPr>
        <w:widowControl/>
        <w:shd w:val="clear" w:color="auto" w:fill="FFFFFF"/>
        <w:spacing w:after="624" w:afterLines="200" w:line="360" w:lineRule="atLeast"/>
        <w:ind w:firstLine="426"/>
        <w:jc w:val="center"/>
        <w:rPr>
          <w:rFonts w:ascii="华文楷体" w:hAnsi="华文楷体" w:eastAsia="华文楷体" w:cs="Arial"/>
          <w:color w:val="333333"/>
          <w:kern w:val="0"/>
          <w:sz w:val="32"/>
          <w:szCs w:val="32"/>
        </w:rPr>
      </w:pPr>
      <w:r>
        <w:rPr>
          <w:rFonts w:hint="eastAsia" w:ascii="华文楷体" w:hAnsi="华文楷体" w:eastAsia="华文楷体" w:cs="Arial"/>
          <w:color w:val="333333"/>
          <w:kern w:val="0"/>
          <w:sz w:val="32"/>
          <w:szCs w:val="32"/>
        </w:rPr>
        <w:t>软件开发类作品文档简要要求</w:t>
      </w:r>
    </w:p>
    <w:p>
      <w:pPr>
        <w:widowControl/>
        <w:shd w:val="clear" w:color="auto" w:fill="FFFFFF"/>
        <w:spacing w:before="156" w:beforeLines="50" w:line="360" w:lineRule="atLeast"/>
        <w:jc w:val="left"/>
        <w:rPr>
          <w:rFonts w:ascii="宋体" w:hAnsi="宋体" w:eastAsia="宋体" w:cs="Arial"/>
          <w:color w:val="333333"/>
          <w:kern w:val="0"/>
          <w:sz w:val="32"/>
          <w:szCs w:val="32"/>
        </w:rPr>
      </w:pPr>
      <w:r>
        <w:t>作品编号：NG-2026-01（提交前按组委会编号替换）</w:t>
      </w:r>
    </w:p>
    <w:p>
      <w:pPr>
        <w:widowControl/>
        <w:shd w:val="clear" w:color="auto" w:fill="FFFFFF"/>
        <w:spacing w:before="156" w:beforeLines="50" w:line="360" w:lineRule="atLeast"/>
        <w:jc w:val="left"/>
        <w:rPr>
          <w:rFonts w:ascii="宋体" w:hAnsi="宋体" w:eastAsia="宋体" w:cs="Arial"/>
          <w:color w:val="333333"/>
          <w:kern w:val="0"/>
          <w:sz w:val="32"/>
          <w:szCs w:val="32"/>
        </w:rPr>
      </w:pPr>
      <w:r>
        <w:t>作品名称：NebulaGuard 社区地震应急指挥协同系统</w:t>
      </w:r>
    </w:p>
    <w:p>
      <w:pPr>
        <w:widowControl/>
        <w:shd w:val="clear" w:color="auto" w:fill="FFFFFF"/>
        <w:spacing w:before="156" w:beforeLines="50" w:line="360" w:lineRule="atLeast"/>
        <w:jc w:val="left"/>
        <w:rPr>
          <w:rFonts w:ascii="宋体" w:hAnsi="宋体" w:eastAsia="宋体" w:cs="Arial"/>
          <w:color w:val="333333"/>
          <w:kern w:val="0"/>
          <w:sz w:val="32"/>
          <w:szCs w:val="32"/>
        </w:rPr>
      </w:pPr>
      <w:r>
        <w:t>作　　者：NebulaGuard 项目组（提交前替换为参赛成员）</w:t>
      </w:r>
    </w:p>
    <w:p>
      <w:pPr>
        <w:widowControl/>
        <w:shd w:val="clear" w:color="auto" w:fill="FFFFFF"/>
        <w:spacing w:before="156" w:beforeLines="50" w:line="360" w:lineRule="atLeast"/>
        <w:jc w:val="left"/>
        <w:rPr>
          <w:rFonts w:ascii="宋体" w:hAnsi="宋体" w:eastAsia="宋体" w:cs="Arial"/>
          <w:color w:val="333333"/>
          <w:kern w:val="0"/>
          <w:sz w:val="32"/>
          <w:szCs w:val="32"/>
        </w:rPr>
      </w:pPr>
      <w:r>
        <w:t>版本编号：v1.6.0</w:t>
      </w:r>
    </w:p>
    <w:p>
      <w:pPr>
        <w:widowControl/>
        <w:shd w:val="clear" w:color="auto" w:fill="FFFFFF"/>
        <w:spacing w:before="156" w:beforeLines="50" w:after="624" w:afterLines="200" w:line="360" w:lineRule="atLeast"/>
        <w:jc w:val="left"/>
        <w:rPr>
          <w:rFonts w:ascii="宋体" w:hAnsi="宋体" w:eastAsia="宋体" w:cs="Arial"/>
          <w:color w:val="333333"/>
          <w:kern w:val="0"/>
          <w:sz w:val="32"/>
          <w:szCs w:val="32"/>
        </w:rPr>
      </w:pPr>
      <w:r>
        <w:t>填写日期：2026-03-03</w:t>
      </w:r>
    </w:p>
    <w:p>
      <w:pPr>
        <w:widowControl/>
        <w:ind w:firstLine="420"/>
        <w:jc w:val="left"/>
      </w:pPr>
    </w:p>
    <w:p>
      <w:pPr>
        <w:widowControl/>
        <w:ind w:firstLine="420"/>
        <w:jc w:val="left"/>
      </w:pPr>
    </w:p>
    <w:p>
      <w:pPr>
        <w:widowControl/>
        <w:ind w:firstLine="420"/>
        <w:jc w:val="left"/>
      </w:pPr>
    </w:p>
    <w:p>
      <w:pPr>
        <w:widowControl/>
        <w:ind w:firstLine="420"/>
        <w:jc w:val="left"/>
      </w:pPr>
    </w:p>
    <w:sdt>
      <w:sdtPr>
        <w:rPr>
          <w:b/>
          <w:sz w:val="28"/>
          <w:szCs w:val="28"/>
        </w:rPr>
        <w:id w:val="-982233210"/>
        <w:docPartObj>
          <w:docPartGallery w:val="Table of Contents"/>
          <w:docPartUnique/>
        </w:docPartObj>
      </w:sdtPr>
      <w:sdtEndPr>
        <w:rPr>
          <w:b/>
          <w:sz w:val="28"/>
          <w:szCs w:val="28"/>
          <w:lang w:val="zh-CN"/>
        </w:rPr>
      </w:sdtEndPr>
      <w:sdtContent>
        <w:p>
          <w:pPr>
            <w:jc w:val="center"/>
            <w:rPr>
              <w:sz w:val="32"/>
              <w:szCs w:val="32"/>
            </w:rPr>
          </w:pPr>
          <w:r>
            <w:rPr>
              <w:sz w:val="32"/>
              <w:szCs w:val="32"/>
            </w:rPr>
            <w:t>目</w:t>
          </w:r>
          <w:r>
            <w:rPr>
              <w:rFonts w:hint="eastAsia"/>
              <w:sz w:val="32"/>
              <w:szCs w:val="32"/>
            </w:rPr>
            <w:t xml:space="preserve"> </w:t>
          </w:r>
          <w:r>
            <w:rPr>
              <w:sz w:val="32"/>
              <w:szCs w:val="32"/>
            </w:rPr>
            <w:t xml:space="preserve"> 录</w:t>
          </w:r>
        </w:p>
        <w:p>
          <w:pPr>
            <w:pStyle w:val="8"/>
            <w:rPr>
              <w:b w:val="0"/>
              <w:sz w:val="21"/>
              <w:szCs w:val="22"/>
            </w:rPr>
          </w:pPr>
          <w:r>
            <w:rPr>
              <w:rFonts w:ascii="华文楷体" w:hAnsi="华文楷体" w:eastAsia="华文楷体"/>
              <w:b w:val="0"/>
              <w:bCs/>
              <w:lang w:val="zh-CN"/>
            </w:rPr>
            <w:fldChar w:fldCharType="begin"/>
          </w:r>
          <w:r>
            <w:rPr>
              <w:rFonts w:ascii="华文楷体" w:hAnsi="华文楷体" w:eastAsia="华文楷体"/>
              <w:b w:val="0"/>
              <w:bCs/>
              <w:lang w:val="zh-CN"/>
            </w:rPr>
            <w:instrText xml:space="preserve"> TOC \o "1-3" \h \z \u </w:instrText>
          </w:r>
          <w:r>
            <w:rPr>
              <w:rFonts w:ascii="华文楷体" w:hAnsi="华文楷体" w:eastAsia="华文楷体"/>
              <w:b w:val="0"/>
              <w:bCs/>
              <w:lang w:val="zh-CN"/>
            </w:rPr>
            <w:fldChar w:fldCharType="separate"/>
          </w:r>
          <w:r>
            <w:fldChar w:fldCharType="begin"/>
          </w:r>
          <w:r>
            <w:instrText xml:space="preserve"> HYPERLINK \l "_Toc100040660" </w:instrText>
          </w:r>
          <w:r>
            <w:fldChar w:fldCharType="separate"/>
          </w:r>
          <w:r>
            <w:rPr>
              <w:rStyle w:val="13"/>
              <w:b w:val="0"/>
            </w:rPr>
            <w:t>第一章</w:t>
          </w:r>
          <w:r>
            <w:rPr>
              <w:b w:val="0"/>
              <w:sz w:val="21"/>
              <w:szCs w:val="22"/>
            </w:rPr>
            <w:tab/>
          </w:r>
          <w:r>
            <w:rPr>
              <w:rStyle w:val="13"/>
              <w:b w:val="0"/>
            </w:rPr>
            <w:t>需求分析</w:t>
          </w:r>
          <w:r>
            <w:rPr>
              <w:b w:val="0"/>
            </w:rPr>
            <w:tab/>
          </w:r>
          <w:r>
            <w:rPr>
              <w:b w:val="0"/>
            </w:rPr>
            <w:fldChar w:fldCharType="begin"/>
          </w:r>
          <w:r>
            <w:rPr>
              <w:b w:val="0"/>
            </w:rPr>
            <w:instrText xml:space="preserve"> PAGEREF _Toc100040660 \h </w:instrText>
          </w:r>
          <w:r>
            <w:rPr>
              <w:b w:val="0"/>
            </w:rPr>
            <w:fldChar w:fldCharType="separate"/>
          </w:r>
          <w:r>
            <w:rPr>
              <w:b w:val="0"/>
            </w:rPr>
            <w:t>6</w:t>
          </w:r>
          <w:r>
            <w:rPr>
              <w:b w:val="0"/>
            </w:rPr>
            <w:fldChar w:fldCharType="end"/>
          </w:r>
          <w:r>
            <w:rPr>
              <w:b w:val="0"/>
            </w:rPr>
            <w:fldChar w:fldCharType="end"/>
          </w:r>
        </w:p>
        <w:p>
          <w:pPr>
            <w:pStyle w:val="8"/>
            <w:rPr>
              <w:b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"_Toc100040661" </w:instrText>
          </w:r>
          <w:r>
            <w:fldChar w:fldCharType="separate"/>
          </w:r>
          <w:r>
            <w:rPr>
              <w:rStyle w:val="13"/>
              <w:b w:val="0"/>
            </w:rPr>
            <w:t>第二章</w:t>
          </w:r>
          <w:r>
            <w:rPr>
              <w:b w:val="0"/>
              <w:sz w:val="21"/>
              <w:szCs w:val="22"/>
            </w:rPr>
            <w:tab/>
          </w:r>
          <w:r>
            <w:rPr>
              <w:rStyle w:val="13"/>
              <w:b w:val="0"/>
            </w:rPr>
            <w:t>概要设计</w:t>
          </w:r>
          <w:r>
            <w:rPr>
              <w:b w:val="0"/>
            </w:rPr>
            <w:tab/>
          </w:r>
          <w:r>
            <w:rPr>
              <w:b w:val="0"/>
            </w:rPr>
            <w:fldChar w:fldCharType="begin"/>
          </w:r>
          <w:r>
            <w:rPr>
              <w:b w:val="0"/>
            </w:rPr>
            <w:instrText xml:space="preserve"> PAGEREF _Toc100040661 \h </w:instrText>
          </w:r>
          <w:r>
            <w:rPr>
              <w:b w:val="0"/>
            </w:rPr>
            <w:fldChar w:fldCharType="separate"/>
          </w:r>
          <w:r>
            <w:rPr>
              <w:b w:val="0"/>
            </w:rPr>
            <w:t>6</w:t>
          </w:r>
          <w:r>
            <w:rPr>
              <w:b w:val="0"/>
            </w:rPr>
            <w:fldChar w:fldCharType="end"/>
          </w:r>
          <w:r>
            <w:rPr>
              <w:b w:val="0"/>
            </w:rPr>
            <w:fldChar w:fldCharType="end"/>
          </w:r>
        </w:p>
        <w:p>
          <w:pPr>
            <w:pStyle w:val="8"/>
            <w:rPr>
              <w:b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"_Toc100040662" </w:instrText>
          </w:r>
          <w:r>
            <w:fldChar w:fldCharType="separate"/>
          </w:r>
          <w:r>
            <w:rPr>
              <w:rStyle w:val="13"/>
              <w:b w:val="0"/>
            </w:rPr>
            <w:t>第三章</w:t>
          </w:r>
          <w:r>
            <w:rPr>
              <w:b w:val="0"/>
              <w:sz w:val="21"/>
              <w:szCs w:val="22"/>
            </w:rPr>
            <w:tab/>
          </w:r>
          <w:r>
            <w:rPr>
              <w:rStyle w:val="13"/>
              <w:b w:val="0"/>
            </w:rPr>
            <w:t>详细设计</w:t>
          </w:r>
          <w:r>
            <w:rPr>
              <w:b w:val="0"/>
            </w:rPr>
            <w:tab/>
          </w:r>
          <w:r>
            <w:rPr>
              <w:b w:val="0"/>
            </w:rPr>
            <w:fldChar w:fldCharType="begin"/>
          </w:r>
          <w:r>
            <w:rPr>
              <w:b w:val="0"/>
            </w:rPr>
            <w:instrText xml:space="preserve"> PAGEREF _Toc100040662 \h </w:instrText>
          </w:r>
          <w:r>
            <w:rPr>
              <w:b w:val="0"/>
            </w:rPr>
            <w:fldChar w:fldCharType="separate"/>
          </w:r>
          <w:r>
            <w:rPr>
              <w:b w:val="0"/>
            </w:rPr>
            <w:t>6</w:t>
          </w:r>
          <w:r>
            <w:rPr>
              <w:b w:val="0"/>
            </w:rPr>
            <w:fldChar w:fldCharType="end"/>
          </w:r>
          <w:r>
            <w:rPr>
              <w:b w:val="0"/>
            </w:rPr>
            <w:fldChar w:fldCharType="end"/>
          </w:r>
        </w:p>
        <w:p>
          <w:pPr>
            <w:pStyle w:val="8"/>
            <w:rPr>
              <w:b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"_Toc100040663" </w:instrText>
          </w:r>
          <w:r>
            <w:fldChar w:fldCharType="separate"/>
          </w:r>
          <w:r>
            <w:rPr>
              <w:rStyle w:val="13"/>
              <w:b w:val="0"/>
            </w:rPr>
            <w:t>第四章</w:t>
          </w:r>
          <w:r>
            <w:rPr>
              <w:b w:val="0"/>
              <w:sz w:val="21"/>
              <w:szCs w:val="22"/>
            </w:rPr>
            <w:tab/>
          </w:r>
          <w:r>
            <w:rPr>
              <w:rStyle w:val="13"/>
              <w:b w:val="0"/>
            </w:rPr>
            <w:t>测试报告</w:t>
          </w:r>
          <w:r>
            <w:rPr>
              <w:b w:val="0"/>
            </w:rPr>
            <w:tab/>
          </w:r>
          <w:r>
            <w:rPr>
              <w:b w:val="0"/>
            </w:rPr>
            <w:fldChar w:fldCharType="begin"/>
          </w:r>
          <w:r>
            <w:rPr>
              <w:b w:val="0"/>
            </w:rPr>
            <w:instrText xml:space="preserve"> PAGEREF _Toc100040663 \h </w:instrText>
          </w:r>
          <w:r>
            <w:rPr>
              <w:b w:val="0"/>
            </w:rPr>
            <w:fldChar w:fldCharType="separate"/>
          </w:r>
          <w:r>
            <w:rPr>
              <w:b w:val="0"/>
            </w:rPr>
            <w:t>6</w:t>
          </w:r>
          <w:r>
            <w:rPr>
              <w:b w:val="0"/>
            </w:rPr>
            <w:fldChar w:fldCharType="end"/>
          </w:r>
          <w:r>
            <w:rPr>
              <w:b w:val="0"/>
            </w:rPr>
            <w:fldChar w:fldCharType="end"/>
          </w:r>
        </w:p>
        <w:p>
          <w:pPr>
            <w:pStyle w:val="8"/>
            <w:rPr>
              <w:b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"_Toc100040664" </w:instrText>
          </w:r>
          <w:r>
            <w:fldChar w:fldCharType="separate"/>
          </w:r>
          <w:r>
            <w:rPr>
              <w:rStyle w:val="13"/>
              <w:b w:val="0"/>
            </w:rPr>
            <w:t>第五章</w:t>
          </w:r>
          <w:r>
            <w:rPr>
              <w:b w:val="0"/>
              <w:sz w:val="21"/>
              <w:szCs w:val="22"/>
            </w:rPr>
            <w:tab/>
          </w:r>
          <w:r>
            <w:rPr>
              <w:rStyle w:val="13"/>
              <w:b w:val="0"/>
            </w:rPr>
            <w:t>安装及使用</w:t>
          </w:r>
          <w:r>
            <w:rPr>
              <w:b w:val="0"/>
            </w:rPr>
            <w:tab/>
          </w:r>
          <w:r>
            <w:rPr>
              <w:b w:val="0"/>
            </w:rPr>
            <w:fldChar w:fldCharType="begin"/>
          </w:r>
          <w:r>
            <w:rPr>
              <w:b w:val="0"/>
            </w:rPr>
            <w:instrText xml:space="preserve"> PAGEREF _Toc100040664 \h </w:instrText>
          </w:r>
          <w:r>
            <w:rPr>
              <w:b w:val="0"/>
            </w:rPr>
            <w:fldChar w:fldCharType="separate"/>
          </w:r>
          <w:r>
            <w:rPr>
              <w:b w:val="0"/>
            </w:rPr>
            <w:t>6</w:t>
          </w:r>
          <w:r>
            <w:rPr>
              <w:b w:val="0"/>
            </w:rPr>
            <w:fldChar w:fldCharType="end"/>
          </w:r>
          <w:r>
            <w:rPr>
              <w:b w:val="0"/>
            </w:rPr>
            <w:fldChar w:fldCharType="end"/>
          </w:r>
        </w:p>
        <w:p>
          <w:pPr>
            <w:pStyle w:val="8"/>
            <w:rPr>
              <w:b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"_Toc100040665" </w:instrText>
          </w:r>
          <w:r>
            <w:fldChar w:fldCharType="separate"/>
          </w:r>
          <w:r>
            <w:rPr>
              <w:rStyle w:val="13"/>
              <w:b w:val="0"/>
            </w:rPr>
            <w:t>第六章</w:t>
          </w:r>
          <w:r>
            <w:rPr>
              <w:b w:val="0"/>
              <w:sz w:val="21"/>
              <w:szCs w:val="22"/>
            </w:rPr>
            <w:tab/>
          </w:r>
          <w:r>
            <w:rPr>
              <w:rStyle w:val="13"/>
              <w:b w:val="0"/>
            </w:rPr>
            <w:t>项目总结</w:t>
          </w:r>
          <w:r>
            <w:rPr>
              <w:b w:val="0"/>
            </w:rPr>
            <w:tab/>
          </w:r>
          <w:r>
            <w:rPr>
              <w:b w:val="0"/>
            </w:rPr>
            <w:fldChar w:fldCharType="begin"/>
          </w:r>
          <w:r>
            <w:rPr>
              <w:b w:val="0"/>
            </w:rPr>
            <w:instrText xml:space="preserve"> PAGEREF _Toc100040665 \h </w:instrText>
          </w:r>
          <w:r>
            <w:rPr>
              <w:b w:val="0"/>
            </w:rPr>
            <w:fldChar w:fldCharType="separate"/>
          </w:r>
          <w:r>
            <w:rPr>
              <w:b w:val="0"/>
            </w:rPr>
            <w:t>6</w:t>
          </w:r>
          <w:r>
            <w:rPr>
              <w:b w:val="0"/>
            </w:rPr>
            <w:fldChar w:fldCharType="end"/>
          </w:r>
          <w:r>
            <w:rPr>
              <w:b w:val="0"/>
            </w:rPr>
            <w:fldChar w:fldCharType="end"/>
          </w:r>
        </w:p>
        <w:p>
          <w:pPr>
            <w:pStyle w:val="8"/>
            <w:rPr>
              <w:b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"_Toc100040666" </w:instrText>
          </w:r>
          <w:r>
            <w:fldChar w:fldCharType="separate"/>
          </w:r>
          <w:r>
            <w:rPr>
              <w:rStyle w:val="13"/>
              <w:b w:val="0"/>
            </w:rPr>
            <w:t>参考文献</w:t>
          </w:r>
          <w:r>
            <w:rPr>
              <w:b w:val="0"/>
            </w:rPr>
            <w:tab/>
          </w:r>
          <w:r>
            <w:rPr>
              <w:b w:val="0"/>
            </w:rPr>
            <w:fldChar w:fldCharType="begin"/>
          </w:r>
          <w:r>
            <w:rPr>
              <w:b w:val="0"/>
            </w:rPr>
            <w:instrText xml:space="preserve"> PAGEREF _Toc100040666 \h </w:instrText>
          </w:r>
          <w:r>
            <w:rPr>
              <w:b w:val="0"/>
            </w:rPr>
            <w:fldChar w:fldCharType="separate"/>
          </w:r>
          <w:r>
            <w:rPr>
              <w:b w:val="0"/>
            </w:rPr>
            <w:t>7</w:t>
          </w:r>
          <w:r>
            <w:rPr>
              <w:b w:val="0"/>
            </w:rPr>
            <w:fldChar w:fldCharType="end"/>
          </w:r>
          <w:r>
            <w:rPr>
              <w:b w:val="0"/>
            </w:rPr>
            <w:fldChar w:fldCharType="end"/>
          </w:r>
        </w:p>
        <w:p>
          <w:pPr>
            <w:pStyle w:val="8"/>
            <w:rPr>
              <w:b w:val="0"/>
            </w:rPr>
          </w:pPr>
          <w:r>
            <w:rPr>
              <w:rFonts w:ascii="华文楷体" w:hAnsi="华文楷体" w:eastAsia="华文楷体"/>
              <w:b w:val="0"/>
              <w:lang w:val="zh-CN"/>
            </w:rPr>
            <w:fldChar w:fldCharType="end"/>
          </w:r>
        </w:p>
      </w:sdtContent>
    </w:sdt>
    <w:p>
      <w:pPr>
        <w:widowControl/>
        <w:ind w:firstLine="420"/>
        <w:jc w:val="left"/>
      </w:pPr>
      <w:r>
        <w:br w:type="page"/>
      </w:r>
    </w:p>
    <w:p>
      <w:pPr>
        <w:pStyle w:val="2"/>
      </w:pPr>
      <w:bookmarkStart w:id="0" w:name="_Toc100040660"/>
      <w:r>
        <w:rPr>
          <w:rFonts w:hint="eastAsia"/>
        </w:rPr>
        <w:t>需求分析</w:t>
      </w:r>
      <w:bookmarkEnd w:id="0"/>
    </w:p>
    <w:p>
      <w:r>
        <w:t>我国西南、华北和西北地区长期处于地震风险带，四川及周边区域人口密集、社区形态复杂，震后前30分钟的信息组织效率直接影响处置成效。现有方案普遍存在能力割裂：即时通讯工具便于扩散消息但缺少任务闭环，传统指挥平台强调地图展示但居民参与和回执能力不足，单点AI工具可生成建议却难以落到具体调度执行。NebulaGuard 的需求目标是构建社区级地震应急闭环平台，将居民上报、AI研判、任务调度、预警触达、过程审计整合为一体，形成可执行、可追踪、可复盘的数字化协同链路。</w:t>
      </w:r>
    </w:p>
    <w:p>
      <w:pPr>
        <w:pStyle w:val="2"/>
      </w:pPr>
      <w:bookmarkStart w:id="1" w:name="_Toc100040661"/>
      <w:r>
        <w:rPr>
          <w:rFonts w:hint="eastAsia"/>
        </w:rPr>
        <w:t>概要设计</w:t>
      </w:r>
      <w:bookmarkEnd w:id="1"/>
    </w:p>
    <w:p>
      <w:r>
        <w:t>NebulaGuard 的概要设计以“功能分层 + 事件驱动 + 双端协同”为主线，将需求分析结果分解为展示交互层、业务服务层、智能决策层和数据治理层四个核心模块，并通过统一接口协议连接。展示交互层由 Web 指挥终端和 Flutter 移动端组成：Web 端承担态势总览、调度管理和社区协同等高密度操作场景，移动端承担地震上报、报平安、建议接收和消息反馈等高频现场场景。业务服务层采用 FastAPI，统一提供认证、社区、上报、任务、通知、聊天等 REST 接口，并通过 WebSocket 向双端推送实时事件，保证状态变化无需刷新即可同步。智能决策层由 VLM 图像理解和自动调度 Agent 组成，前者负责将现场图片与文本转化为结构化风险信息和行动建议，后者基于救援队状态、事件优先级和任务负载生成可执行调度动作。数据治理层负责业务持久化和过程留痕，包含 SQLite 业务库、上传文件存储、审计日志和复盘时间轴。</w:t>
        <w:br/>
        <w:br/>
        <w:t>从模块层次关系看，接入层位于最外侧，负责用户交互与状态呈现；服务层位于中间，负责权限校验、流程编排和对象写入；智能层以服务层为入口执行计算和决策；数据层作为底座承载全量业务对象及治理数据。模块调用链路遵循统一顺序：客户端提交请求进入服务层，服务层完成鉴权和数据校验后写入业务对象；当请求类型涉及图像研判或自动调度时，服务层调用智能层并接收结构化结果；结果回写后触发 WebSocket 事件广播；前端依据事件类型执行局部更新。模块间接口分为两类：一类是同步 REST 接口，用于注册登录、上报提交、任务操作和通知触发；另一类是异步事件接口，用于新事件生成、任务状态更新、社区预警和聊天消息同步。接口设计统一采用 JSON 结构和时间戳字段，保证 Web 与移动端在同一数据语义下工作。</w:t>
        <w:br/>
        <w:br/>
        <w:t>人机界面设计采用“角色分工明确、操作路径最短”的原则。Web 指挥终端以工作区组织信息：总览聚焦地图和关键指标，调度聚焦事件与任务，社区聚焦沟通与回执；右侧操作区承载高频输入，确保关键动作在同一视野内完成。移动端以最少交互步数完成核心流程，地震上报链路控制在“填写信息-上传图片-提交确认”三步内，AI 建议按结构化内容分段展示，预警消息采用弹窗和列表双通道触达。界面层与接口层一一对应，保证每个按钮和每条状态都有可追溯的数据来源。</w:t>
        <w:br/>
        <w:br/>
        <w:t>总体架构示意代码如下：</w:t>
        <w:br/>
      </w:r>
    </w:p>
    <w:p>
      <w:pPr>
        <w:pStyle w:val="2"/>
      </w:pPr>
      <w:bookmarkStart w:id="2" w:name="_Toc100040662"/>
      <w:r>
        <w:rPr>
          <w:rFonts w:hint="eastAsia"/>
        </w:rPr>
        <w:t>详细设计</w:t>
      </w:r>
      <w:bookmarkEnd w:id="2"/>
    </w:p>
    <w:p>
      <w:r>
        <w:t>1. Web 控制终端模块</w:t>
        <w:br/>
        <w:t>Web 控制终端是系统的主操作面，目标是让管理者在一个连续界面内完成“看态势、下指令、盯执行”三类动作。该模块采用 Next.js + React + TypeScript 实现，页面结构由总览、调度、社区三个工作区组成。总览工作区负责地理态势与关键指标呈现，调度工作区承载事件中心和任务看板，社区工作区承载通知回执和群聊协同。技术上，Web 端通过 REST 拉取基础数据，通过 WebSocket 接收增量事件，在前端状态层进行去重和局部刷新，避免全页重载带来的操作中断。该模块解决的问题是指挥信息碎片化：管理者无需在地图、群聊、任务系统之间来回切换，即可完成完整调度闭环。</w:t>
        <w:br/>
        <w:br/>
        <w:t>2. 社区聊天室模块</w:t>
        <w:br/>
        <w:t>社区聊天室用于承接灾时高频沟通和现场反馈。模块实现包含消息发送接口、历史拉取接口和实时广播通道，消息对象统一带社区标识、发送者、时间戳和消息类型字段。Web 与移动端共享同一消息协议，实现跨端一致展示。UI 层采用独立滚动消息窗和固定输入区，保证长会话场景下仍能持续操作。该模块的作用不仅是“聊天”，更是将现场反馈与调度过程打通：当居民在群聊中补充现场情况时，管理端可以直接据此调整任务，系统同时保留消息时间线，供后续复盘使用。</w:t>
        <w:br/>
        <w:br/>
        <w:t>3. AI 助手与图像研判模块</w:t>
        <w:br/>
        <w:t>AI 助手模块面向两类场景：居民侧避险建议和指挥侧现场研判。居民上传房间构造或周边环境图片后，后端先进行文件有效性校验，再调用 VLM 模型生成结构化建议。建议内容包括风险摘要、行动步骤、注意事项等字段，前端通过 Markdown 渲染统一展示格式，移动端采用渐进式输出增强可读性。该模块采用“模型输出结构化 + 渲染层安全过滤”方式实现，避免直接拼接原始文本造成信息噪声。模块核心价值在于降低普通用户理解门槛，把技术结果转换为可执行的实际动作。</w:t>
        <w:br/>
        <w:br/>
        <w:t>4. 一键预警模块</w:t>
        <w:br/>
        <w:t>一键预警模块用于将管理端决策快速触达全社区。管理端触发后，后端写入预警记录并通过 WebSocket 广播 `community_warning` 事件，移动端收到事件后即时弹窗提醒，同时在通知列表持久化。预警对象与社区绑定，防止跨社区误触达；预警回执与用户状态关联，管理端可实时查看已读与待确认情况。该模块由通知服务、实时通道和移动端提醒组件三部分组成，重点解决“通知发出后是否被真正接收”的治理问题。</w:t>
        <w:br/>
        <w:br/>
        <w:t>5. 事件中心与任务看板模块</w:t>
        <w:br/>
        <w:t>事件中心负责维护灾情对象生命周期，任务看板负责维护执行对象生命周期。事件对象记录灾情等级、位置、状态和来源；任务对象记录负责人、优先级、状态、截止时间和关联事件。该模块由 FastAPI 任务服务和前端看板组件协同实现，任务状态变化后触发事件广播，前端即时更新列视图。该模块目标是将口头指令转化为结构化执行链，保证每项处置动作都有负责人、有时限、有状态。</w:t>
        <w:br/>
        <w:br/>
        <w:t>6. 自动调度 Agent 模块</w:t>
        <w:br/>
        <w:t>自动调度 Agent 的作用是把 AI 研判结果自动转换为调度动作。模块输入包含图像研判结果、当前救援队能力、历史任务负载和事件优先级；模块输出包含 incident、task、dispatch 三类对象的新增或更新结果。实现上采用规则评分与约束保护结合的方式：设置任务生成上限、幂等键、防重复写入和状态保护。执行完成后同步写入审计日志与时间轴，并向前端推送 `dispatch_agent_executed` 事件。该模块使系统具备“分析后即执行”的能力，同时保证自动化过程可追踪。</w:t>
        <w:br/>
        <w:br/>
        <w:t>7. 移动端报平安模块</w:t>
        <w:br/>
        <w:t>报平安模块用于居民在震后快速上报自身状态，减少社区人工统计压力。模块提供“平安、需救援、代报失联”等状态入口，提交后写入居民状态记录并同步至管理端统计面板。实现采用 Flutter 表单组件 + FastAPI 状态接口，数据结构绑定用户、社区、时间戳和状态等级。该模块价值在于把分散的口头确认转化为结构化状态数据，为后续调度提供人口侧依据。</w:t>
        <w:br/>
        <w:br/>
        <w:t>8. 移动端地震上报模块</w:t>
        <w:br/>
        <w:t>地震上报模块是居民端核心入口，功能包括位置、震感、文本描述和图片上传。图片上传支持相册选择与拍照，提交前进行本地预览和基础校验，提交后由后端执行字节级图片验证，避免仅依赖 MIME 导致误判。上报成功后系统生成记录并触发智能分析链路，返回状态在移动端可见。该模块通过“结构化字段 + 图片证据”提升上报质量，减少无效信息对指挥判断的干扰。</w:t>
        <w:br/>
        <w:br/>
        <w:t>9. 移动端躲避建议模块</w:t>
        <w:br/>
        <w:t>躲避建议模块承接 AI 输出并转为用户可执行信息。模块展示层基于 Markdown 渲染，支持标题、列表、强调和分段，减少长文本阅读负担；交互层采用逐步显示和错误重试机制，保证模型延迟场景下仍有稳定反馈。建议内容与上报记录关联，用户可回看历史建议并在群聊中继续补充现场变化。模块目标是让普通居民在高压环境下快速理解“先做什么、后做什么、哪些行为应避免”。</w:t>
        <w:br/>
        <w:br/>
        <w:t>10. 数据库与治理模块</w:t>
        <w:br/>
        <w:t>数据层负责支撑业务对象和治理对象双轨运行。业务表覆盖用户、社区、上报、通知、事件、任务、救援队、调度记录；治理表覆盖审计日志与复盘时间轴。系统所有关键写操作均记录操作者、动作、时间和结果，保证问题追溯和赛后复盘可行。该模块一期采用 SQLite 实现，重点保证结构清晰和演示稳定，后续可平滑迁移至更高并发数据库。</w:t>
        <w:br/>
        <w:br/>
        <w:t>模块关系示意代码如下：</w:t>
        <w:br/>
      </w:r>
    </w:p>
    <w:p>
      <w:pPr>
        <w:pStyle w:val="2"/>
      </w:pPr>
      <w:bookmarkStart w:id="3" w:name="_Toc100040663"/>
      <w:r>
        <w:rPr>
          <w:rFonts w:hint="eastAsia"/>
        </w:rPr>
        <w:t>测试报告</w:t>
      </w:r>
      <w:bookmarkEnd w:id="3"/>
    </w:p>
    <w:p>
      <w:pPr>
        <w:rPr>
          <w:lang w:val="zh-CN"/>
        </w:rPr>
      </w:pPr>
      <w:r>
        <w:t>一、测试目标</w:t>
        <w:br/>
        <w:t>确保系统在“可用、可解释、可联调、可复盘”四个维度达到比赛展示与实战演示标准。</w:t>
        <w:br/>
        <w:br/>
        <w:t>二、测试环境</w:t>
        <w:br/>
        <w:t>- 后端：Python 3.10+，FastAPI，端口 8000。</w:t>
        <w:br/>
        <w:t>- 前端：Node.js 18+，Next.js，端口 3000。</w:t>
        <w:br/>
        <w:t>- 移动端：Flutter 3.24+，iOS 模拟器/Android 模拟器/真机。</w:t>
        <w:br/>
        <w:t>- 网络：局域网联调与本地回环两种模式。</w:t>
        <w:br/>
        <w:br/>
        <w:t>三、按功能划分测试用例（便于配图）</w:t>
        <w:br/>
        <w:t>用例1：注册登录链路</w:t>
        <w:br/>
        <w:t>- 步骤：注册 -&gt; 登录 -&gt; 拉取用户信息。</w:t>
        <w:br/>
        <w:t>- 预期：成功返回用户信息，页面进入工作台。</w:t>
        <w:br/>
        <w:t>- 结果：通过。</w:t>
        <w:br/>
        <w:br/>
        <w:t>用例2：上报图片校验</w:t>
        <w:br/>
        <w:t>- 步骤：上传正常图片、空文件、非图片文件。</w:t>
        <w:br/>
        <w:t>- 预期：正常图片通过；非法文件被明确拒绝并提示。</w:t>
        <w:br/>
        <w:t>- 结果：通过。</w:t>
        <w:br/>
        <w:br/>
        <w:t>用例3：AI 建议返回与渲染</w:t>
        <w:br/>
        <w:t>- 步骤：提交图片后等待建议返回。</w:t>
        <w:br/>
        <w:t>- 预期：结果按 Markdown 渲染，结构清晰；移动端按打字机逐步展示。</w:t>
        <w:br/>
        <w:t>- 结果：通过。</w:t>
        <w:br/>
        <w:br/>
        <w:t>用例4：自动调度触发</w:t>
        <w:br/>
        <w:t>- 步骤：完成一次分析后观察调度面板。</w:t>
        <w:br/>
        <w:t>- 预期：自动生成任务并实时显示，无需刷新。</w:t>
        <w:br/>
        <w:t>- 结果：通过（已修复“需刷新才显示”问题）。</w:t>
        <w:br/>
        <w:br/>
        <w:t>用例5：一键预警触达</w:t>
        <w:br/>
        <w:t>- 步骤：管理端触发预警，移动端在线接收。</w:t>
        <w:br/>
        <w:t>- 预期：移动端实时弹窗并显示预警内容。</w:t>
        <w:br/>
        <w:t>- 结果：通过（需确保同社区且连接 ws）。</w:t>
        <w:br/>
        <w:br/>
        <w:t>用例6：聊天实时同步</w:t>
        <w:br/>
        <w:t>- 步骤：Web 端发送消息，移动端观察；移动端发送消息，Web 端观察。</w:t>
        <w:br/>
        <w:t>- 预期：双端实时同步，消息顺序正确。</w:t>
        <w:br/>
        <w:t>- 结果：通过。</w:t>
        <w:br/>
        <w:br/>
        <w:t>用例7：任务状态回写</w:t>
        <w:br/>
        <w:t>- 步骤：更新任务状态为执行中/完成。</w:t>
        <w:br/>
        <w:t>- 预期：看板即时更新并记录时间轴。</w:t>
        <w:br/>
        <w:t>- 结果：通过。</w:t>
        <w:br/>
        <w:br/>
        <w:t>用例8：健康检查与登录稳定性</w:t>
        <w:br/>
        <w:t>- 步骤：弱网条件下访问 /health、登录接口。</w:t>
        <w:br/>
        <w:t>- 预期：/health 快速返回且不阻塞登录。</w:t>
        <w:br/>
        <w:t>- 结果：通过（已进行健康检查轻量化改造）。</w:t>
        <w:br/>
        <w:br/>
        <w:t>四、异常与修正记录</w:t>
        <w:br/>
        <w:t>1. 问题：iOS 端出现 No route to host。</w:t>
        <w:br/>
        <w:t>修正：补充 Info.plist 本地网络访问权限并规范联调地址。</w:t>
        <w:br/>
        <w:t>2. 问题：上传图片被判定 invalid type。</w:t>
        <w:br/>
        <w:t>修正：改为字节级图片校验，不只依赖 content-type。</w:t>
        <w:br/>
        <w:t>3. 问题：自动调度后任务需刷新才显示。</w:t>
        <w:br/>
        <w:t>修正：后端增加创建/更新广播，前端做增量更新。</w:t>
        <w:br/>
        <w:t>4. 问题：页面滚动与布局拥挤。</w:t>
        <w:br/>
        <w:t>修正：采用“页面可滚+窗口独立滚动”策略，重排布局。</w:t>
        <w:br/>
        <w:br/>
        <w:t>五、技术指标（阶段性）</w:t>
        <w:br/>
        <w:t>1. 可用性：核心链路（登录、上报、聊天、预警）可连续演示。</w:t>
        <w:br/>
        <w:t>2. 实时性：群聊和预警达到秒级可感知更新。</w:t>
        <w:br/>
        <w:t>3. 稳健性：异常输入有明确错误提示，不出现长时间无反馈。</w:t>
        <w:br/>
        <w:t>4. 可扩展性：功能模块化，支持后续接入新算法与数据库升级。</w:t>
        <w:br/>
        <w:t>5. 可维护性：关键业务有审计日志，问题可追溯。</w:t>
        <w:br/>
        <w:br/>
        <w:t>六、后续测试计划</w:t>
        <w:br/>
        <w:t>1. 增加高并发压测，验证多社区并行表现。</w:t>
        <w:br/>
        <w:t>2. 增加端网协同测试（断网重连、弱网抖动、服务重启恢复）。</w:t>
        <w:br/>
        <w:t>3. 增加演练模式测试脚本，形成标准化回归流程。</w:t>
        <w:br/>
      </w:r>
    </w:p>
    <w:p>
      <w:pPr>
        <w:pStyle w:val="2"/>
      </w:pPr>
      <w:bookmarkStart w:id="4" w:name="_Toc100040664"/>
      <w:r>
        <w:rPr>
          <w:rFonts w:hint="eastAsia"/>
        </w:rPr>
        <w:t>安装及使用</w:t>
      </w:r>
      <w:bookmarkEnd w:id="4"/>
    </w:p>
    <w:p>
      <w:pPr>
        <w:rPr>
          <w:lang w:val="zh-CN"/>
        </w:rPr>
      </w:pPr>
      <w:r>
        <w:t>一、安装环境要求</w:t>
        <w:br/>
        <w:t>1. 操作系统：macOS 或 Linux（Windows 可用 WSL）。</w:t>
        <w:br/>
        <w:t>2. 后端：Python 3.10 及以上。</w:t>
        <w:br/>
        <w:t>3. 前端：Node.js 18 及以上，npm。</w:t>
        <w:br/>
        <w:t>4. 移动端：Flutter 3.24+，Xcode（iOS）或 Android Studio（Android）。</w:t>
        <w:br/>
        <w:t>5. 模型服务：可用的 API Key 与模型地址配置。</w:t>
        <w:br/>
        <w:br/>
        <w:t>二、后端安装与启动（建议先做）</w:t>
        <w:br/>
        <w:t>步骤1：进入后端目录</w:t>
        <w:br/>
        <w:t>cd /Users/cc/jishev2/nebulaguard/backend</w:t>
        <w:br/>
        <w:t>步骤2：安装依赖</w:t>
        <w:br/>
        <w:t>pip install -r requirements.txt</w:t>
        <w:br/>
        <w:t>步骤3：配置环境变量（.env）</w:t>
        <w:br/>
        <w:t>至少包含：OPENAI_API_KEY、OPENAI_BASE_URL、OPENAI_VLM_MODEL</w:t>
        <w:br/>
        <w:t>步骤4：启动服务</w:t>
        <w:br/>
        <w:t>python3 main.py</w:t>
        <w:br/>
        <w:t>步骤5：验证</w:t>
        <w:br/>
        <w:t>浏览器访问 http://127.0.0.1:8000/health，应返回健康状态。</w:t>
        <w:br/>
        <w:br/>
        <w:t>三、前端安装与启动</w:t>
        <w:br/>
        <w:t>步骤1：进入前端目录</w:t>
        <w:br/>
        <w:t>cd /Users/cc/jishev2/nebulaguard/frontend</w:t>
        <w:br/>
        <w:t>步骤2：安装依赖</w:t>
        <w:br/>
        <w:t>npm install</w:t>
        <w:br/>
        <w:t>步骤3：配置 .env.local</w:t>
        <w:br/>
        <w:t>确保 API 地址指向后端（默认 http://localhost:8000）</w:t>
        <w:br/>
        <w:t>步骤4：启动</w:t>
        <w:br/>
        <w:t>npm run dev</w:t>
        <w:br/>
        <w:t>步骤5：验证</w:t>
        <w:br/>
        <w:t>浏览器打开 http://localhost:3000</w:t>
        <w:br/>
        <w:br/>
        <w:t>四、Flutter 移动端安装与启动</w:t>
        <w:br/>
        <w:t>步骤1：进入目录</w:t>
        <w:br/>
        <w:t>cd /Users/cc/jishev2/nebulaguard/mobile/flutter_app</w:t>
        <w:br/>
        <w:t>步骤2：安装依赖</w:t>
        <w:br/>
        <w:t>flutter pub get</w:t>
        <w:br/>
        <w:t>步骤3：检查设备</w:t>
        <w:br/>
        <w:t>flutter devices</w:t>
        <w:br/>
        <w:t>步骤4：运行</w:t>
        <w:br/>
        <w:t>- iOS 模拟器：flutter run -d ios</w:t>
        <w:br/>
        <w:t>- Android 模拟器：flutter run -d emulator-xxxx</w:t>
        <w:br/>
        <w:t>步骤5：网络地址说明</w:t>
        <w:br/>
        <w:t>- iOS Simulator 通常可用 127.0.0.1:8000</w:t>
        <w:br/>
        <w:t>- Android Emulator 需使用 10.0.2.2:8000</w:t>
        <w:br/>
        <w:t>- 真机联调需用电脑局域网 IP，例如 192.168.x.x:8000</w:t>
        <w:br/>
        <w:br/>
        <w:t>五、典型使用流程（演示版）</w:t>
        <w:br/>
        <w:t>流程1：管理端登录 -&gt; 查看总览地图与指标。</w:t>
        <w:br/>
        <w:t>流程2：移动端注册/登录 -&gt; 提交地震上报图片。</w:t>
        <w:br/>
        <w:t>流程3：查看 AI 建议返回（Markdown 渲染 + 打字机效果）。</w:t>
        <w:br/>
        <w:t>流程4：管理端查看自动调度结果与任务看板变化。</w:t>
        <w:br/>
        <w:t>流程5：管理端触发一键预警 -&gt; 移动端实时弹窗。</w:t>
        <w:br/>
        <w:t>流程6：在群聊中进行执行反馈 -&gt; 查看时间轴记录。</w:t>
        <w:br/>
        <w:br/>
        <w:t>六、常见问题排查</w:t>
        <w:br/>
        <w:t>1. 登录一直转圈</w:t>
        <w:br/>
        <w:t>- 检查后端是否启动、端口是否被占用。</w:t>
        <w:br/>
        <w:t>- 检查前端 API 地址是否正确。</w:t>
        <w:br/>
        <w:t>2. 模拟器无法登录</w:t>
        <w:br/>
        <w:t>- 检查移动端 API_BASE_URL 是否适配当前设备网络规则。</w:t>
        <w:br/>
        <w:t>3. 图片上报失败</w:t>
        <w:br/>
        <w:t>- 检查是否为真实图片文件，大小是否超过限制。</w:t>
        <w:br/>
        <w:t>- 检查后端上传目录权限。</w:t>
        <w:br/>
        <w:t>4. 预警未触达手机</w:t>
        <w:br/>
        <w:t>- 检查是否同社区账号、是否保持 ws 连接、是否前后台被系统限制。</w:t>
        <w:br/>
        <w:br/>
        <w:t>七、演示建议</w:t>
        <w:br/>
        <w:t>建议每次演示前执行“保留账号，清空业务数据”的初始化脚本，保证画面干净、流程可控。并提前准备三组示例图片（室内结构、楼栋外景、道路阻断），确保 AI 建议展示稳定。</w:t>
        <w:br/>
      </w:r>
    </w:p>
    <w:p>
      <w:pPr>
        <w:pStyle w:val="2"/>
      </w:pPr>
      <w:bookmarkStart w:id="5" w:name="_Toc100040665"/>
      <w:r>
        <w:rPr>
          <w:rFonts w:hint="eastAsia"/>
        </w:rPr>
        <w:t>项目总结</w:t>
      </w:r>
      <w:bookmarkEnd w:id="5"/>
    </w:p>
    <w:p>
      <w:pPr>
        <w:rPr>
          <w:lang w:val="zh-CN"/>
        </w:rPr>
      </w:pPr>
      <w:r>
        <w:t>一、项目过程回顾</w:t>
        <w:br/>
        <w:t>NebulaGuard 的开发并非一次成型，而是围绕“可用性”持续迭代。早期版本更偏重模型能力展示，但在真实演示中发现：仅有 AI 结果不足以支撑应急处置，必须把结果落到任务、调度和回执。项目中后期因此将重点转向流程闭环，先打通核心链路，再优化界面体验，最后强化稳定性与可追溯性。</w:t>
        <w:br/>
        <w:br/>
        <w:t>二、关键难点与解决策略</w:t>
        <w:br/>
        <w:t>难点1：多端网络联调复杂</w:t>
        <w:br/>
        <w:t>- 表现：Web 可用但模拟器不可用，或真机报网络错误。</w:t>
        <w:br/>
        <w:t>- 解决：建立明确的地址映射规范（localhost/127.0.0.1/10.0.2.2/局域网 IP）。</w:t>
        <w:br/>
        <w:br/>
        <w:t>难点2：图片上传鲁棒性不足</w:t>
        <w:br/>
        <w:t>- 表现：用户上传图片却被判为非法类型。</w:t>
        <w:br/>
        <w:t>- 解决：改为字节级校验，结合扩展名与 mime 兜底，提高兼容性。</w:t>
        <w:br/>
        <w:br/>
        <w:t>难点3：自动调度可见性不足</w:t>
        <w:br/>
        <w:t>- 表现：任务生成后前端需刷新才能看到。</w:t>
        <w:br/>
        <w:t>- 解决：后端补齐事件广播，前端做增量更新与去重。</w:t>
        <w:br/>
        <w:br/>
        <w:t>难点4：UI 信息过载与滚动冲突</w:t>
        <w:br/>
        <w:t>- 表现：内容显示不全、窗口不可滚动、阅读压力大。</w:t>
        <w:br/>
        <w:t>- 解决：重新梳理布局层级，采用页面可滚与局部独立滚动并存策略。</w:t>
        <w:br/>
        <w:br/>
        <w:t>三、团队协作与工程治理收获</w:t>
        <w:br/>
        <w:t>1. 明确文档先行：通过 spec 与 AGENT 约束接口、迭代、验收标准。</w:t>
        <w:br/>
        <w:t>2. 形成问题闭环：每次故障都记录“现象-定位-修复-回归”。</w:t>
        <w:br/>
        <w:t>3. 强化演示工程思维：竞赛项目不仅要“能跑”，更要“稳定、可讲、可复现”。</w:t>
        <w:br/>
        <w:br/>
        <w:t>四、项目阶段成果</w:t>
        <w:br/>
        <w:t>1. 已完成社区级注册登录、上报、群聊、预警、调度、复盘等核心能力。</w:t>
        <w:br/>
        <w:t>2. 已实现 AI 建议的可读化与移动端友好展示。</w:t>
        <w:br/>
        <w:t>3. 已实现自动调度与任务体系联动，具备较完整的应急闭环雏形。</w:t>
        <w:br/>
        <w:t>4. 已完成多端联调文档、技术路线文档与功能说明文档沉淀。</w:t>
        <w:br/>
        <w:br/>
        <w:t>五、后续升级规划</w:t>
        <w:br/>
        <w:t>阶段一（短期）：</w:t>
        <w:br/>
        <w:t>- 完善移动端实时聊天体验（已读状态、消息分组、弱网重发）。</w:t>
        <w:br/>
        <w:t>- 增加任务执行回执模板与统计报表。</w:t>
        <w:br/>
        <w:t>- 增加更细粒度的队伍资源状态看板。</w:t>
        <w:br/>
        <w:br/>
        <w:t>阶段二（中期）：</w:t>
        <w:br/>
        <w:t>- 数据库升级至 PostgreSQL，提升并发与可靠性。</w:t>
        <w:br/>
        <w:t>- 引入队列机制，隔离耗时任务对主链路影响。</w:t>
        <w:br/>
        <w:t>- 增加灾情分级策略与智能通知模板。</w:t>
        <w:br/>
        <w:br/>
        <w:t>阶段三（长期）：</w:t>
        <w:br/>
        <w:t>- 建立演练模式与评分体系。</w:t>
        <w:br/>
        <w:t>- 引入多渠道触达（短信、语音）与跨平台联动。</w:t>
        <w:br/>
        <w:t>- 形成可复制的“社区应急数字化”产品化方案。</w:t>
        <w:br/>
        <w:br/>
        <w:t>六、结论</w:t>
        <w:br/>
        <w:t>NebulaGuard 的核心价值在于：把“看起来智能”的能力，真正变成“能执行、能落地、能复盘”的应急系统能力。项目当前已具备稳定演示和小范围试点条件，后续通过架构升级与功能深化，有望扩展到更大范围的社区应急协同场景。</w:t>
        <w:br/>
      </w:r>
    </w:p>
    <w:p>
      <w:pPr>
        <w:pStyle w:val="2"/>
        <w:numPr>
          <w:ilvl w:val="0"/>
          <w:numId w:val="0"/>
        </w:numPr>
      </w:pPr>
      <w:bookmarkStart w:id="6" w:name="_Toc100040666"/>
      <w:r>
        <w:rPr>
          <w:rFonts w:hint="eastAsia"/>
        </w:rPr>
        <w:t>参考文献</w:t>
      </w:r>
      <w:bookmarkEnd w:id="6"/>
    </w:p>
    <w:p>
      <w:pPr>
        <w:rPr>
          <w:rFonts w:ascii="楷体" w:hAnsi="楷体" w:eastAsia="楷体"/>
        </w:rPr>
      </w:pPr>
      <w:r>
        <w:t>[1] FastAPI Documentation. https://fastapi.tiangolo.com/</w:t>
        <w:br/>
        <w:t>[2] Flutter Documentation. https://docs.flutter.dev/</w:t>
        <w:br/>
        <w:t>[3] Next.js Documentation. https://nextjs.org/docs</w:t>
        <w:br/>
        <w:t>[4] Mapbox GL JS Documentation. https://docs.mapbox.com/mapbox-gl-js/</w:t>
        <w:br/>
        <w:t>[5] Pillow (PIL Fork) Documentation. https://pillow.readthedocs.io/</w:t>
        <w:br/>
        <w:t>[6] WebSocket Protocol (RFC 6455). https://datatracker.ietf.org/doc/html/rfc6455</w:t>
        <w:br/>
        <w:t>[7] 中国地震局公开资料与地震应急相关科普文档（检索日期：2026-03-03）</w:t>
        <w:br/>
      </w:r>
    </w:p>
    <w:p>
      <w:pPr>
        <w:widowControl/>
        <w:jc w:val="left"/>
      </w:pPr>
    </w:p>
    <w:sectPr>
      <w:footerReference r:id="rId3" w:type="default"/>
      <w:pgSz w:w="11906" w:h="16838"/>
      <w:pgMar w:top="851" w:right="1797" w:bottom="851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jc w:val="right"/>
    </w:pPr>
  </w:p>
  <w:p>
    <w:pPr>
      <w:pStyle w:val="6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DEE30F7"/>
    <w:multiLevelType w:val="multilevel"/>
    <w:tmpl w:val="2DEE30F7"/>
    <w:lvl w:ilvl="0" w:tentative="0">
      <w:start w:val="1"/>
      <w:numFmt w:val="decimalFullWidth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209352C"/>
    <w:multiLevelType w:val="multilevel"/>
    <w:tmpl w:val="3209352C"/>
    <w:lvl w:ilvl="0" w:tentative="0">
      <w:start w:val="1"/>
      <w:numFmt w:val="japaneseCounting"/>
      <w:pStyle w:val="2"/>
      <w:lvlText w:val="第%1章"/>
      <w:lvlJc w:val="left"/>
      <w:pPr>
        <w:ind w:left="1545" w:hanging="1545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c2ZGZiNzZiNDVlOGViOWVmM2JhOTY0NGJkNjUyYzgifQ=="/>
  </w:docVars>
  <w:rsids>
    <w:rsidRoot w:val="00421946"/>
    <w:rsid w:val="0005273A"/>
    <w:rsid w:val="00065683"/>
    <w:rsid w:val="000C5774"/>
    <w:rsid w:val="000E615E"/>
    <w:rsid w:val="00176E4C"/>
    <w:rsid w:val="001A7F71"/>
    <w:rsid w:val="001C3EC2"/>
    <w:rsid w:val="00241DC9"/>
    <w:rsid w:val="00267EBD"/>
    <w:rsid w:val="002751B5"/>
    <w:rsid w:val="00361522"/>
    <w:rsid w:val="003A7A1C"/>
    <w:rsid w:val="003B6863"/>
    <w:rsid w:val="003B76E3"/>
    <w:rsid w:val="003C2FDA"/>
    <w:rsid w:val="00421946"/>
    <w:rsid w:val="00466C79"/>
    <w:rsid w:val="0047415E"/>
    <w:rsid w:val="004A3FCE"/>
    <w:rsid w:val="004D3AE1"/>
    <w:rsid w:val="005257F7"/>
    <w:rsid w:val="005741CB"/>
    <w:rsid w:val="005A650C"/>
    <w:rsid w:val="005B7767"/>
    <w:rsid w:val="005F7E8D"/>
    <w:rsid w:val="00611FAF"/>
    <w:rsid w:val="00612DB8"/>
    <w:rsid w:val="006757F6"/>
    <w:rsid w:val="00680BC9"/>
    <w:rsid w:val="00685F3F"/>
    <w:rsid w:val="006C7537"/>
    <w:rsid w:val="00712C0D"/>
    <w:rsid w:val="00732054"/>
    <w:rsid w:val="007329A3"/>
    <w:rsid w:val="0076788F"/>
    <w:rsid w:val="007C682F"/>
    <w:rsid w:val="007E1354"/>
    <w:rsid w:val="0082193F"/>
    <w:rsid w:val="00827C5F"/>
    <w:rsid w:val="00871C42"/>
    <w:rsid w:val="00881833"/>
    <w:rsid w:val="008B637D"/>
    <w:rsid w:val="008E118B"/>
    <w:rsid w:val="00951643"/>
    <w:rsid w:val="00982A49"/>
    <w:rsid w:val="009F2C40"/>
    <w:rsid w:val="00A67868"/>
    <w:rsid w:val="00A74BB7"/>
    <w:rsid w:val="00B060EC"/>
    <w:rsid w:val="00B11629"/>
    <w:rsid w:val="00B418EB"/>
    <w:rsid w:val="00BB7D81"/>
    <w:rsid w:val="00BD3AD8"/>
    <w:rsid w:val="00C11400"/>
    <w:rsid w:val="00C41761"/>
    <w:rsid w:val="00CC5D5B"/>
    <w:rsid w:val="00D2402E"/>
    <w:rsid w:val="00D27480"/>
    <w:rsid w:val="00D9328C"/>
    <w:rsid w:val="00DA4C9E"/>
    <w:rsid w:val="00DA5800"/>
    <w:rsid w:val="00DD372E"/>
    <w:rsid w:val="00DD5F34"/>
    <w:rsid w:val="00E77905"/>
    <w:rsid w:val="00EA3AEF"/>
    <w:rsid w:val="00EA490A"/>
    <w:rsid w:val="00EC4006"/>
    <w:rsid w:val="00ED0818"/>
    <w:rsid w:val="00ED1A1A"/>
    <w:rsid w:val="00F0728D"/>
    <w:rsid w:val="00F2324D"/>
    <w:rsid w:val="00F446D5"/>
    <w:rsid w:val="00FF404E"/>
    <w:rsid w:val="4DE47767"/>
    <w:rsid w:val="6BC60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9"/>
    <w:autoRedefine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rFonts w:eastAsia="黑体"/>
      <w:bCs/>
      <w:kern w:val="44"/>
      <w:sz w:val="44"/>
      <w:szCs w:val="44"/>
      <w:lang w:val="zh-CN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21"/>
    <w:semiHidden/>
    <w:unhideWhenUsed/>
    <w:qFormat/>
    <w:uiPriority w:val="99"/>
    <w:pPr>
      <w:jc w:val="left"/>
    </w:pPr>
  </w:style>
  <w:style w:type="paragraph" w:styleId="4">
    <w:name w:val="Body Text"/>
    <w:basedOn w:val="1"/>
    <w:link w:val="15"/>
    <w:unhideWhenUsed/>
    <w:qFormat/>
    <w:uiPriority w:val="99"/>
    <w:pPr>
      <w:spacing w:after="120"/>
    </w:pPr>
  </w:style>
  <w:style w:type="paragraph" w:styleId="5">
    <w:name w:val="Balloon Text"/>
    <w:basedOn w:val="1"/>
    <w:link w:val="20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autoRedefine/>
    <w:unhideWhenUsed/>
    <w:qFormat/>
    <w:uiPriority w:val="39"/>
    <w:pPr>
      <w:tabs>
        <w:tab w:val="left" w:pos="1050"/>
        <w:tab w:val="right" w:leader="dot" w:pos="8296"/>
      </w:tabs>
    </w:pPr>
    <w:rPr>
      <w:b/>
      <w:sz w:val="28"/>
      <w:szCs w:val="28"/>
    </w:rPr>
  </w:style>
  <w:style w:type="paragraph" w:styleId="9">
    <w:name w:val="annotation subject"/>
    <w:basedOn w:val="3"/>
    <w:next w:val="3"/>
    <w:link w:val="22"/>
    <w:semiHidden/>
    <w:unhideWhenUsed/>
    <w:qFormat/>
    <w:uiPriority w:val="99"/>
    <w:rPr>
      <w:b/>
      <w:bCs/>
    </w:rPr>
  </w:style>
  <w:style w:type="table" w:styleId="11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Hyperlink"/>
    <w:basedOn w:val="12"/>
    <w:unhideWhenUsed/>
    <w:uiPriority w:val="99"/>
    <w:rPr>
      <w:color w:val="0000FF"/>
      <w:u w:val="single"/>
    </w:rPr>
  </w:style>
  <w:style w:type="character" w:styleId="14">
    <w:name w:val="annotation reference"/>
    <w:basedOn w:val="12"/>
    <w:semiHidden/>
    <w:unhideWhenUsed/>
    <w:uiPriority w:val="99"/>
    <w:rPr>
      <w:sz w:val="21"/>
      <w:szCs w:val="21"/>
    </w:rPr>
  </w:style>
  <w:style w:type="character" w:customStyle="1" w:styleId="15">
    <w:name w:val="正文文本 字符"/>
    <w:basedOn w:val="12"/>
    <w:link w:val="4"/>
    <w:qFormat/>
    <w:uiPriority w:val="99"/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character" w:customStyle="1" w:styleId="17">
    <w:name w:val="页眉 字符"/>
    <w:basedOn w:val="12"/>
    <w:link w:val="7"/>
    <w:qFormat/>
    <w:uiPriority w:val="99"/>
    <w:rPr>
      <w:sz w:val="18"/>
      <w:szCs w:val="18"/>
    </w:rPr>
  </w:style>
  <w:style w:type="character" w:customStyle="1" w:styleId="18">
    <w:name w:val="页脚 字符"/>
    <w:basedOn w:val="12"/>
    <w:link w:val="6"/>
    <w:qFormat/>
    <w:uiPriority w:val="99"/>
    <w:rPr>
      <w:sz w:val="18"/>
      <w:szCs w:val="18"/>
    </w:rPr>
  </w:style>
  <w:style w:type="character" w:customStyle="1" w:styleId="19">
    <w:name w:val="标题 1 字符"/>
    <w:basedOn w:val="12"/>
    <w:link w:val="2"/>
    <w:qFormat/>
    <w:uiPriority w:val="9"/>
    <w:rPr>
      <w:rFonts w:eastAsia="黑体"/>
      <w:bCs/>
      <w:kern w:val="44"/>
      <w:sz w:val="44"/>
      <w:szCs w:val="44"/>
      <w:lang w:val="zh-CN"/>
    </w:rPr>
  </w:style>
  <w:style w:type="character" w:customStyle="1" w:styleId="20">
    <w:name w:val="批注框文本 字符"/>
    <w:basedOn w:val="12"/>
    <w:link w:val="5"/>
    <w:semiHidden/>
    <w:qFormat/>
    <w:uiPriority w:val="99"/>
    <w:rPr>
      <w:sz w:val="18"/>
      <w:szCs w:val="18"/>
    </w:rPr>
  </w:style>
  <w:style w:type="character" w:customStyle="1" w:styleId="21">
    <w:name w:val="批注文字 字符"/>
    <w:basedOn w:val="12"/>
    <w:link w:val="3"/>
    <w:semiHidden/>
    <w:qFormat/>
    <w:uiPriority w:val="99"/>
  </w:style>
  <w:style w:type="character" w:customStyle="1" w:styleId="22">
    <w:name w:val="批注主题 字符"/>
    <w:basedOn w:val="21"/>
    <w:link w:val="9"/>
    <w:semiHidden/>
    <w:uiPriority w:val="99"/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4A7F742-95DD-47BE-B094-E430B4C49E7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4</Pages>
  <Words>769</Words>
  <Characters>779</Characters>
  <Lines>9</Lines>
  <Paragraphs>2</Paragraphs>
  <TotalTime>39</TotalTime>
  <ScaleCrop>false</ScaleCrop>
  <LinksUpToDate>false</LinksUpToDate>
  <CharactersWithSpaces>917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2022-04-05T00:48:00Z</dcterms:created>
  <dc:creator>dengxifeng@pku.edu.cn</dc:creator>
  <cp:lastModifiedBy>陈志云</cp:lastModifiedBy>
  <cp:lastPrinted>2020-04-27T09:16:00Z</cp:lastPrinted>
  <dcterms:modified xsi:type="dcterms:W3CDTF">2025-03-16T02:34:06Z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159B49AD1A9645DE8EE2C3518AE1FE81_13</vt:lpwstr>
  </property>
</Properties>
</file>