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Investigating the Social World. Essay 2024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April 22, 2024 by 12pm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Word count: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2,500 words up to 10% leeway in either direction. The world count does not include your list of references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answer ONE of the following questions: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Why is the historical entanglement between scientific research and colonialism and other forms of domination relevant to us as contemporary social researchers?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1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this question clearly relates to reading from Week 1, you might also consider drawing on and making connections with other weeks in  your answer.</w:t>
      </w:r>
    </w:p>
    <w:p w:rsidR="00000000" w:rsidDel="00000000" w:rsidP="00000000" w:rsidRDefault="00000000" w:rsidRPr="00000000" w14:paraId="0000000B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Choose one of the investigative frameworks (intersectionality; more-than-human) introduced in the module and describe how it could be applied to an issue or problem of your choosing.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question will require you to: describe the framework; describe the issue*; make a case for how the framework could offer insight to the issue. What questions would the framework allow you to ask and why might this be valuable?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99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*You do not need to be exhaustive in describing the issue but you should make reference to some kind of source material- ie academic or policy related research; a news article; material from a grassroots organization or activist group.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Assess Scott’s suggestion that experience be approached as that which we want to explain rather than the origin of explanation.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2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you like, you can think this through in the context of a particular research issue or problem. You can also try to think about how reading from other weeks might help make sense of this proposition.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DD27E0"/>
    <w:pPr>
      <w:spacing w:after="0" w:line="240" w:lineRule="auto"/>
    </w:pPr>
    <w:rPr>
      <w:rFonts w:ascii="Times New Roman" w:cs="Times New Roman" w:hAnsi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DD27E0"/>
    <w:pPr>
      <w:spacing w:after="0" w:line="240" w:lineRule="auto"/>
    </w:pPr>
    <w:rPr>
      <w:rFonts w:ascii="Calibri" w:hAnsi="Calibri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DD27E0"/>
    <w:rPr>
      <w:rFonts w:ascii="Calibri" w:hAnsi="Calibri"/>
      <w:szCs w:val="21"/>
    </w:rPr>
  </w:style>
  <w:style w:type="character" w:styleId="Emphasis">
    <w:name w:val="Emphasis"/>
    <w:basedOn w:val="DefaultParagraphFont"/>
    <w:uiPriority w:val="20"/>
    <w:qFormat w:val="1"/>
    <w:rsid w:val="00DD27E0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4D13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tE0JFYkGvUbeFZVZElvMjOKaPQ==">CgMxLjA4AHIhMWJpQTZCRnczTTItVmZ1NjVDcVJqNzJOU1c3OVpPVEcw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2021-10-14T09:24:00Z</dcterms:created>
  <dc:creator>Margarita Palacios (Staff)</dc:creator>
</cp:coreProperties>
</file>