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5C4C3" w14:textId="4BFB871B" w:rsidR="008C69B9" w:rsidRPr="00BF0653" w:rsidRDefault="008C69B9" w:rsidP="004369D4">
      <w:pPr>
        <w:pStyle w:val="Heading1"/>
        <w:rPr>
          <w:sz w:val="22"/>
          <w:szCs w:val="22"/>
        </w:rPr>
      </w:pPr>
      <w:bookmarkStart w:id="0" w:name="_GoBack"/>
      <w:bookmarkEnd w:id="0"/>
      <w:r w:rsidRPr="00BF0653">
        <w:rPr>
          <w:sz w:val="22"/>
          <w:szCs w:val="22"/>
        </w:rPr>
        <w:t xml:space="preserve">Sociology </w:t>
      </w:r>
      <w:r w:rsidR="004369D4">
        <w:rPr>
          <w:sz w:val="22"/>
          <w:szCs w:val="22"/>
        </w:rPr>
        <w:t>753</w:t>
      </w:r>
      <w:r w:rsidR="004369D4">
        <w:rPr>
          <w:sz w:val="22"/>
          <w:szCs w:val="22"/>
        </w:rPr>
        <w:tab/>
      </w:r>
      <w:r w:rsidR="00BF0653">
        <w:rPr>
          <w:sz w:val="22"/>
          <w:szCs w:val="22"/>
        </w:rPr>
        <w:tab/>
      </w:r>
      <w:r w:rsidR="00BF0653">
        <w:rPr>
          <w:sz w:val="22"/>
          <w:szCs w:val="22"/>
        </w:rPr>
        <w:tab/>
      </w:r>
      <w:r w:rsidR="00BF0653">
        <w:rPr>
          <w:sz w:val="22"/>
          <w:szCs w:val="22"/>
        </w:rPr>
        <w:tab/>
      </w:r>
      <w:r w:rsidR="00BF0653">
        <w:rPr>
          <w:sz w:val="22"/>
          <w:szCs w:val="22"/>
        </w:rPr>
        <w:tab/>
      </w:r>
      <w:r w:rsidRPr="00BF0653">
        <w:rPr>
          <w:sz w:val="22"/>
          <w:szCs w:val="22"/>
        </w:rPr>
        <w:t>Professor Chad Alan Goldberg</w:t>
      </w:r>
    </w:p>
    <w:p w14:paraId="15D22AB1" w14:textId="05A062AD" w:rsidR="00BF0653" w:rsidRPr="00BF0653" w:rsidRDefault="00784E45" w:rsidP="00C7079F">
      <w:pPr>
        <w:pStyle w:val="Heading5"/>
        <w:jc w:val="left"/>
        <w:rPr>
          <w:sz w:val="22"/>
          <w:szCs w:val="22"/>
        </w:rPr>
      </w:pPr>
      <w:r>
        <w:rPr>
          <w:sz w:val="22"/>
          <w:szCs w:val="22"/>
        </w:rPr>
        <w:t>Spring 2019</w:t>
      </w:r>
      <w:r w:rsidR="00BF0653">
        <w:rPr>
          <w:sz w:val="22"/>
          <w:szCs w:val="22"/>
        </w:rPr>
        <w:tab/>
      </w:r>
      <w:r w:rsidR="00BF0653">
        <w:rPr>
          <w:sz w:val="22"/>
          <w:szCs w:val="22"/>
        </w:rPr>
        <w:tab/>
      </w:r>
      <w:r w:rsidR="00BF0653">
        <w:rPr>
          <w:sz w:val="22"/>
          <w:szCs w:val="22"/>
        </w:rPr>
        <w:tab/>
      </w:r>
      <w:r w:rsidR="00BF0653">
        <w:rPr>
          <w:sz w:val="22"/>
          <w:szCs w:val="22"/>
        </w:rPr>
        <w:tab/>
      </w:r>
      <w:r w:rsidR="00BF0653">
        <w:rPr>
          <w:sz w:val="22"/>
          <w:szCs w:val="22"/>
        </w:rPr>
        <w:tab/>
      </w:r>
      <w:r w:rsidR="00BF0653" w:rsidRPr="00BF0653">
        <w:rPr>
          <w:sz w:val="22"/>
          <w:szCs w:val="22"/>
        </w:rPr>
        <w:t xml:space="preserve">E-mail: </w:t>
      </w:r>
      <w:hyperlink r:id="rId7" w:history="1">
        <w:r w:rsidR="00C7079F">
          <w:rPr>
            <w:rStyle w:val="Hyperlink"/>
            <w:sz w:val="22"/>
            <w:szCs w:val="22"/>
          </w:rPr>
          <w:t>cagoldberg@wisc.edu</w:t>
        </w:r>
      </w:hyperlink>
    </w:p>
    <w:p w14:paraId="0C3637EE" w14:textId="365DE37F" w:rsidR="008C69B9" w:rsidRPr="00BF0653" w:rsidRDefault="00784E45" w:rsidP="009B3834">
      <w:pPr>
        <w:pStyle w:val="Heading5"/>
        <w:jc w:val="left"/>
        <w:rPr>
          <w:sz w:val="22"/>
          <w:szCs w:val="22"/>
        </w:rPr>
      </w:pPr>
      <w:r w:rsidRPr="00784E45">
        <w:rPr>
          <w:rStyle w:val="pslongeditbox"/>
          <w:sz w:val="22"/>
          <w:szCs w:val="22"/>
        </w:rPr>
        <w:t>Tu 4:00PM - 6:30PM</w:t>
      </w:r>
      <w:r w:rsidR="003249D7" w:rsidRPr="00BF0653">
        <w:rPr>
          <w:rStyle w:val="pslongeditbox"/>
          <w:sz w:val="22"/>
          <w:szCs w:val="22"/>
        </w:rPr>
        <w:tab/>
      </w:r>
      <w:r w:rsidR="008C69B9" w:rsidRPr="00BF0653">
        <w:rPr>
          <w:sz w:val="22"/>
          <w:szCs w:val="22"/>
        </w:rPr>
        <w:tab/>
      </w:r>
      <w:r w:rsidR="008C69B9" w:rsidRPr="00BF0653">
        <w:rPr>
          <w:sz w:val="22"/>
          <w:szCs w:val="22"/>
        </w:rPr>
        <w:tab/>
      </w:r>
      <w:r w:rsidR="0055383D" w:rsidRPr="00BF0653">
        <w:rPr>
          <w:sz w:val="22"/>
          <w:szCs w:val="22"/>
        </w:rPr>
        <w:tab/>
      </w:r>
      <w:r w:rsidR="009B3834" w:rsidRPr="00BF0653">
        <w:rPr>
          <w:sz w:val="22"/>
          <w:szCs w:val="22"/>
        </w:rPr>
        <w:t xml:space="preserve">Office: </w:t>
      </w:r>
      <w:r w:rsidR="009B3834" w:rsidRPr="0046025F">
        <w:rPr>
          <w:sz w:val="22"/>
          <w:szCs w:val="22"/>
        </w:rPr>
        <w:t xml:space="preserve">SOC SCI </w:t>
      </w:r>
      <w:r w:rsidR="009B3834">
        <w:rPr>
          <w:sz w:val="22"/>
          <w:szCs w:val="22"/>
        </w:rPr>
        <w:t>8116B</w:t>
      </w:r>
    </w:p>
    <w:p w14:paraId="4595B9B1" w14:textId="0DAD28C3" w:rsidR="00BF0653" w:rsidRPr="00BF0653" w:rsidRDefault="008C69B9" w:rsidP="00784E45">
      <w:pPr>
        <w:pStyle w:val="Heading1"/>
        <w:rPr>
          <w:sz w:val="22"/>
          <w:szCs w:val="22"/>
        </w:rPr>
      </w:pPr>
      <w:r w:rsidRPr="00BF0653">
        <w:rPr>
          <w:sz w:val="22"/>
          <w:szCs w:val="22"/>
        </w:rPr>
        <w:t>Classroom:</w:t>
      </w:r>
      <w:r w:rsidR="0046025F">
        <w:rPr>
          <w:sz w:val="22"/>
          <w:szCs w:val="22"/>
        </w:rPr>
        <w:t xml:space="preserve"> </w:t>
      </w:r>
      <w:r w:rsidR="00784E45" w:rsidRPr="00784E45">
        <w:rPr>
          <w:sz w:val="22"/>
          <w:szCs w:val="22"/>
        </w:rPr>
        <w:t>SOC SCI 6109</w:t>
      </w:r>
      <w:r w:rsidR="000F54F2">
        <w:rPr>
          <w:rStyle w:val="pslongeditbox"/>
          <w:sz w:val="22"/>
          <w:szCs w:val="22"/>
        </w:rPr>
        <w:tab/>
      </w:r>
      <w:r w:rsidR="000F54F2">
        <w:rPr>
          <w:rStyle w:val="pslongeditbox"/>
          <w:sz w:val="22"/>
          <w:szCs w:val="22"/>
        </w:rPr>
        <w:tab/>
      </w:r>
      <w:r w:rsidR="00C7079F">
        <w:rPr>
          <w:sz w:val="22"/>
          <w:szCs w:val="22"/>
        </w:rPr>
        <w:tab/>
      </w:r>
      <w:r w:rsidR="009B3834" w:rsidRPr="00065D40">
        <w:rPr>
          <w:sz w:val="22"/>
          <w:szCs w:val="22"/>
        </w:rPr>
        <w:t xml:space="preserve">Office hours: </w:t>
      </w:r>
      <w:r w:rsidR="00784E45" w:rsidRPr="00BA60C1">
        <w:rPr>
          <w:rFonts w:asciiTheme="majorBidi" w:hAnsiTheme="majorBidi" w:cstheme="majorBidi"/>
          <w:sz w:val="22"/>
          <w:szCs w:val="22"/>
        </w:rPr>
        <w:t>Tu 3:00 - 4:00 PM or by appt</w:t>
      </w:r>
      <w:r w:rsidR="00784E45">
        <w:rPr>
          <w:rFonts w:asciiTheme="majorBidi" w:hAnsiTheme="majorBidi" w:cstheme="majorBidi"/>
          <w:sz w:val="22"/>
          <w:szCs w:val="22"/>
        </w:rPr>
        <w:t>.</w:t>
      </w:r>
    </w:p>
    <w:p w14:paraId="50C25517" w14:textId="77777777" w:rsidR="008C69B9" w:rsidRPr="003249D7" w:rsidRDefault="008C69B9" w:rsidP="008C69B9">
      <w:pPr>
        <w:pStyle w:val="Footer"/>
        <w:tabs>
          <w:tab w:val="clear" w:pos="4320"/>
          <w:tab w:val="clear" w:pos="8640"/>
          <w:tab w:val="left" w:pos="5002"/>
        </w:tabs>
        <w:rPr>
          <w:rFonts w:ascii="Times New Roman" w:hAnsi="Times New Roman" w:cs="Times New Roman"/>
        </w:rPr>
      </w:pPr>
    </w:p>
    <w:p w14:paraId="649453AD" w14:textId="4D7B4EAD" w:rsidR="008C69B9" w:rsidRPr="00BF0653" w:rsidRDefault="004369D4" w:rsidP="00D154FE">
      <w:pPr>
        <w:spacing w:line="240" w:lineRule="atLeast"/>
        <w:jc w:val="center"/>
        <w:rPr>
          <w:rFonts w:ascii="Baskerville Old Face" w:hAnsi="Baskerville Old Face" w:cs="Times New Roman"/>
          <w:b/>
          <w:color w:val="000000"/>
          <w:sz w:val="28"/>
          <w:szCs w:val="28"/>
        </w:rPr>
      </w:pPr>
      <w:r w:rsidRPr="004369D4">
        <w:rPr>
          <w:rFonts w:ascii="Baskerville Old Face" w:hAnsi="Baskerville Old Face" w:cs="Times New Roman"/>
          <w:b/>
          <w:caps/>
          <w:sz w:val="28"/>
          <w:szCs w:val="28"/>
        </w:rPr>
        <w:t>Comparative and Historical Methods in Sociology</w:t>
      </w:r>
    </w:p>
    <w:p w14:paraId="1C3EDA6D" w14:textId="77777777" w:rsidR="0046025F" w:rsidRPr="004369D4" w:rsidRDefault="0046025F" w:rsidP="004369D4">
      <w:pPr>
        <w:spacing w:line="240" w:lineRule="atLeast"/>
        <w:ind w:right="720"/>
        <w:rPr>
          <w:rFonts w:asciiTheme="majorBidi" w:hAnsiTheme="majorBidi" w:cstheme="majorBidi"/>
          <w:color w:val="000000"/>
        </w:rPr>
      </w:pPr>
    </w:p>
    <w:p w14:paraId="72F405DA" w14:textId="0AB3789A" w:rsidR="008C69B9" w:rsidRPr="0014472C" w:rsidRDefault="00B15553" w:rsidP="008C69B9">
      <w:pPr>
        <w:spacing w:line="240" w:lineRule="atLeast"/>
        <w:rPr>
          <w:rFonts w:ascii="Baskerville Old Face" w:hAnsi="Baskerville Old Face" w:cs="Times New Roman"/>
          <w:bCs/>
          <w:color w:val="000000"/>
        </w:rPr>
      </w:pPr>
      <w:r w:rsidRPr="0014472C">
        <w:rPr>
          <w:rFonts w:ascii="Baskerville Old Face" w:hAnsi="Baskerville Old Face" w:cs="Times New Roman"/>
          <w:b/>
          <w:bCs/>
          <w:color w:val="000000"/>
        </w:rPr>
        <w:t>Overview</w:t>
      </w:r>
    </w:p>
    <w:p w14:paraId="5FA869A8" w14:textId="091FA68A" w:rsidR="00493A46" w:rsidRPr="00DA502C" w:rsidRDefault="004369D4" w:rsidP="009B3834">
      <w:pPr>
        <w:pStyle w:val="Footer"/>
        <w:tabs>
          <w:tab w:val="clear" w:pos="4320"/>
          <w:tab w:val="clear" w:pos="8640"/>
        </w:tabs>
        <w:rPr>
          <w:rFonts w:ascii="Times New Roman" w:hAnsi="Times New Roman" w:cs="Times New Roman"/>
          <w:sz w:val="22"/>
          <w:szCs w:val="22"/>
        </w:rPr>
      </w:pPr>
      <w:r w:rsidRPr="00DA502C">
        <w:rPr>
          <w:rFonts w:ascii="Times New Roman" w:hAnsi="Times New Roman" w:cs="Times New Roman"/>
          <w:sz w:val="22"/>
          <w:szCs w:val="22"/>
        </w:rPr>
        <w:t>Students learn about comparative strategies and historical methods through methodological readings, exercises, and evaluations of exemplary analyses in which investigators of organizational structures, institutional relationships, political conflicts, and cultural patterns bring theory and historical-comparative evidence to bear on one another</w:t>
      </w:r>
      <w:r w:rsidR="0046025F" w:rsidRPr="00DA502C">
        <w:rPr>
          <w:rFonts w:ascii="Times New Roman" w:hAnsi="Times New Roman" w:cs="Times New Roman"/>
          <w:sz w:val="22"/>
          <w:szCs w:val="22"/>
        </w:rPr>
        <w:t>.</w:t>
      </w:r>
      <w:r w:rsidR="009B3834">
        <w:rPr>
          <w:rFonts w:ascii="Times New Roman" w:hAnsi="Times New Roman" w:cs="Times New Roman"/>
          <w:sz w:val="22"/>
          <w:szCs w:val="22"/>
        </w:rPr>
        <w:t xml:space="preserve"> </w:t>
      </w:r>
      <w:r w:rsidR="00493A46" w:rsidRPr="00DA502C">
        <w:rPr>
          <w:rFonts w:ascii="Times New Roman" w:hAnsi="Times New Roman" w:cs="Times New Roman"/>
          <w:sz w:val="22"/>
          <w:szCs w:val="22"/>
        </w:rPr>
        <w:t>Prereq</w:t>
      </w:r>
      <w:r w:rsidR="009B3834">
        <w:rPr>
          <w:rFonts w:ascii="Times New Roman" w:hAnsi="Times New Roman" w:cs="Times New Roman"/>
          <w:sz w:val="22"/>
          <w:szCs w:val="22"/>
        </w:rPr>
        <w:t>uisites are</w:t>
      </w:r>
      <w:r w:rsidR="00493A46" w:rsidRPr="00DA502C">
        <w:rPr>
          <w:rFonts w:ascii="Times New Roman" w:hAnsi="Times New Roman" w:cs="Times New Roman"/>
          <w:sz w:val="22"/>
          <w:szCs w:val="22"/>
        </w:rPr>
        <w:t xml:space="preserve"> Soc 357 or 358/359 or undergrad methods sequence or consent of instructor.</w:t>
      </w:r>
    </w:p>
    <w:p w14:paraId="07CBCD6D" w14:textId="77777777" w:rsidR="00C03C0B" w:rsidRPr="00DA502C" w:rsidRDefault="00C03C0B" w:rsidP="008C69B9">
      <w:pPr>
        <w:pStyle w:val="Footer"/>
        <w:tabs>
          <w:tab w:val="clear" w:pos="4320"/>
          <w:tab w:val="clear" w:pos="8640"/>
        </w:tabs>
        <w:rPr>
          <w:rFonts w:ascii="Times New Roman" w:hAnsi="Times New Roman" w:cs="Times New Roman"/>
          <w:sz w:val="22"/>
          <w:szCs w:val="22"/>
        </w:rPr>
      </w:pPr>
    </w:p>
    <w:p w14:paraId="5F211755" w14:textId="0F23EFD6" w:rsidR="008C69B9" w:rsidRPr="0014472C" w:rsidRDefault="008C69B9" w:rsidP="00C03C0B">
      <w:pPr>
        <w:pStyle w:val="Footer"/>
        <w:tabs>
          <w:tab w:val="clear" w:pos="4320"/>
          <w:tab w:val="clear" w:pos="8640"/>
        </w:tabs>
        <w:rPr>
          <w:rFonts w:ascii="Baskerville Old Face" w:hAnsi="Baskerville Old Face" w:cs="Times New Roman"/>
          <w:b/>
          <w:bCs/>
          <w:color w:val="000000"/>
        </w:rPr>
      </w:pPr>
      <w:r w:rsidRPr="0014472C">
        <w:rPr>
          <w:rFonts w:ascii="Baskerville Old Face" w:hAnsi="Baskerville Old Face" w:cs="Times New Roman"/>
          <w:b/>
          <w:bCs/>
          <w:color w:val="000000"/>
        </w:rPr>
        <w:t>Course Requirements</w:t>
      </w:r>
    </w:p>
    <w:p w14:paraId="58AF3A2D" w14:textId="26E1C3D7" w:rsidR="008C23B0" w:rsidRPr="002268F9" w:rsidRDefault="00E73DB2" w:rsidP="00C8142D">
      <w:pPr>
        <w:numPr>
          <w:ilvl w:val="0"/>
          <w:numId w:val="1"/>
        </w:numPr>
        <w:rPr>
          <w:rFonts w:asciiTheme="majorBidi" w:hAnsiTheme="majorBidi" w:cstheme="majorBidi"/>
          <w:sz w:val="22"/>
          <w:szCs w:val="22"/>
        </w:rPr>
      </w:pPr>
      <w:r w:rsidRPr="00DA502C">
        <w:rPr>
          <w:rFonts w:asciiTheme="majorBidi" w:hAnsiTheme="majorBidi" w:cstheme="majorBidi"/>
          <w:b/>
          <w:bCs/>
          <w:sz w:val="22"/>
          <w:szCs w:val="22"/>
        </w:rPr>
        <w:t>Attendance and participation:</w:t>
      </w:r>
      <w:r w:rsidRPr="00DA502C">
        <w:rPr>
          <w:rFonts w:asciiTheme="majorBidi" w:hAnsiTheme="majorBidi" w:cstheme="majorBidi"/>
          <w:sz w:val="22"/>
          <w:szCs w:val="22"/>
        </w:rPr>
        <w:t xml:space="preserve"> </w:t>
      </w:r>
      <w:r w:rsidR="00DD599A" w:rsidRPr="00DA502C">
        <w:rPr>
          <w:rFonts w:asciiTheme="majorBidi" w:hAnsiTheme="majorBidi" w:cstheme="majorBidi"/>
          <w:sz w:val="22"/>
          <w:szCs w:val="22"/>
        </w:rPr>
        <w:t xml:space="preserve">Please be prepared at class time to discuss all of the required readings for that week. </w:t>
      </w:r>
      <w:r w:rsidRPr="00DA502C">
        <w:rPr>
          <w:rFonts w:asciiTheme="majorBidi" w:hAnsiTheme="majorBidi" w:cstheme="majorBidi"/>
          <w:sz w:val="22"/>
          <w:szCs w:val="22"/>
        </w:rPr>
        <w:t>You are expected to attend class regularly, arrive on time, and be prepared to participate actively and thoughtfully in class discussions</w:t>
      </w:r>
      <w:r w:rsidR="008C69B9" w:rsidRPr="00DA502C">
        <w:rPr>
          <w:rFonts w:asciiTheme="majorBidi" w:hAnsiTheme="majorBidi" w:cstheme="majorBidi"/>
          <w:sz w:val="22"/>
          <w:szCs w:val="22"/>
        </w:rPr>
        <w:t>.</w:t>
      </w:r>
      <w:r w:rsidR="005A5E92" w:rsidRPr="00DA502C">
        <w:rPr>
          <w:rFonts w:asciiTheme="majorBidi" w:hAnsiTheme="majorBidi" w:cstheme="majorBidi"/>
          <w:sz w:val="22"/>
          <w:szCs w:val="22"/>
        </w:rPr>
        <w:t xml:space="preserve"> </w:t>
      </w:r>
      <w:r w:rsidR="00992381" w:rsidRPr="00DA502C">
        <w:rPr>
          <w:rFonts w:asciiTheme="majorBidi" w:hAnsiTheme="majorBidi" w:cstheme="majorBidi"/>
          <w:color w:val="000000"/>
          <w:sz w:val="22"/>
          <w:szCs w:val="22"/>
        </w:rPr>
        <w:t>You are encouraged to raise questions during discussions, which counts as participation.</w:t>
      </w:r>
    </w:p>
    <w:p w14:paraId="527968A7" w14:textId="1ABA04C5" w:rsidR="002268F9" w:rsidRPr="005823D8" w:rsidRDefault="002268F9" w:rsidP="00C8142D">
      <w:pPr>
        <w:numPr>
          <w:ilvl w:val="0"/>
          <w:numId w:val="1"/>
        </w:numPr>
        <w:rPr>
          <w:rFonts w:asciiTheme="majorBidi" w:hAnsiTheme="majorBidi" w:cstheme="majorBidi"/>
          <w:sz w:val="22"/>
          <w:szCs w:val="22"/>
        </w:rPr>
      </w:pPr>
      <w:r w:rsidRPr="00C06193">
        <w:rPr>
          <w:rFonts w:asciiTheme="majorBidi" w:hAnsiTheme="majorBidi" w:cstheme="majorBidi"/>
          <w:b/>
          <w:bCs/>
          <w:sz w:val="22"/>
          <w:szCs w:val="22"/>
        </w:rPr>
        <w:t xml:space="preserve">Document </w:t>
      </w:r>
      <w:r w:rsidR="00C8142D">
        <w:rPr>
          <w:rFonts w:asciiTheme="majorBidi" w:hAnsiTheme="majorBidi" w:cstheme="majorBidi"/>
          <w:b/>
          <w:bCs/>
          <w:sz w:val="22"/>
          <w:szCs w:val="22"/>
        </w:rPr>
        <w:t>a</w:t>
      </w:r>
      <w:r w:rsidRPr="00C06193">
        <w:rPr>
          <w:rFonts w:asciiTheme="majorBidi" w:hAnsiTheme="majorBidi" w:cstheme="majorBidi"/>
          <w:b/>
          <w:bCs/>
          <w:sz w:val="22"/>
          <w:szCs w:val="22"/>
        </w:rPr>
        <w:t xml:space="preserve">nalysis </w:t>
      </w:r>
      <w:r w:rsidR="00C8142D">
        <w:rPr>
          <w:rFonts w:asciiTheme="majorBidi" w:hAnsiTheme="majorBidi" w:cstheme="majorBidi"/>
          <w:b/>
          <w:bCs/>
          <w:sz w:val="22"/>
          <w:szCs w:val="22"/>
        </w:rPr>
        <w:t>w</w:t>
      </w:r>
      <w:r w:rsidRPr="00C06193">
        <w:rPr>
          <w:rFonts w:asciiTheme="majorBidi" w:hAnsiTheme="majorBidi" w:cstheme="majorBidi"/>
          <w:b/>
          <w:bCs/>
          <w:sz w:val="22"/>
          <w:szCs w:val="22"/>
        </w:rPr>
        <w:t>orksheet:</w:t>
      </w:r>
      <w:r>
        <w:rPr>
          <w:rFonts w:asciiTheme="majorBidi" w:hAnsiTheme="majorBidi" w:cstheme="majorBidi"/>
          <w:sz w:val="22"/>
          <w:szCs w:val="22"/>
        </w:rPr>
        <w:t xml:space="preserve"> </w:t>
      </w:r>
      <w:r w:rsidR="00C06193" w:rsidRPr="00C06193">
        <w:rPr>
          <w:rFonts w:asciiTheme="majorBidi" w:hAnsiTheme="majorBidi" w:cstheme="majorBidi"/>
          <w:sz w:val="22"/>
          <w:szCs w:val="22"/>
        </w:rPr>
        <w:t xml:space="preserve">Primary sources must be analyzed for contextual understanding and to extract information to make informed judgments. To practice these skills, you must complete a Document Analysis Worksheet for a historical document of your choice following our visit to the Wisconsin Historical Society on Feb. 5. </w:t>
      </w:r>
      <w:r w:rsidR="00C06193">
        <w:rPr>
          <w:rFonts w:asciiTheme="majorBidi" w:hAnsiTheme="majorBidi" w:cstheme="majorBidi"/>
          <w:sz w:val="22"/>
          <w:szCs w:val="22"/>
        </w:rPr>
        <w:t>You may use the</w:t>
      </w:r>
      <w:r w:rsidR="00C06193" w:rsidRPr="00C06193">
        <w:rPr>
          <w:rFonts w:asciiTheme="majorBidi" w:hAnsiTheme="majorBidi" w:cstheme="majorBidi"/>
          <w:sz w:val="22"/>
          <w:szCs w:val="22"/>
        </w:rPr>
        <w:t xml:space="preserve"> worksheet for photos, written documents, artifacts, </w:t>
      </w:r>
      <w:r w:rsidR="00C8142D">
        <w:rPr>
          <w:rFonts w:asciiTheme="majorBidi" w:hAnsiTheme="majorBidi" w:cstheme="majorBidi"/>
          <w:sz w:val="22"/>
          <w:szCs w:val="22"/>
        </w:rPr>
        <w:t>posters, maps, cartoons, or video</w:t>
      </w:r>
      <w:r w:rsidR="00C06193" w:rsidRPr="00C06193">
        <w:rPr>
          <w:rFonts w:asciiTheme="majorBidi" w:hAnsiTheme="majorBidi" w:cstheme="majorBidi"/>
          <w:sz w:val="22"/>
          <w:szCs w:val="22"/>
        </w:rPr>
        <w:t xml:space="preserve"> or sound recordings. </w:t>
      </w:r>
      <w:r w:rsidR="00C8142D">
        <w:rPr>
          <w:rFonts w:asciiTheme="majorBidi" w:hAnsiTheme="majorBidi" w:cstheme="majorBidi"/>
          <w:sz w:val="22"/>
          <w:szCs w:val="22"/>
        </w:rPr>
        <w:t>Please</w:t>
      </w:r>
      <w:r w:rsidR="00C06193" w:rsidRPr="00C06193">
        <w:rPr>
          <w:rFonts w:asciiTheme="majorBidi" w:hAnsiTheme="majorBidi" w:cstheme="majorBidi"/>
          <w:sz w:val="22"/>
          <w:szCs w:val="22"/>
        </w:rPr>
        <w:t xml:space="preserve"> select a document that is brief and (if possible) relevant to your own research interests. You will not receive a separate grade for this assignment, but it will count toward your </w:t>
      </w:r>
      <w:r w:rsidR="00C06193">
        <w:rPr>
          <w:rFonts w:asciiTheme="majorBidi" w:hAnsiTheme="majorBidi" w:cstheme="majorBidi"/>
          <w:sz w:val="22"/>
          <w:szCs w:val="22"/>
        </w:rPr>
        <w:t>participation grade.</w:t>
      </w:r>
      <w:r w:rsidR="00C8142D">
        <w:rPr>
          <w:rFonts w:asciiTheme="majorBidi" w:hAnsiTheme="majorBidi" w:cstheme="majorBidi"/>
          <w:sz w:val="22"/>
          <w:szCs w:val="22"/>
        </w:rPr>
        <w:t xml:space="preserve"> Du</w:t>
      </w:r>
      <w:r w:rsidR="00E54F97">
        <w:rPr>
          <w:rFonts w:asciiTheme="majorBidi" w:hAnsiTheme="majorBidi" w:cstheme="majorBidi"/>
          <w:sz w:val="22"/>
          <w:szCs w:val="22"/>
        </w:rPr>
        <w:t>e Feb. 12 at 4:00 PM.</w:t>
      </w:r>
    </w:p>
    <w:p w14:paraId="5CD116D4" w14:textId="2098D07A" w:rsidR="006452FB" w:rsidRPr="00C06193" w:rsidRDefault="00614070" w:rsidP="00C06193">
      <w:pPr>
        <w:numPr>
          <w:ilvl w:val="0"/>
          <w:numId w:val="1"/>
        </w:numPr>
        <w:rPr>
          <w:rFonts w:asciiTheme="majorBidi" w:hAnsiTheme="majorBidi" w:cstheme="majorBidi"/>
          <w:sz w:val="22"/>
          <w:szCs w:val="22"/>
        </w:rPr>
      </w:pPr>
      <w:r w:rsidRPr="00DA502C">
        <w:rPr>
          <w:rFonts w:asciiTheme="majorBidi" w:hAnsiTheme="majorBidi" w:cstheme="majorBidi"/>
          <w:b/>
          <w:bCs/>
          <w:color w:val="000000"/>
          <w:sz w:val="22"/>
          <w:szCs w:val="22"/>
        </w:rPr>
        <w:t>Response</w:t>
      </w:r>
      <w:r w:rsidR="00740CFB" w:rsidRPr="00DA502C">
        <w:rPr>
          <w:rFonts w:asciiTheme="majorBidi" w:hAnsiTheme="majorBidi" w:cstheme="majorBidi"/>
          <w:b/>
          <w:bCs/>
          <w:color w:val="000000"/>
          <w:sz w:val="22"/>
          <w:szCs w:val="22"/>
        </w:rPr>
        <w:t xml:space="preserve"> paper:</w:t>
      </w:r>
      <w:r w:rsidR="00740CFB" w:rsidRPr="00DA502C">
        <w:rPr>
          <w:rFonts w:asciiTheme="majorBidi" w:hAnsiTheme="majorBidi" w:cstheme="majorBidi"/>
          <w:color w:val="000000"/>
          <w:sz w:val="22"/>
          <w:szCs w:val="22"/>
        </w:rPr>
        <w:t xml:space="preserve"> </w:t>
      </w:r>
      <w:r w:rsidR="004A4FE4" w:rsidRPr="00DA502C">
        <w:rPr>
          <w:rFonts w:asciiTheme="majorBidi" w:hAnsiTheme="majorBidi" w:cstheme="majorBidi"/>
          <w:color w:val="000000"/>
          <w:sz w:val="22"/>
          <w:szCs w:val="22"/>
        </w:rPr>
        <w:t xml:space="preserve">You </w:t>
      </w:r>
      <w:r w:rsidR="00740CFB" w:rsidRPr="00DA502C">
        <w:rPr>
          <w:rFonts w:asciiTheme="majorBidi" w:hAnsiTheme="majorBidi" w:cstheme="majorBidi"/>
          <w:color w:val="000000"/>
          <w:sz w:val="22"/>
          <w:szCs w:val="22"/>
        </w:rPr>
        <w:t>are required to</w:t>
      </w:r>
      <w:r w:rsidR="004A4FE4" w:rsidRPr="00DA502C">
        <w:rPr>
          <w:rFonts w:asciiTheme="majorBidi" w:hAnsiTheme="majorBidi" w:cstheme="majorBidi"/>
          <w:color w:val="000000"/>
          <w:sz w:val="22"/>
          <w:szCs w:val="22"/>
        </w:rPr>
        <w:t xml:space="preserve"> write a </w:t>
      </w:r>
      <w:r w:rsidR="00A81165" w:rsidRPr="00DA502C">
        <w:rPr>
          <w:rFonts w:asciiTheme="majorBidi" w:hAnsiTheme="majorBidi" w:cstheme="majorBidi"/>
          <w:color w:val="000000"/>
          <w:sz w:val="22"/>
          <w:szCs w:val="22"/>
        </w:rPr>
        <w:t xml:space="preserve">short </w:t>
      </w:r>
      <w:r w:rsidRPr="00DA502C">
        <w:rPr>
          <w:rFonts w:asciiTheme="majorBidi" w:hAnsiTheme="majorBidi" w:cstheme="majorBidi"/>
          <w:color w:val="000000"/>
          <w:sz w:val="22"/>
          <w:szCs w:val="22"/>
        </w:rPr>
        <w:t>response</w:t>
      </w:r>
      <w:r w:rsidR="004A4FE4" w:rsidRPr="00DA502C">
        <w:rPr>
          <w:rFonts w:asciiTheme="majorBidi" w:hAnsiTheme="majorBidi" w:cstheme="majorBidi"/>
          <w:color w:val="000000"/>
          <w:sz w:val="22"/>
          <w:szCs w:val="22"/>
        </w:rPr>
        <w:t xml:space="preserve"> paper (about </w:t>
      </w:r>
      <w:r w:rsidR="00DA502C">
        <w:rPr>
          <w:rFonts w:asciiTheme="majorBidi" w:hAnsiTheme="majorBidi" w:cstheme="majorBidi"/>
          <w:color w:val="000000"/>
          <w:sz w:val="22"/>
          <w:szCs w:val="22"/>
        </w:rPr>
        <w:t>800</w:t>
      </w:r>
      <w:r w:rsidR="00B36C9A">
        <w:rPr>
          <w:rFonts w:asciiTheme="majorBidi" w:hAnsiTheme="majorBidi" w:cstheme="majorBidi"/>
          <w:color w:val="000000"/>
          <w:sz w:val="22"/>
          <w:szCs w:val="22"/>
        </w:rPr>
        <w:t xml:space="preserve"> </w:t>
      </w:r>
      <w:r w:rsidR="00DA502C">
        <w:rPr>
          <w:rFonts w:asciiTheme="majorBidi" w:hAnsiTheme="majorBidi" w:cstheme="majorBidi"/>
          <w:color w:val="000000"/>
          <w:sz w:val="22"/>
          <w:szCs w:val="22"/>
        </w:rPr>
        <w:t>words</w:t>
      </w:r>
      <w:r w:rsidR="004A4FE4" w:rsidRPr="00DA502C">
        <w:rPr>
          <w:rFonts w:asciiTheme="majorBidi" w:hAnsiTheme="majorBidi" w:cstheme="majorBidi"/>
          <w:color w:val="000000"/>
          <w:sz w:val="22"/>
          <w:szCs w:val="22"/>
        </w:rPr>
        <w:t xml:space="preserve">) on </w:t>
      </w:r>
      <w:r w:rsidR="00E54F97">
        <w:rPr>
          <w:rFonts w:asciiTheme="majorBidi" w:hAnsiTheme="majorBidi" w:cstheme="majorBidi"/>
          <w:color w:val="000000"/>
          <w:sz w:val="22"/>
          <w:szCs w:val="22"/>
        </w:rPr>
        <w:t xml:space="preserve">historical </w:t>
      </w:r>
      <w:r w:rsidR="00C06193">
        <w:rPr>
          <w:rFonts w:asciiTheme="majorBidi" w:hAnsiTheme="majorBidi" w:cstheme="majorBidi"/>
          <w:color w:val="000000"/>
          <w:sz w:val="22"/>
          <w:szCs w:val="22"/>
        </w:rPr>
        <w:t xml:space="preserve">sociologist </w:t>
      </w:r>
      <w:hyperlink r:id="rId8" w:history="1">
        <w:r w:rsidR="00C06193" w:rsidRPr="00C06193">
          <w:rPr>
            <w:rStyle w:val="Hyperlink"/>
            <w:rFonts w:asciiTheme="majorBidi" w:hAnsiTheme="majorBidi" w:cstheme="majorBidi"/>
            <w:sz w:val="22"/>
            <w:szCs w:val="22"/>
          </w:rPr>
          <w:t>Uri Ben-Eliezer’s April 23</w:t>
        </w:r>
        <w:r w:rsidR="00C06193" w:rsidRPr="00C06193">
          <w:rPr>
            <w:rStyle w:val="Hyperlink"/>
            <w:rFonts w:asciiTheme="majorBidi" w:hAnsiTheme="majorBidi" w:cstheme="majorBidi"/>
            <w:sz w:val="22"/>
            <w:szCs w:val="22"/>
            <w:vertAlign w:val="superscript"/>
          </w:rPr>
          <w:t>rd</w:t>
        </w:r>
        <w:r w:rsidR="00C06193" w:rsidRPr="00C06193">
          <w:rPr>
            <w:rStyle w:val="Hyperlink"/>
            <w:rFonts w:asciiTheme="majorBidi" w:hAnsiTheme="majorBidi" w:cstheme="majorBidi"/>
            <w:sz w:val="22"/>
            <w:szCs w:val="22"/>
          </w:rPr>
          <w:t xml:space="preserve"> Havens Center lecture</w:t>
        </w:r>
      </w:hyperlink>
      <w:r w:rsidR="00C06193">
        <w:rPr>
          <w:rFonts w:asciiTheme="majorBidi" w:hAnsiTheme="majorBidi" w:cstheme="majorBidi"/>
          <w:color w:val="000000"/>
          <w:sz w:val="22"/>
          <w:szCs w:val="22"/>
        </w:rPr>
        <w:t xml:space="preserve">. </w:t>
      </w:r>
      <w:r w:rsidR="00386C48">
        <w:rPr>
          <w:rFonts w:asciiTheme="majorBidi" w:hAnsiTheme="majorBidi" w:cstheme="majorBidi"/>
          <w:color w:val="000000"/>
          <w:sz w:val="22"/>
          <w:szCs w:val="22"/>
        </w:rPr>
        <w:t>Your</w:t>
      </w:r>
      <w:r w:rsidR="00386C48" w:rsidRPr="00DA502C">
        <w:rPr>
          <w:rFonts w:asciiTheme="majorBidi" w:hAnsiTheme="majorBidi" w:cstheme="majorBidi"/>
          <w:color w:val="000000"/>
          <w:sz w:val="22"/>
          <w:szCs w:val="22"/>
        </w:rPr>
        <w:t xml:space="preserve"> paper should be analytical, not a summary of </w:t>
      </w:r>
      <w:r w:rsidR="00C06193">
        <w:rPr>
          <w:rFonts w:asciiTheme="majorBidi" w:hAnsiTheme="majorBidi" w:cstheme="majorBidi"/>
          <w:color w:val="000000"/>
          <w:sz w:val="22"/>
          <w:szCs w:val="22"/>
        </w:rPr>
        <w:t>his</w:t>
      </w:r>
      <w:r w:rsidR="00386C48" w:rsidRPr="00DA502C">
        <w:rPr>
          <w:rFonts w:asciiTheme="majorBidi" w:hAnsiTheme="majorBidi" w:cstheme="majorBidi"/>
          <w:color w:val="000000"/>
          <w:sz w:val="22"/>
          <w:szCs w:val="22"/>
        </w:rPr>
        <w:t xml:space="preserve"> findings</w:t>
      </w:r>
      <w:r w:rsidR="00386C48">
        <w:rPr>
          <w:rFonts w:asciiTheme="majorBidi" w:hAnsiTheme="majorBidi" w:cstheme="majorBidi"/>
          <w:color w:val="000000"/>
          <w:sz w:val="22"/>
          <w:szCs w:val="22"/>
        </w:rPr>
        <w:t xml:space="preserve"> or argument; it</w:t>
      </w:r>
      <w:r w:rsidR="00740CFB" w:rsidRPr="00DA502C">
        <w:rPr>
          <w:rFonts w:asciiTheme="majorBidi" w:hAnsiTheme="majorBidi" w:cstheme="majorBidi"/>
          <w:color w:val="000000"/>
          <w:sz w:val="22"/>
          <w:szCs w:val="22"/>
        </w:rPr>
        <w:t xml:space="preserve"> should</w:t>
      </w:r>
      <w:r w:rsidR="004A4FE4" w:rsidRPr="00DA502C">
        <w:rPr>
          <w:rFonts w:asciiTheme="majorBidi" w:hAnsiTheme="majorBidi" w:cstheme="majorBidi"/>
          <w:color w:val="000000"/>
          <w:sz w:val="22"/>
          <w:szCs w:val="22"/>
        </w:rPr>
        <w:t xml:space="preserve"> focus on and analyz</w:t>
      </w:r>
      <w:r w:rsidR="007760B5" w:rsidRPr="00DA502C">
        <w:rPr>
          <w:rFonts w:asciiTheme="majorBidi" w:hAnsiTheme="majorBidi" w:cstheme="majorBidi"/>
          <w:color w:val="000000"/>
          <w:sz w:val="22"/>
          <w:szCs w:val="22"/>
        </w:rPr>
        <w:t xml:space="preserve">e what you see as the </w:t>
      </w:r>
      <w:r w:rsidR="00740CFB" w:rsidRPr="00DA502C">
        <w:rPr>
          <w:rFonts w:asciiTheme="majorBidi" w:hAnsiTheme="majorBidi" w:cstheme="majorBidi"/>
          <w:color w:val="000000"/>
          <w:sz w:val="22"/>
          <w:szCs w:val="22"/>
        </w:rPr>
        <w:t xml:space="preserve">most </w:t>
      </w:r>
      <w:r w:rsidR="007760B5" w:rsidRPr="00DA502C">
        <w:rPr>
          <w:rFonts w:asciiTheme="majorBidi" w:hAnsiTheme="majorBidi" w:cstheme="majorBidi"/>
          <w:color w:val="000000"/>
          <w:sz w:val="22"/>
          <w:szCs w:val="22"/>
        </w:rPr>
        <w:t>important or</w:t>
      </w:r>
      <w:r w:rsidR="004A4FE4" w:rsidRPr="00DA502C">
        <w:rPr>
          <w:rFonts w:asciiTheme="majorBidi" w:hAnsiTheme="majorBidi" w:cstheme="majorBidi"/>
          <w:color w:val="000000"/>
          <w:sz w:val="22"/>
          <w:szCs w:val="22"/>
        </w:rPr>
        <w:t xml:space="preserve"> interesting methodological issues in </w:t>
      </w:r>
      <w:r w:rsidR="00C06193">
        <w:rPr>
          <w:rFonts w:asciiTheme="majorBidi" w:hAnsiTheme="majorBidi" w:cstheme="majorBidi"/>
          <w:color w:val="000000"/>
          <w:sz w:val="22"/>
          <w:szCs w:val="22"/>
        </w:rPr>
        <w:t>his</w:t>
      </w:r>
      <w:r w:rsidR="004A4FE4" w:rsidRPr="00DA502C">
        <w:rPr>
          <w:rFonts w:asciiTheme="majorBidi" w:hAnsiTheme="majorBidi" w:cstheme="majorBidi"/>
          <w:color w:val="000000"/>
          <w:sz w:val="22"/>
          <w:szCs w:val="22"/>
        </w:rPr>
        <w:t xml:space="preserve"> research. </w:t>
      </w:r>
      <w:r w:rsidR="00285470">
        <w:rPr>
          <w:rFonts w:asciiTheme="majorBidi" w:hAnsiTheme="majorBidi" w:cstheme="majorBidi"/>
          <w:color w:val="000000"/>
          <w:sz w:val="22"/>
          <w:szCs w:val="22"/>
        </w:rPr>
        <w:t xml:space="preserve">For guidance on what kinds of issues to address, </w:t>
      </w:r>
      <w:r w:rsidR="00285470" w:rsidRPr="00DA502C">
        <w:rPr>
          <w:rFonts w:asciiTheme="majorBidi" w:hAnsiTheme="majorBidi" w:cstheme="majorBidi"/>
          <w:color w:val="000000"/>
          <w:sz w:val="22"/>
          <w:szCs w:val="22"/>
        </w:rPr>
        <w:t>I recommend that you read “</w:t>
      </w:r>
      <w:hyperlink r:id="rId9" w:history="1">
        <w:r w:rsidR="00285470" w:rsidRPr="00DA502C">
          <w:rPr>
            <w:rStyle w:val="Hyperlink"/>
            <w:rFonts w:asciiTheme="majorBidi" w:hAnsiTheme="majorBidi" w:cstheme="majorBidi"/>
            <w:sz w:val="22"/>
            <w:szCs w:val="22"/>
          </w:rPr>
          <w:t>Suggested ASR Reviewer Guidelines for Comparative Historical Papers</w:t>
        </w:r>
      </w:hyperlink>
      <w:r w:rsidR="00285470" w:rsidRPr="00DA502C">
        <w:rPr>
          <w:rFonts w:asciiTheme="majorBidi" w:hAnsiTheme="majorBidi" w:cstheme="majorBidi"/>
          <w:color w:val="000000"/>
          <w:sz w:val="22"/>
          <w:szCs w:val="22"/>
        </w:rPr>
        <w:t xml:space="preserve">.” These are guidelines for reviewing article manuscripts, but some of this guidance will also be relevant to </w:t>
      </w:r>
      <w:r w:rsidR="00386C48">
        <w:rPr>
          <w:rFonts w:asciiTheme="majorBidi" w:hAnsiTheme="majorBidi" w:cstheme="majorBidi"/>
          <w:color w:val="000000"/>
          <w:sz w:val="22"/>
          <w:szCs w:val="22"/>
        </w:rPr>
        <w:t>this assignment</w:t>
      </w:r>
      <w:r w:rsidR="00285470" w:rsidRPr="00DA502C">
        <w:rPr>
          <w:rFonts w:asciiTheme="majorBidi" w:hAnsiTheme="majorBidi" w:cstheme="majorBidi"/>
          <w:color w:val="000000"/>
          <w:sz w:val="22"/>
          <w:szCs w:val="22"/>
        </w:rPr>
        <w:t xml:space="preserve">. Because the paper is short, I expect it to be </w:t>
      </w:r>
      <w:r w:rsidR="00285470">
        <w:rPr>
          <w:rFonts w:asciiTheme="majorBidi" w:hAnsiTheme="majorBidi" w:cstheme="majorBidi"/>
          <w:color w:val="000000"/>
          <w:sz w:val="22"/>
          <w:szCs w:val="22"/>
        </w:rPr>
        <w:t xml:space="preserve">concise, </w:t>
      </w:r>
      <w:r w:rsidR="00285470" w:rsidRPr="00DA502C">
        <w:rPr>
          <w:rFonts w:asciiTheme="majorBidi" w:hAnsiTheme="majorBidi" w:cstheme="majorBidi"/>
          <w:color w:val="000000"/>
          <w:sz w:val="22"/>
          <w:szCs w:val="22"/>
        </w:rPr>
        <w:t>tightly focused,</w:t>
      </w:r>
      <w:r w:rsidR="00285470">
        <w:rPr>
          <w:rFonts w:asciiTheme="majorBidi" w:hAnsiTheme="majorBidi" w:cstheme="majorBidi"/>
          <w:color w:val="000000"/>
          <w:sz w:val="22"/>
          <w:szCs w:val="22"/>
        </w:rPr>
        <w:t xml:space="preserve"> thoughtful, and well </w:t>
      </w:r>
      <w:r w:rsidR="00285470" w:rsidRPr="00C06193">
        <w:rPr>
          <w:rFonts w:asciiTheme="majorBidi" w:hAnsiTheme="majorBidi" w:cstheme="majorBidi"/>
          <w:color w:val="000000"/>
          <w:sz w:val="22"/>
          <w:szCs w:val="22"/>
        </w:rPr>
        <w:t xml:space="preserve">written. </w:t>
      </w:r>
      <w:r w:rsidR="00884BE6" w:rsidRPr="00C06193">
        <w:rPr>
          <w:rFonts w:asciiTheme="majorBidi" w:hAnsiTheme="majorBidi" w:cstheme="majorBidi"/>
          <w:color w:val="000000"/>
          <w:sz w:val="22"/>
          <w:szCs w:val="22"/>
        </w:rPr>
        <w:t xml:space="preserve">The </w:t>
      </w:r>
      <w:r w:rsidR="00706A37" w:rsidRPr="00C06193">
        <w:rPr>
          <w:rFonts w:asciiTheme="majorBidi" w:hAnsiTheme="majorBidi" w:cstheme="majorBidi"/>
          <w:color w:val="000000"/>
          <w:sz w:val="22"/>
          <w:szCs w:val="22"/>
        </w:rPr>
        <w:t xml:space="preserve">response </w:t>
      </w:r>
      <w:r w:rsidR="00884BE6" w:rsidRPr="00C06193">
        <w:rPr>
          <w:rFonts w:asciiTheme="majorBidi" w:hAnsiTheme="majorBidi" w:cstheme="majorBidi"/>
          <w:color w:val="000000"/>
          <w:sz w:val="22"/>
          <w:szCs w:val="22"/>
        </w:rPr>
        <w:t>paper is due</w:t>
      </w:r>
      <w:r w:rsidRPr="00C06193">
        <w:rPr>
          <w:rFonts w:asciiTheme="majorBidi" w:hAnsiTheme="majorBidi" w:cstheme="majorBidi"/>
          <w:color w:val="000000"/>
          <w:sz w:val="22"/>
          <w:szCs w:val="22"/>
        </w:rPr>
        <w:t xml:space="preserve"> </w:t>
      </w:r>
      <w:r w:rsidR="00C06193" w:rsidRPr="00C06193">
        <w:rPr>
          <w:rFonts w:asciiTheme="majorBidi" w:hAnsiTheme="majorBidi" w:cstheme="majorBidi"/>
          <w:color w:val="000000"/>
          <w:sz w:val="22"/>
          <w:szCs w:val="22"/>
        </w:rPr>
        <w:t>Apr.</w:t>
      </w:r>
      <w:r w:rsidRPr="00C06193">
        <w:rPr>
          <w:rFonts w:asciiTheme="majorBidi" w:hAnsiTheme="majorBidi" w:cstheme="majorBidi"/>
          <w:color w:val="000000"/>
          <w:sz w:val="22"/>
          <w:szCs w:val="22"/>
        </w:rPr>
        <w:t xml:space="preserve"> </w:t>
      </w:r>
      <w:r w:rsidR="00C06193" w:rsidRPr="00C06193">
        <w:rPr>
          <w:rFonts w:asciiTheme="majorBidi" w:hAnsiTheme="majorBidi" w:cstheme="majorBidi"/>
          <w:color w:val="000000"/>
          <w:sz w:val="22"/>
          <w:szCs w:val="22"/>
        </w:rPr>
        <w:t>30</w:t>
      </w:r>
      <w:r w:rsidR="00884BE6" w:rsidRPr="00C06193">
        <w:rPr>
          <w:rFonts w:asciiTheme="majorBidi" w:hAnsiTheme="majorBidi" w:cstheme="majorBidi"/>
          <w:color w:val="000000"/>
          <w:sz w:val="22"/>
          <w:szCs w:val="22"/>
        </w:rPr>
        <w:t xml:space="preserve"> at </w:t>
      </w:r>
      <w:r w:rsidR="00C06193" w:rsidRPr="00C06193">
        <w:rPr>
          <w:rFonts w:asciiTheme="majorBidi" w:hAnsiTheme="majorBidi" w:cstheme="majorBidi"/>
          <w:color w:val="000000"/>
          <w:sz w:val="22"/>
          <w:szCs w:val="22"/>
        </w:rPr>
        <w:t>4:00</w:t>
      </w:r>
      <w:r w:rsidR="00884BE6" w:rsidRPr="00C06193">
        <w:rPr>
          <w:rFonts w:asciiTheme="majorBidi" w:hAnsiTheme="majorBidi" w:cstheme="majorBidi"/>
          <w:color w:val="000000"/>
          <w:sz w:val="22"/>
          <w:szCs w:val="22"/>
        </w:rPr>
        <w:t xml:space="preserve"> PM</w:t>
      </w:r>
      <w:r w:rsidRPr="00C06193">
        <w:rPr>
          <w:rFonts w:asciiTheme="majorBidi" w:hAnsiTheme="majorBidi" w:cstheme="majorBidi"/>
          <w:color w:val="000000"/>
          <w:sz w:val="22"/>
          <w:szCs w:val="22"/>
        </w:rPr>
        <w:t>.</w:t>
      </w:r>
    </w:p>
    <w:p w14:paraId="29E2E07A" w14:textId="509B5087" w:rsidR="008336DF" w:rsidRPr="00DA502C" w:rsidRDefault="004F548A" w:rsidP="00E54F97">
      <w:pPr>
        <w:numPr>
          <w:ilvl w:val="0"/>
          <w:numId w:val="1"/>
        </w:numPr>
        <w:rPr>
          <w:rFonts w:asciiTheme="majorBidi" w:hAnsiTheme="majorBidi" w:cstheme="majorBidi"/>
          <w:color w:val="000000"/>
          <w:sz w:val="22"/>
          <w:szCs w:val="22"/>
        </w:rPr>
      </w:pPr>
      <w:r w:rsidRPr="00DA502C">
        <w:rPr>
          <w:rFonts w:asciiTheme="majorBidi" w:hAnsiTheme="majorBidi" w:cstheme="majorBidi"/>
          <w:b/>
          <w:bCs/>
          <w:color w:val="000000"/>
          <w:sz w:val="22"/>
          <w:szCs w:val="22"/>
        </w:rPr>
        <w:t>Book review</w:t>
      </w:r>
      <w:r w:rsidRPr="00DA502C">
        <w:rPr>
          <w:rFonts w:asciiTheme="majorBidi" w:hAnsiTheme="majorBidi" w:cstheme="majorBidi"/>
          <w:color w:val="000000"/>
          <w:sz w:val="22"/>
          <w:szCs w:val="22"/>
        </w:rPr>
        <w:t xml:space="preserve"> of a monograph in comparative-historical sociology.</w:t>
      </w:r>
      <w:r w:rsidR="00FE57CF" w:rsidRPr="00DA502C">
        <w:rPr>
          <w:rFonts w:asciiTheme="majorBidi" w:hAnsiTheme="majorBidi" w:cstheme="majorBidi"/>
          <w:color w:val="000000"/>
          <w:sz w:val="22"/>
          <w:szCs w:val="22"/>
        </w:rPr>
        <w:t xml:space="preserve"> </w:t>
      </w:r>
      <w:r w:rsidR="00C06193">
        <w:rPr>
          <w:rFonts w:asciiTheme="majorBidi" w:hAnsiTheme="majorBidi" w:cstheme="majorBidi"/>
          <w:color w:val="000000"/>
          <w:sz w:val="22"/>
          <w:szCs w:val="22"/>
        </w:rPr>
        <w:t xml:space="preserve">Please select a book </w:t>
      </w:r>
      <w:r w:rsidR="006452FB" w:rsidRPr="00DA502C">
        <w:rPr>
          <w:rFonts w:asciiTheme="majorBidi" w:hAnsiTheme="majorBidi" w:cstheme="majorBidi"/>
          <w:sz w:val="22"/>
          <w:szCs w:val="22"/>
        </w:rPr>
        <w:t xml:space="preserve">that has won </w:t>
      </w:r>
      <w:r w:rsidR="00C06193">
        <w:rPr>
          <w:rFonts w:asciiTheme="majorBidi" w:hAnsiTheme="majorBidi" w:cstheme="majorBidi"/>
          <w:sz w:val="22"/>
          <w:szCs w:val="22"/>
        </w:rPr>
        <w:t xml:space="preserve">or received honorable mention for </w:t>
      </w:r>
      <w:r w:rsidR="006452FB" w:rsidRPr="00DA502C">
        <w:rPr>
          <w:rFonts w:asciiTheme="majorBidi" w:hAnsiTheme="majorBidi" w:cstheme="majorBidi"/>
          <w:sz w:val="22"/>
          <w:szCs w:val="22"/>
        </w:rPr>
        <w:t>the Barrington Moore Book Award from the ASA’s Comparative and Historical Sociology Section</w:t>
      </w:r>
      <w:r w:rsidR="00407F2F" w:rsidRPr="00DA502C">
        <w:rPr>
          <w:rFonts w:asciiTheme="majorBidi" w:hAnsiTheme="majorBidi" w:cstheme="majorBidi"/>
          <w:sz w:val="22"/>
          <w:szCs w:val="22"/>
        </w:rPr>
        <w:t>. (See</w:t>
      </w:r>
      <w:r w:rsidR="006452FB" w:rsidRPr="00DA502C">
        <w:rPr>
          <w:rFonts w:asciiTheme="majorBidi" w:hAnsiTheme="majorBidi" w:cstheme="majorBidi"/>
          <w:sz w:val="22"/>
          <w:szCs w:val="22"/>
        </w:rPr>
        <w:t xml:space="preserve"> </w:t>
      </w:r>
      <w:hyperlink r:id="rId10" w:history="1">
        <w:r w:rsidR="006452FB" w:rsidRPr="00DA502C">
          <w:rPr>
            <w:rStyle w:val="Hyperlink"/>
            <w:rFonts w:asciiTheme="majorBidi" w:hAnsiTheme="majorBidi" w:cstheme="majorBidi"/>
            <w:sz w:val="22"/>
            <w:szCs w:val="22"/>
          </w:rPr>
          <w:t>here</w:t>
        </w:r>
      </w:hyperlink>
      <w:r w:rsidR="006452FB" w:rsidRPr="00DA502C">
        <w:rPr>
          <w:rFonts w:asciiTheme="majorBidi" w:hAnsiTheme="majorBidi" w:cstheme="majorBidi"/>
          <w:sz w:val="22"/>
          <w:szCs w:val="22"/>
        </w:rPr>
        <w:t xml:space="preserve"> </w:t>
      </w:r>
      <w:r w:rsidR="00407F2F" w:rsidRPr="00DA502C">
        <w:rPr>
          <w:rFonts w:asciiTheme="majorBidi" w:hAnsiTheme="majorBidi" w:cstheme="majorBidi"/>
          <w:sz w:val="22"/>
          <w:szCs w:val="22"/>
        </w:rPr>
        <w:t>or</w:t>
      </w:r>
      <w:r w:rsidR="006452FB" w:rsidRPr="00DA502C">
        <w:rPr>
          <w:rFonts w:asciiTheme="majorBidi" w:hAnsiTheme="majorBidi" w:cstheme="majorBidi"/>
          <w:sz w:val="22"/>
          <w:szCs w:val="22"/>
        </w:rPr>
        <w:t xml:space="preserve"> </w:t>
      </w:r>
      <w:hyperlink r:id="rId11" w:history="1">
        <w:r w:rsidR="006452FB" w:rsidRPr="00DA502C">
          <w:rPr>
            <w:rStyle w:val="Hyperlink"/>
            <w:rFonts w:asciiTheme="majorBidi" w:hAnsiTheme="majorBidi" w:cstheme="majorBidi"/>
            <w:sz w:val="22"/>
            <w:szCs w:val="22"/>
          </w:rPr>
          <w:t>here</w:t>
        </w:r>
      </w:hyperlink>
      <w:r w:rsidR="00407F2F" w:rsidRPr="00DA502C">
        <w:rPr>
          <w:rFonts w:asciiTheme="majorBidi" w:hAnsiTheme="majorBidi" w:cstheme="majorBidi"/>
          <w:sz w:val="22"/>
          <w:szCs w:val="22"/>
        </w:rPr>
        <w:t xml:space="preserve"> for award winners.)</w:t>
      </w:r>
      <w:r w:rsidR="006452FB" w:rsidRPr="00DA502C">
        <w:rPr>
          <w:rFonts w:asciiTheme="majorBidi" w:hAnsiTheme="majorBidi" w:cstheme="majorBidi"/>
          <w:sz w:val="22"/>
          <w:szCs w:val="22"/>
        </w:rPr>
        <w:t xml:space="preserve"> </w:t>
      </w:r>
      <w:r w:rsidR="00407F2F" w:rsidRPr="00DA502C">
        <w:rPr>
          <w:rFonts w:asciiTheme="majorBidi" w:hAnsiTheme="majorBidi" w:cstheme="majorBidi"/>
          <w:color w:val="000000"/>
          <w:sz w:val="22"/>
          <w:szCs w:val="22"/>
        </w:rPr>
        <w:t xml:space="preserve">Reviews </w:t>
      </w:r>
      <w:r w:rsidR="00E54F97">
        <w:rPr>
          <w:rFonts w:asciiTheme="majorBidi" w:hAnsiTheme="majorBidi" w:cstheme="majorBidi"/>
          <w:color w:val="000000"/>
          <w:sz w:val="22"/>
          <w:szCs w:val="22"/>
        </w:rPr>
        <w:t>should</w:t>
      </w:r>
      <w:r w:rsidR="00407F2F" w:rsidRPr="00DA502C">
        <w:rPr>
          <w:rFonts w:asciiTheme="majorBidi" w:hAnsiTheme="majorBidi" w:cstheme="majorBidi"/>
          <w:color w:val="000000"/>
          <w:sz w:val="22"/>
          <w:szCs w:val="22"/>
        </w:rPr>
        <w:t xml:space="preserve"> include both a summary of the book’s argument and a discussion of the book’s contributions and shortcomings. The purpose of this </w:t>
      </w:r>
      <w:r w:rsidR="00D060D6">
        <w:rPr>
          <w:rFonts w:asciiTheme="majorBidi" w:hAnsiTheme="majorBidi" w:cstheme="majorBidi"/>
          <w:color w:val="000000"/>
          <w:sz w:val="22"/>
          <w:szCs w:val="22"/>
        </w:rPr>
        <w:t>assignment</w:t>
      </w:r>
      <w:r w:rsidR="00407F2F" w:rsidRPr="00DA502C">
        <w:rPr>
          <w:rFonts w:asciiTheme="majorBidi" w:hAnsiTheme="majorBidi" w:cstheme="majorBidi"/>
          <w:color w:val="000000"/>
          <w:sz w:val="22"/>
          <w:szCs w:val="22"/>
        </w:rPr>
        <w:t xml:space="preserve"> is to demonstrate that you can apply the tools of comparative-historical analysis to evaluate critically scholarship in this field of</w:t>
      </w:r>
      <w:r w:rsidR="00614070" w:rsidRPr="00DA502C">
        <w:rPr>
          <w:rFonts w:asciiTheme="majorBidi" w:hAnsiTheme="majorBidi" w:cstheme="majorBidi"/>
          <w:color w:val="000000"/>
          <w:sz w:val="22"/>
          <w:szCs w:val="22"/>
        </w:rPr>
        <w:t xml:space="preserve"> research</w:t>
      </w:r>
      <w:r w:rsidR="00407F2F" w:rsidRPr="00DA502C">
        <w:rPr>
          <w:rFonts w:asciiTheme="majorBidi" w:hAnsiTheme="majorBidi" w:cstheme="majorBidi"/>
          <w:color w:val="000000"/>
          <w:sz w:val="22"/>
          <w:szCs w:val="22"/>
        </w:rPr>
        <w:t xml:space="preserve">. </w:t>
      </w:r>
      <w:r w:rsidR="00B36C9A">
        <w:rPr>
          <w:rFonts w:asciiTheme="majorBidi" w:hAnsiTheme="majorBidi" w:cstheme="majorBidi"/>
          <w:color w:val="000000"/>
          <w:sz w:val="22"/>
          <w:szCs w:val="22"/>
        </w:rPr>
        <w:t xml:space="preserve">Therefore, </w:t>
      </w:r>
      <w:r w:rsidR="00E54F97">
        <w:rPr>
          <w:rFonts w:asciiTheme="majorBidi" w:hAnsiTheme="majorBidi" w:cstheme="majorBidi"/>
          <w:color w:val="000000"/>
          <w:sz w:val="22"/>
          <w:szCs w:val="22"/>
        </w:rPr>
        <w:t>your review</w:t>
      </w:r>
      <w:r w:rsidR="00407F2F" w:rsidRPr="00DA502C">
        <w:rPr>
          <w:rFonts w:asciiTheme="majorBidi" w:hAnsiTheme="majorBidi" w:cstheme="majorBidi"/>
          <w:color w:val="000000"/>
          <w:sz w:val="22"/>
          <w:szCs w:val="22"/>
        </w:rPr>
        <w:t xml:space="preserve"> should focus on methodological issues. </w:t>
      </w:r>
      <w:r w:rsidR="00E54F97">
        <w:rPr>
          <w:rFonts w:asciiTheme="majorBidi" w:hAnsiTheme="majorBidi" w:cstheme="majorBidi"/>
          <w:color w:val="000000"/>
          <w:sz w:val="22"/>
          <w:szCs w:val="22"/>
        </w:rPr>
        <w:t>The</w:t>
      </w:r>
      <w:r w:rsidR="00407F2F" w:rsidRPr="00DA502C">
        <w:rPr>
          <w:rFonts w:asciiTheme="majorBidi" w:hAnsiTheme="majorBidi" w:cstheme="majorBidi"/>
          <w:color w:val="000000"/>
          <w:sz w:val="22"/>
          <w:szCs w:val="22"/>
        </w:rPr>
        <w:t xml:space="preserve"> review should be about 800 </w:t>
      </w:r>
      <w:r w:rsidR="00C92E67">
        <w:rPr>
          <w:rFonts w:asciiTheme="majorBidi" w:hAnsiTheme="majorBidi" w:cstheme="majorBidi"/>
          <w:color w:val="000000"/>
          <w:sz w:val="22"/>
          <w:szCs w:val="22"/>
        </w:rPr>
        <w:t>words</w:t>
      </w:r>
      <w:r w:rsidR="00407F2F" w:rsidRPr="00DA502C">
        <w:rPr>
          <w:rFonts w:asciiTheme="majorBidi" w:hAnsiTheme="majorBidi" w:cstheme="majorBidi"/>
          <w:color w:val="000000"/>
          <w:sz w:val="22"/>
          <w:szCs w:val="22"/>
        </w:rPr>
        <w:t>.</w:t>
      </w:r>
      <w:r w:rsidR="003C043D" w:rsidRPr="00DA502C">
        <w:rPr>
          <w:rFonts w:asciiTheme="majorBidi" w:hAnsiTheme="majorBidi" w:cstheme="majorBidi"/>
          <w:color w:val="000000"/>
          <w:sz w:val="22"/>
          <w:szCs w:val="22"/>
        </w:rPr>
        <w:t xml:space="preserve"> </w:t>
      </w:r>
      <w:r w:rsidR="00A32346" w:rsidRPr="00DA502C">
        <w:rPr>
          <w:rFonts w:asciiTheme="majorBidi" w:hAnsiTheme="majorBidi" w:cstheme="majorBidi"/>
          <w:color w:val="000000"/>
          <w:sz w:val="22"/>
          <w:szCs w:val="22"/>
        </w:rPr>
        <w:t xml:space="preserve">Before writing your review, </w:t>
      </w:r>
      <w:r w:rsidR="003C043D" w:rsidRPr="00DA502C">
        <w:rPr>
          <w:rFonts w:asciiTheme="majorBidi" w:hAnsiTheme="majorBidi" w:cstheme="majorBidi"/>
          <w:color w:val="000000"/>
          <w:sz w:val="22"/>
          <w:szCs w:val="22"/>
        </w:rPr>
        <w:t xml:space="preserve">I recommend that you read </w:t>
      </w:r>
      <w:r w:rsidR="00292BB7" w:rsidRPr="00DA502C">
        <w:rPr>
          <w:rFonts w:asciiTheme="majorBidi" w:hAnsiTheme="majorBidi" w:cstheme="majorBidi"/>
          <w:color w:val="000000"/>
          <w:sz w:val="22"/>
          <w:szCs w:val="22"/>
        </w:rPr>
        <w:t>“</w:t>
      </w:r>
      <w:hyperlink r:id="rId12" w:history="1">
        <w:r w:rsidR="00292BB7" w:rsidRPr="00DA502C">
          <w:rPr>
            <w:rStyle w:val="Hyperlink"/>
            <w:rFonts w:asciiTheme="majorBidi" w:hAnsiTheme="majorBidi" w:cstheme="majorBidi"/>
            <w:sz w:val="22"/>
            <w:szCs w:val="22"/>
          </w:rPr>
          <w:t>Suggested ASR Reviewer Guidelines for Comparative Historical Papers</w:t>
        </w:r>
      </w:hyperlink>
      <w:r w:rsidR="00292BB7" w:rsidRPr="00DA502C">
        <w:rPr>
          <w:rFonts w:asciiTheme="majorBidi" w:hAnsiTheme="majorBidi" w:cstheme="majorBidi"/>
          <w:color w:val="000000"/>
          <w:sz w:val="22"/>
          <w:szCs w:val="22"/>
        </w:rPr>
        <w:t xml:space="preserve">.” </w:t>
      </w:r>
      <w:r w:rsidR="00A32346" w:rsidRPr="00DA502C">
        <w:rPr>
          <w:rFonts w:asciiTheme="majorBidi" w:hAnsiTheme="majorBidi" w:cstheme="majorBidi"/>
          <w:color w:val="000000"/>
          <w:sz w:val="22"/>
          <w:szCs w:val="22"/>
        </w:rPr>
        <w:t xml:space="preserve">I also recommend that you read </w:t>
      </w:r>
      <w:r w:rsidR="003C043D" w:rsidRPr="00DA502C">
        <w:rPr>
          <w:rFonts w:asciiTheme="majorBidi" w:hAnsiTheme="majorBidi" w:cstheme="majorBidi"/>
          <w:color w:val="000000"/>
          <w:sz w:val="22"/>
          <w:szCs w:val="22"/>
        </w:rPr>
        <w:t xml:space="preserve">Casey </w:t>
      </w:r>
      <w:r w:rsidR="003C043D" w:rsidRPr="00C06193">
        <w:rPr>
          <w:rFonts w:asciiTheme="majorBidi" w:hAnsiTheme="majorBidi" w:cstheme="majorBidi"/>
          <w:color w:val="000000"/>
          <w:sz w:val="22"/>
          <w:szCs w:val="22"/>
        </w:rPr>
        <w:t xml:space="preserve">Brienza’s </w:t>
      </w:r>
      <w:r w:rsidR="00DA502C" w:rsidRPr="00C06193">
        <w:rPr>
          <w:rFonts w:asciiTheme="majorBidi" w:hAnsiTheme="majorBidi" w:cstheme="majorBidi"/>
          <w:color w:val="000000"/>
          <w:sz w:val="22"/>
          <w:szCs w:val="22"/>
        </w:rPr>
        <w:t xml:space="preserve">essay </w:t>
      </w:r>
      <w:r w:rsidR="003C043D" w:rsidRPr="00C06193">
        <w:rPr>
          <w:rFonts w:asciiTheme="majorBidi" w:hAnsiTheme="majorBidi" w:cstheme="majorBidi"/>
          <w:color w:val="000000"/>
          <w:sz w:val="22"/>
          <w:szCs w:val="22"/>
        </w:rPr>
        <w:t>“</w:t>
      </w:r>
      <w:hyperlink r:id="rId13" w:history="1">
        <w:r w:rsidR="00A32346" w:rsidRPr="00C06193">
          <w:rPr>
            <w:rStyle w:val="Hyperlink"/>
            <w:rFonts w:asciiTheme="majorBidi" w:hAnsiTheme="majorBidi" w:cstheme="majorBidi"/>
            <w:sz w:val="22"/>
            <w:szCs w:val="22"/>
          </w:rPr>
          <w:t>Writing Academic Book Reviews</w:t>
        </w:r>
      </w:hyperlink>
      <w:r w:rsidR="00A32346" w:rsidRPr="00C06193">
        <w:rPr>
          <w:rFonts w:asciiTheme="majorBidi" w:hAnsiTheme="majorBidi" w:cstheme="majorBidi"/>
          <w:color w:val="000000"/>
          <w:sz w:val="22"/>
          <w:szCs w:val="22"/>
        </w:rPr>
        <w:t>.”</w:t>
      </w:r>
      <w:r w:rsidR="00AA0AAD" w:rsidRPr="00C06193">
        <w:rPr>
          <w:rFonts w:asciiTheme="majorBidi" w:hAnsiTheme="majorBidi" w:cstheme="majorBidi"/>
          <w:color w:val="000000"/>
          <w:sz w:val="22"/>
          <w:szCs w:val="22"/>
        </w:rPr>
        <w:t xml:space="preserve"> The book review is due </w:t>
      </w:r>
      <w:r w:rsidR="008D1C10">
        <w:rPr>
          <w:rFonts w:asciiTheme="majorBidi" w:hAnsiTheme="majorBidi" w:cstheme="majorBidi"/>
          <w:color w:val="000000"/>
          <w:sz w:val="22"/>
          <w:szCs w:val="22"/>
        </w:rPr>
        <w:t>Mar.</w:t>
      </w:r>
      <w:r w:rsidR="00AA0AAD" w:rsidRPr="00C06193">
        <w:rPr>
          <w:rFonts w:asciiTheme="majorBidi" w:hAnsiTheme="majorBidi" w:cstheme="majorBidi"/>
          <w:color w:val="000000"/>
          <w:sz w:val="22"/>
          <w:szCs w:val="22"/>
        </w:rPr>
        <w:t xml:space="preserve"> </w:t>
      </w:r>
      <w:r w:rsidR="00706A37" w:rsidRPr="00C06193">
        <w:rPr>
          <w:rFonts w:asciiTheme="majorBidi" w:hAnsiTheme="majorBidi" w:cstheme="majorBidi"/>
          <w:color w:val="000000"/>
          <w:sz w:val="22"/>
          <w:szCs w:val="22"/>
        </w:rPr>
        <w:t>2</w:t>
      </w:r>
      <w:r w:rsidR="008D1C10">
        <w:rPr>
          <w:rFonts w:asciiTheme="majorBidi" w:hAnsiTheme="majorBidi" w:cstheme="majorBidi"/>
          <w:color w:val="000000"/>
          <w:sz w:val="22"/>
          <w:szCs w:val="22"/>
        </w:rPr>
        <w:t>6</w:t>
      </w:r>
      <w:r w:rsidR="00AA0AAD" w:rsidRPr="00C06193">
        <w:rPr>
          <w:rFonts w:asciiTheme="majorBidi" w:hAnsiTheme="majorBidi" w:cstheme="majorBidi"/>
          <w:color w:val="000000"/>
          <w:sz w:val="22"/>
          <w:szCs w:val="22"/>
        </w:rPr>
        <w:t xml:space="preserve"> at 4:00 PM.</w:t>
      </w:r>
    </w:p>
    <w:p w14:paraId="67DFC424" w14:textId="1CDFF26E" w:rsidR="00455FD6" w:rsidRPr="00DA502C" w:rsidRDefault="008336DF" w:rsidP="008D1C10">
      <w:pPr>
        <w:numPr>
          <w:ilvl w:val="0"/>
          <w:numId w:val="1"/>
        </w:numPr>
        <w:rPr>
          <w:rFonts w:asciiTheme="majorBidi" w:hAnsiTheme="majorBidi" w:cstheme="majorBidi"/>
          <w:sz w:val="22"/>
          <w:szCs w:val="22"/>
        </w:rPr>
      </w:pPr>
      <w:r w:rsidRPr="00B36C9A">
        <w:rPr>
          <w:rFonts w:asciiTheme="majorBidi" w:hAnsiTheme="majorBidi" w:cstheme="majorBidi"/>
          <w:b/>
          <w:bCs/>
          <w:sz w:val="22"/>
          <w:szCs w:val="22"/>
        </w:rPr>
        <w:t xml:space="preserve">Oral presentation of research proposal: </w:t>
      </w:r>
      <w:r w:rsidR="007760B5" w:rsidRPr="00DA502C">
        <w:rPr>
          <w:rFonts w:asciiTheme="majorBidi" w:hAnsiTheme="majorBidi" w:cstheme="majorBidi"/>
          <w:sz w:val="22"/>
          <w:szCs w:val="22"/>
        </w:rPr>
        <w:t xml:space="preserve">During the </w:t>
      </w:r>
      <w:r w:rsidR="008D1C10">
        <w:rPr>
          <w:rFonts w:asciiTheme="majorBidi" w:hAnsiTheme="majorBidi" w:cstheme="majorBidi"/>
          <w:sz w:val="22"/>
          <w:szCs w:val="22"/>
        </w:rPr>
        <w:t>twelfth and fourteenth weeks</w:t>
      </w:r>
      <w:r w:rsidR="007760B5" w:rsidRPr="00DA502C">
        <w:rPr>
          <w:rFonts w:asciiTheme="majorBidi" w:hAnsiTheme="majorBidi" w:cstheme="majorBidi"/>
          <w:sz w:val="22"/>
          <w:szCs w:val="22"/>
        </w:rPr>
        <w:t xml:space="preserve"> of the semester</w:t>
      </w:r>
      <w:r w:rsidR="00455FD6" w:rsidRPr="00DA502C">
        <w:rPr>
          <w:rFonts w:asciiTheme="majorBidi" w:hAnsiTheme="majorBidi" w:cstheme="majorBidi"/>
          <w:sz w:val="22"/>
          <w:szCs w:val="22"/>
        </w:rPr>
        <w:t xml:space="preserve">, </w:t>
      </w:r>
      <w:r w:rsidR="005A5E92" w:rsidRPr="00DA502C">
        <w:rPr>
          <w:rFonts w:asciiTheme="majorBidi" w:hAnsiTheme="majorBidi" w:cstheme="majorBidi"/>
          <w:sz w:val="22"/>
          <w:szCs w:val="22"/>
        </w:rPr>
        <w:t>each student</w:t>
      </w:r>
      <w:r w:rsidR="00455FD6" w:rsidRPr="00DA502C">
        <w:rPr>
          <w:rFonts w:asciiTheme="majorBidi" w:hAnsiTheme="majorBidi" w:cstheme="majorBidi"/>
          <w:sz w:val="22"/>
          <w:szCs w:val="22"/>
        </w:rPr>
        <w:t xml:space="preserve"> </w:t>
      </w:r>
      <w:r w:rsidR="005A5E92" w:rsidRPr="00DA502C">
        <w:rPr>
          <w:rFonts w:asciiTheme="majorBidi" w:hAnsiTheme="majorBidi" w:cstheme="majorBidi"/>
          <w:sz w:val="22"/>
          <w:szCs w:val="22"/>
        </w:rPr>
        <w:t>is</w:t>
      </w:r>
      <w:r w:rsidR="00455FD6" w:rsidRPr="00DA502C">
        <w:rPr>
          <w:rFonts w:asciiTheme="majorBidi" w:hAnsiTheme="majorBidi" w:cstheme="majorBidi"/>
          <w:sz w:val="22"/>
          <w:szCs w:val="22"/>
        </w:rPr>
        <w:t xml:space="preserve"> </w:t>
      </w:r>
      <w:r w:rsidR="005A5E92" w:rsidRPr="00DA502C">
        <w:rPr>
          <w:rFonts w:asciiTheme="majorBidi" w:hAnsiTheme="majorBidi" w:cstheme="majorBidi"/>
          <w:sz w:val="22"/>
          <w:szCs w:val="22"/>
        </w:rPr>
        <w:t>expected</w:t>
      </w:r>
      <w:r w:rsidR="00455FD6" w:rsidRPr="00DA502C">
        <w:rPr>
          <w:rFonts w:asciiTheme="majorBidi" w:hAnsiTheme="majorBidi" w:cstheme="majorBidi"/>
          <w:sz w:val="22"/>
          <w:szCs w:val="22"/>
        </w:rPr>
        <w:t xml:space="preserve"> to make </w:t>
      </w:r>
      <w:r w:rsidR="007760B5" w:rsidRPr="00DA502C">
        <w:rPr>
          <w:rFonts w:asciiTheme="majorBidi" w:hAnsiTheme="majorBidi" w:cstheme="majorBidi"/>
          <w:sz w:val="22"/>
          <w:szCs w:val="22"/>
        </w:rPr>
        <w:t xml:space="preserve">a </w:t>
      </w:r>
      <w:r w:rsidR="008D1C10">
        <w:rPr>
          <w:rFonts w:asciiTheme="majorBidi" w:hAnsiTheme="majorBidi" w:cstheme="majorBidi"/>
          <w:sz w:val="22"/>
          <w:szCs w:val="22"/>
        </w:rPr>
        <w:t xml:space="preserve">preliminary, </w:t>
      </w:r>
      <w:r w:rsidR="007760B5" w:rsidRPr="00DA502C">
        <w:rPr>
          <w:rFonts w:asciiTheme="majorBidi" w:hAnsiTheme="majorBidi" w:cstheme="majorBidi"/>
          <w:sz w:val="22"/>
          <w:szCs w:val="22"/>
        </w:rPr>
        <w:t xml:space="preserve">10-minute oral </w:t>
      </w:r>
      <w:r w:rsidR="00455FD6" w:rsidRPr="00DA502C">
        <w:rPr>
          <w:rFonts w:asciiTheme="majorBidi" w:hAnsiTheme="majorBidi" w:cstheme="majorBidi"/>
          <w:sz w:val="22"/>
          <w:szCs w:val="22"/>
        </w:rPr>
        <w:t xml:space="preserve">presentation </w:t>
      </w:r>
      <w:r w:rsidR="007760B5" w:rsidRPr="00DA502C">
        <w:rPr>
          <w:rFonts w:asciiTheme="majorBidi" w:hAnsiTheme="majorBidi" w:cstheme="majorBidi"/>
          <w:sz w:val="22"/>
          <w:szCs w:val="22"/>
        </w:rPr>
        <w:t xml:space="preserve">of </w:t>
      </w:r>
      <w:r w:rsidR="00B36C9A">
        <w:rPr>
          <w:rFonts w:asciiTheme="majorBidi" w:hAnsiTheme="majorBidi" w:cstheme="majorBidi"/>
          <w:sz w:val="22"/>
          <w:szCs w:val="22"/>
        </w:rPr>
        <w:t xml:space="preserve">his or </w:t>
      </w:r>
      <w:r w:rsidR="007760B5" w:rsidRPr="00DA502C">
        <w:rPr>
          <w:rFonts w:asciiTheme="majorBidi" w:hAnsiTheme="majorBidi" w:cstheme="majorBidi"/>
          <w:sz w:val="22"/>
          <w:szCs w:val="22"/>
        </w:rPr>
        <w:t>her research proposal</w:t>
      </w:r>
      <w:r w:rsidR="00C0449B" w:rsidRPr="00DA502C">
        <w:rPr>
          <w:rFonts w:asciiTheme="majorBidi" w:hAnsiTheme="majorBidi" w:cstheme="majorBidi"/>
          <w:sz w:val="22"/>
          <w:szCs w:val="22"/>
        </w:rPr>
        <w:t xml:space="preserve">. </w:t>
      </w:r>
      <w:r w:rsidR="007760B5" w:rsidRPr="00DA502C">
        <w:rPr>
          <w:rFonts w:asciiTheme="majorBidi" w:hAnsiTheme="majorBidi" w:cstheme="majorBidi"/>
          <w:sz w:val="22"/>
          <w:szCs w:val="22"/>
        </w:rPr>
        <w:t xml:space="preserve">These presentations </w:t>
      </w:r>
      <w:r w:rsidR="00383971" w:rsidRPr="00DA502C">
        <w:rPr>
          <w:rFonts w:asciiTheme="majorBidi" w:hAnsiTheme="majorBidi" w:cstheme="majorBidi"/>
          <w:sz w:val="22"/>
          <w:szCs w:val="22"/>
        </w:rPr>
        <w:t xml:space="preserve">allow you to give early expression to </w:t>
      </w:r>
      <w:r w:rsidR="00383971" w:rsidRPr="00DA502C">
        <w:rPr>
          <w:rFonts w:asciiTheme="majorBidi" w:hAnsiTheme="majorBidi" w:cstheme="majorBidi"/>
          <w:sz w:val="22"/>
          <w:szCs w:val="22"/>
        </w:rPr>
        <w:lastRenderedPageBreak/>
        <w:t>your ideas, receive feedback from the instructor and your peers that you may then incorporate into the written proposal (see below), and practice the skill of preparing and delivering conference-style presentations.</w:t>
      </w:r>
    </w:p>
    <w:p w14:paraId="74834CAD" w14:textId="16BAA5C1" w:rsidR="008C69B9" w:rsidRPr="008D1C10" w:rsidRDefault="008336DF" w:rsidP="00706A37">
      <w:pPr>
        <w:numPr>
          <w:ilvl w:val="0"/>
          <w:numId w:val="1"/>
        </w:numPr>
        <w:rPr>
          <w:rFonts w:asciiTheme="majorBidi" w:hAnsiTheme="majorBidi" w:cstheme="majorBidi"/>
          <w:bCs/>
          <w:sz w:val="22"/>
          <w:szCs w:val="22"/>
        </w:rPr>
      </w:pPr>
      <w:r w:rsidRPr="00B36C9A">
        <w:rPr>
          <w:rFonts w:asciiTheme="majorBidi" w:hAnsiTheme="majorBidi" w:cstheme="majorBidi"/>
          <w:b/>
          <w:bCs/>
          <w:color w:val="000000"/>
          <w:sz w:val="22"/>
          <w:szCs w:val="22"/>
        </w:rPr>
        <w:t xml:space="preserve">Written research proposal: </w:t>
      </w:r>
      <w:r w:rsidR="000C52AA">
        <w:rPr>
          <w:rFonts w:asciiTheme="majorBidi" w:hAnsiTheme="majorBidi" w:cstheme="majorBidi"/>
          <w:sz w:val="22"/>
          <w:szCs w:val="22"/>
        </w:rPr>
        <w:t>At the end of the semester, you will be expected to apply what you have learned by writing an original</w:t>
      </w:r>
      <w:r w:rsidR="00B36C9A">
        <w:rPr>
          <w:rFonts w:asciiTheme="majorBidi" w:hAnsiTheme="majorBidi" w:cstheme="majorBidi"/>
          <w:sz w:val="22"/>
          <w:szCs w:val="22"/>
        </w:rPr>
        <w:t xml:space="preserve"> </w:t>
      </w:r>
      <w:r w:rsidR="000C52AA">
        <w:rPr>
          <w:rFonts w:asciiTheme="majorBidi" w:hAnsiTheme="majorBidi" w:cstheme="majorBidi"/>
          <w:sz w:val="22"/>
          <w:szCs w:val="22"/>
        </w:rPr>
        <w:t xml:space="preserve">comparative-historical </w:t>
      </w:r>
      <w:r w:rsidR="00B36C9A">
        <w:rPr>
          <w:rFonts w:asciiTheme="majorBidi" w:hAnsiTheme="majorBidi" w:cstheme="majorBidi"/>
          <w:sz w:val="22"/>
          <w:szCs w:val="22"/>
        </w:rPr>
        <w:t>research proposal</w:t>
      </w:r>
      <w:r w:rsidR="000C52AA">
        <w:rPr>
          <w:rFonts w:asciiTheme="majorBidi" w:hAnsiTheme="majorBidi" w:cstheme="majorBidi"/>
          <w:sz w:val="22"/>
          <w:szCs w:val="22"/>
        </w:rPr>
        <w:t xml:space="preserve">. The proposal </w:t>
      </w:r>
      <w:r w:rsidR="00B36C9A">
        <w:rPr>
          <w:rFonts w:asciiTheme="majorBidi" w:hAnsiTheme="majorBidi" w:cstheme="majorBidi"/>
          <w:sz w:val="22"/>
          <w:szCs w:val="22"/>
        </w:rPr>
        <w:t>should state the substantive problem you</w:t>
      </w:r>
      <w:r w:rsidR="000C52AA">
        <w:rPr>
          <w:rFonts w:asciiTheme="majorBidi" w:hAnsiTheme="majorBidi" w:cstheme="majorBidi"/>
          <w:sz w:val="22"/>
          <w:szCs w:val="22"/>
        </w:rPr>
        <w:t xml:space="preserve"> wish to address</w:t>
      </w:r>
      <w:r w:rsidR="00B36C9A">
        <w:rPr>
          <w:rFonts w:asciiTheme="majorBidi" w:hAnsiTheme="majorBidi" w:cstheme="majorBidi"/>
          <w:sz w:val="22"/>
          <w:szCs w:val="22"/>
        </w:rPr>
        <w:t xml:space="preserve">, review alternative approaches to it, present your own perspective, discuss research design, review sources, and provide a plan for the study. More detailed instructions will be provided in a separate </w:t>
      </w:r>
      <w:r w:rsidR="00B36C9A" w:rsidRPr="008D1C10">
        <w:rPr>
          <w:rFonts w:asciiTheme="majorBidi" w:hAnsiTheme="majorBidi" w:cstheme="majorBidi"/>
          <w:sz w:val="22"/>
          <w:szCs w:val="22"/>
        </w:rPr>
        <w:t xml:space="preserve">handout. The proposal should be 2500 to 3000 words (about 8 to 10 double-spaced </w:t>
      </w:r>
      <w:r w:rsidRPr="008D1C10">
        <w:rPr>
          <w:rFonts w:asciiTheme="majorBidi" w:hAnsiTheme="majorBidi" w:cstheme="majorBidi"/>
          <w:sz w:val="22"/>
          <w:szCs w:val="22"/>
        </w:rPr>
        <w:t>pages</w:t>
      </w:r>
      <w:r w:rsidR="00B36C9A" w:rsidRPr="008D1C10">
        <w:rPr>
          <w:rFonts w:asciiTheme="majorBidi" w:hAnsiTheme="majorBidi" w:cstheme="majorBidi"/>
          <w:sz w:val="22"/>
          <w:szCs w:val="22"/>
        </w:rPr>
        <w:t>)</w:t>
      </w:r>
      <w:r w:rsidRPr="008D1C10">
        <w:rPr>
          <w:rFonts w:asciiTheme="majorBidi" w:hAnsiTheme="majorBidi" w:cstheme="majorBidi"/>
          <w:sz w:val="22"/>
          <w:szCs w:val="22"/>
        </w:rPr>
        <w:t xml:space="preserve">. </w:t>
      </w:r>
      <w:r w:rsidR="00884BE6" w:rsidRPr="008D1C10">
        <w:rPr>
          <w:rFonts w:asciiTheme="majorBidi" w:hAnsiTheme="majorBidi" w:cstheme="majorBidi"/>
          <w:sz w:val="22"/>
          <w:szCs w:val="22"/>
        </w:rPr>
        <w:t>The proposal is d</w:t>
      </w:r>
      <w:r w:rsidR="008C69B9" w:rsidRPr="008D1C10">
        <w:rPr>
          <w:rFonts w:asciiTheme="majorBidi" w:hAnsiTheme="majorBidi" w:cstheme="majorBidi"/>
          <w:sz w:val="22"/>
          <w:szCs w:val="22"/>
        </w:rPr>
        <w:t>ue</w:t>
      </w:r>
      <w:r w:rsidR="00293BAE" w:rsidRPr="008D1C10">
        <w:rPr>
          <w:rFonts w:asciiTheme="majorBidi" w:hAnsiTheme="majorBidi" w:cstheme="majorBidi"/>
          <w:sz w:val="22"/>
          <w:szCs w:val="22"/>
        </w:rPr>
        <w:t xml:space="preserve"> </w:t>
      </w:r>
      <w:r w:rsidR="002F1D5B" w:rsidRPr="008D1C10">
        <w:rPr>
          <w:rFonts w:asciiTheme="majorBidi" w:hAnsiTheme="majorBidi" w:cstheme="majorBidi"/>
          <w:bCs/>
          <w:sz w:val="22"/>
          <w:szCs w:val="22"/>
        </w:rPr>
        <w:t>May</w:t>
      </w:r>
      <w:r w:rsidR="0014472C" w:rsidRPr="008D1C10">
        <w:rPr>
          <w:rFonts w:asciiTheme="majorBidi" w:hAnsiTheme="majorBidi" w:cstheme="majorBidi"/>
          <w:bCs/>
          <w:sz w:val="22"/>
          <w:szCs w:val="22"/>
        </w:rPr>
        <w:t xml:space="preserve"> </w:t>
      </w:r>
      <w:r w:rsidR="00706A37" w:rsidRPr="008D1C10">
        <w:rPr>
          <w:rFonts w:asciiTheme="majorBidi" w:hAnsiTheme="majorBidi" w:cstheme="majorBidi"/>
          <w:bCs/>
          <w:sz w:val="22"/>
          <w:szCs w:val="22"/>
        </w:rPr>
        <w:t>7</w:t>
      </w:r>
      <w:r w:rsidR="0014472C" w:rsidRPr="008D1C10">
        <w:rPr>
          <w:rFonts w:asciiTheme="majorBidi" w:hAnsiTheme="majorBidi" w:cstheme="majorBidi"/>
          <w:bCs/>
          <w:sz w:val="22"/>
          <w:szCs w:val="22"/>
        </w:rPr>
        <w:t xml:space="preserve"> </w:t>
      </w:r>
      <w:r w:rsidR="00486229" w:rsidRPr="008D1C10">
        <w:rPr>
          <w:rFonts w:asciiTheme="majorBidi" w:hAnsiTheme="majorBidi" w:cstheme="majorBidi"/>
          <w:bCs/>
          <w:sz w:val="22"/>
          <w:szCs w:val="22"/>
        </w:rPr>
        <w:t xml:space="preserve">at </w:t>
      </w:r>
      <w:r w:rsidR="002F1D5B" w:rsidRPr="008D1C10">
        <w:rPr>
          <w:rFonts w:asciiTheme="majorBidi" w:hAnsiTheme="majorBidi" w:cstheme="majorBidi"/>
          <w:bCs/>
          <w:sz w:val="22"/>
          <w:szCs w:val="22"/>
        </w:rPr>
        <w:t>11</w:t>
      </w:r>
      <w:r w:rsidR="00486229" w:rsidRPr="008D1C10">
        <w:rPr>
          <w:rFonts w:asciiTheme="majorBidi" w:hAnsiTheme="majorBidi" w:cstheme="majorBidi"/>
          <w:bCs/>
          <w:sz w:val="22"/>
          <w:szCs w:val="22"/>
        </w:rPr>
        <w:t>:</w:t>
      </w:r>
      <w:r w:rsidR="002F1D5B" w:rsidRPr="008D1C10">
        <w:rPr>
          <w:rFonts w:asciiTheme="majorBidi" w:hAnsiTheme="majorBidi" w:cstheme="majorBidi"/>
          <w:bCs/>
          <w:sz w:val="22"/>
          <w:szCs w:val="22"/>
        </w:rPr>
        <w:t>59</w:t>
      </w:r>
      <w:r w:rsidR="00486229" w:rsidRPr="008D1C10">
        <w:rPr>
          <w:rFonts w:asciiTheme="majorBidi" w:hAnsiTheme="majorBidi" w:cstheme="majorBidi"/>
          <w:bCs/>
          <w:sz w:val="22"/>
          <w:szCs w:val="22"/>
        </w:rPr>
        <w:t xml:space="preserve"> PM</w:t>
      </w:r>
      <w:r w:rsidR="008C69B9" w:rsidRPr="008D1C10">
        <w:rPr>
          <w:rFonts w:asciiTheme="majorBidi" w:hAnsiTheme="majorBidi" w:cstheme="majorBidi"/>
          <w:bCs/>
          <w:sz w:val="22"/>
          <w:szCs w:val="22"/>
        </w:rPr>
        <w:t>.</w:t>
      </w:r>
    </w:p>
    <w:p w14:paraId="6C2180BB" w14:textId="77777777" w:rsidR="008C69B9" w:rsidRPr="00DA502C" w:rsidRDefault="008C69B9" w:rsidP="008C69B9">
      <w:pPr>
        <w:rPr>
          <w:rFonts w:asciiTheme="majorBidi" w:hAnsiTheme="majorBidi" w:cstheme="majorBidi"/>
          <w:sz w:val="22"/>
          <w:szCs w:val="22"/>
        </w:rPr>
      </w:pPr>
    </w:p>
    <w:p w14:paraId="2F82D74B" w14:textId="0FE33096" w:rsidR="008C69B9" w:rsidRPr="00B945B6" w:rsidRDefault="008B4D4C" w:rsidP="00C92E67">
      <w:pPr>
        <w:pStyle w:val="BodyText"/>
        <w:rPr>
          <w:rFonts w:asciiTheme="majorBidi" w:hAnsiTheme="majorBidi" w:cstheme="majorBidi"/>
          <w:sz w:val="22"/>
          <w:szCs w:val="22"/>
        </w:rPr>
      </w:pPr>
      <w:r>
        <w:rPr>
          <w:rFonts w:asciiTheme="majorBidi" w:hAnsiTheme="majorBidi" w:cstheme="majorBidi"/>
          <w:sz w:val="22"/>
          <w:szCs w:val="22"/>
        </w:rPr>
        <w:t>All written work must be typed in 12-point font, double-spaced, and submitted online through Canvas.</w:t>
      </w:r>
      <w:r w:rsidR="00C92E67">
        <w:rPr>
          <w:rFonts w:asciiTheme="majorBidi" w:hAnsiTheme="majorBidi" w:cstheme="majorBidi"/>
          <w:sz w:val="22"/>
          <w:szCs w:val="22"/>
        </w:rPr>
        <w:t xml:space="preserve"> </w:t>
      </w:r>
      <w:r w:rsidR="00144567" w:rsidRPr="00B945B6">
        <w:rPr>
          <w:rFonts w:asciiTheme="majorBidi" w:hAnsiTheme="majorBidi" w:cstheme="majorBidi"/>
          <w:sz w:val="22"/>
          <w:szCs w:val="22"/>
        </w:rPr>
        <w:t>Each student’s o</w:t>
      </w:r>
      <w:r w:rsidR="008C69B9" w:rsidRPr="00B945B6">
        <w:rPr>
          <w:rFonts w:asciiTheme="majorBidi" w:hAnsiTheme="majorBidi" w:cstheme="majorBidi"/>
          <w:sz w:val="22"/>
          <w:szCs w:val="22"/>
        </w:rPr>
        <w:t>verall grade for the semester will be determined as follows:</w:t>
      </w:r>
    </w:p>
    <w:p w14:paraId="68BDC5B9" w14:textId="77777777" w:rsidR="008336DF" w:rsidRPr="00B945B6" w:rsidRDefault="008336DF" w:rsidP="006C5B16">
      <w:pPr>
        <w:numPr>
          <w:ilvl w:val="1"/>
          <w:numId w:val="1"/>
        </w:numPr>
        <w:tabs>
          <w:tab w:val="clear" w:pos="1440"/>
          <w:tab w:val="num" w:pos="360"/>
        </w:tabs>
        <w:ind w:left="360"/>
        <w:rPr>
          <w:rFonts w:ascii="Times New Roman" w:hAnsi="Times New Roman" w:cs="Times New Roman"/>
          <w:sz w:val="22"/>
          <w:szCs w:val="22"/>
        </w:rPr>
        <w:sectPr w:rsidR="008336DF" w:rsidRPr="00B945B6" w:rsidSect="00CA21A1">
          <w:footerReference w:type="even" r:id="rId14"/>
          <w:footerReference w:type="default" r:id="rId15"/>
          <w:type w:val="continuous"/>
          <w:pgSz w:w="12240" w:h="15840"/>
          <w:pgMar w:top="1440" w:right="1800" w:bottom="1440" w:left="1800" w:header="720" w:footer="720" w:gutter="0"/>
          <w:cols w:space="720"/>
          <w:docGrid w:linePitch="360"/>
        </w:sectPr>
      </w:pPr>
    </w:p>
    <w:p w14:paraId="5A0BC281" w14:textId="3CC4E624" w:rsidR="006C5B16" w:rsidRPr="00B945B6" w:rsidRDefault="006C5B16" w:rsidP="006C5B16">
      <w:pPr>
        <w:numPr>
          <w:ilvl w:val="1"/>
          <w:numId w:val="1"/>
        </w:numPr>
        <w:tabs>
          <w:tab w:val="clear" w:pos="1440"/>
          <w:tab w:val="num" w:pos="360"/>
        </w:tabs>
        <w:ind w:left="360"/>
        <w:rPr>
          <w:rFonts w:ascii="Times New Roman" w:hAnsi="Times New Roman" w:cs="Times New Roman"/>
          <w:sz w:val="22"/>
          <w:szCs w:val="22"/>
        </w:rPr>
      </w:pPr>
      <w:r w:rsidRPr="00B945B6">
        <w:rPr>
          <w:rFonts w:ascii="Times New Roman" w:hAnsi="Times New Roman" w:cs="Times New Roman"/>
          <w:sz w:val="22"/>
          <w:szCs w:val="22"/>
        </w:rPr>
        <w:t>Attendance: 10%</w:t>
      </w:r>
    </w:p>
    <w:p w14:paraId="1031B67E" w14:textId="134868B7" w:rsidR="006C5B16" w:rsidRPr="00B945B6" w:rsidRDefault="006C5B16" w:rsidP="006C5B16">
      <w:pPr>
        <w:numPr>
          <w:ilvl w:val="1"/>
          <w:numId w:val="1"/>
        </w:numPr>
        <w:tabs>
          <w:tab w:val="clear" w:pos="1440"/>
          <w:tab w:val="num" w:pos="360"/>
        </w:tabs>
        <w:ind w:left="360"/>
        <w:rPr>
          <w:rFonts w:ascii="Times New Roman" w:hAnsi="Times New Roman" w:cs="Times New Roman"/>
          <w:sz w:val="22"/>
          <w:szCs w:val="22"/>
        </w:rPr>
      </w:pPr>
      <w:r w:rsidRPr="00B945B6">
        <w:rPr>
          <w:rFonts w:ascii="Times New Roman" w:hAnsi="Times New Roman" w:cs="Times New Roman"/>
          <w:sz w:val="22"/>
          <w:szCs w:val="22"/>
        </w:rPr>
        <w:t>Participation</w:t>
      </w:r>
      <w:r w:rsidR="00B945B6" w:rsidRPr="00B945B6">
        <w:rPr>
          <w:rFonts w:ascii="Times New Roman" w:hAnsi="Times New Roman" w:cs="Times New Roman"/>
          <w:sz w:val="22"/>
          <w:szCs w:val="22"/>
        </w:rPr>
        <w:t xml:space="preserve"> (includes reading): </w:t>
      </w:r>
      <w:r w:rsidRPr="00B945B6">
        <w:rPr>
          <w:rFonts w:ascii="Times New Roman" w:hAnsi="Times New Roman" w:cs="Times New Roman"/>
          <w:sz w:val="22"/>
          <w:szCs w:val="22"/>
        </w:rPr>
        <w:t>20%</w:t>
      </w:r>
    </w:p>
    <w:p w14:paraId="7DF99209" w14:textId="4DA447B3" w:rsidR="008336DF" w:rsidRPr="00B945B6" w:rsidRDefault="00B945B6" w:rsidP="006C5B16">
      <w:pPr>
        <w:numPr>
          <w:ilvl w:val="1"/>
          <w:numId w:val="1"/>
        </w:numPr>
        <w:tabs>
          <w:tab w:val="clear" w:pos="1440"/>
          <w:tab w:val="num" w:pos="360"/>
        </w:tabs>
        <w:ind w:left="360"/>
        <w:rPr>
          <w:rFonts w:ascii="Times New Roman" w:hAnsi="Times New Roman" w:cs="Times New Roman"/>
          <w:sz w:val="22"/>
          <w:szCs w:val="22"/>
        </w:rPr>
      </w:pPr>
      <w:r>
        <w:rPr>
          <w:rFonts w:ascii="Times New Roman" w:hAnsi="Times New Roman" w:cs="Times New Roman"/>
          <w:sz w:val="22"/>
          <w:szCs w:val="22"/>
        </w:rPr>
        <w:t>Response</w:t>
      </w:r>
      <w:r w:rsidR="008336DF" w:rsidRPr="00B945B6">
        <w:rPr>
          <w:rFonts w:ascii="Times New Roman" w:hAnsi="Times New Roman" w:cs="Times New Roman"/>
          <w:sz w:val="22"/>
          <w:szCs w:val="22"/>
        </w:rPr>
        <w:t xml:space="preserve"> paper: 15%</w:t>
      </w:r>
    </w:p>
    <w:p w14:paraId="226FF827" w14:textId="70C6C819" w:rsidR="008336DF" w:rsidRPr="00B945B6" w:rsidRDefault="008336DF" w:rsidP="008336DF">
      <w:pPr>
        <w:numPr>
          <w:ilvl w:val="1"/>
          <w:numId w:val="1"/>
        </w:numPr>
        <w:tabs>
          <w:tab w:val="clear" w:pos="1440"/>
          <w:tab w:val="num" w:pos="360"/>
        </w:tabs>
        <w:ind w:left="360"/>
        <w:rPr>
          <w:rFonts w:ascii="Times New Roman" w:hAnsi="Times New Roman" w:cs="Times New Roman"/>
          <w:sz w:val="22"/>
          <w:szCs w:val="22"/>
        </w:rPr>
      </w:pPr>
      <w:r w:rsidRPr="00B945B6">
        <w:rPr>
          <w:rFonts w:ascii="Times New Roman" w:hAnsi="Times New Roman" w:cs="Times New Roman"/>
          <w:sz w:val="22"/>
          <w:szCs w:val="22"/>
        </w:rPr>
        <w:t>Book review: 15%</w:t>
      </w:r>
    </w:p>
    <w:p w14:paraId="282D4711" w14:textId="77777777" w:rsidR="008336DF" w:rsidRPr="00B945B6" w:rsidRDefault="008336DF" w:rsidP="008336DF">
      <w:pPr>
        <w:numPr>
          <w:ilvl w:val="1"/>
          <w:numId w:val="1"/>
        </w:numPr>
        <w:tabs>
          <w:tab w:val="clear" w:pos="1440"/>
          <w:tab w:val="num" w:pos="360"/>
        </w:tabs>
        <w:ind w:left="360"/>
        <w:rPr>
          <w:rFonts w:ascii="Times New Roman" w:hAnsi="Times New Roman" w:cs="Times New Roman"/>
          <w:sz w:val="22"/>
          <w:szCs w:val="22"/>
        </w:rPr>
      </w:pPr>
      <w:r w:rsidRPr="00B945B6">
        <w:rPr>
          <w:rFonts w:ascii="Times New Roman" w:hAnsi="Times New Roman" w:cs="Times New Roman"/>
          <w:sz w:val="22"/>
          <w:szCs w:val="22"/>
        </w:rPr>
        <w:t>Oral presentation: 15%</w:t>
      </w:r>
    </w:p>
    <w:p w14:paraId="4E27CC6D" w14:textId="3DDED3F9" w:rsidR="006C5B16" w:rsidRPr="00B945B6" w:rsidRDefault="006C5B16" w:rsidP="008336DF">
      <w:pPr>
        <w:numPr>
          <w:ilvl w:val="1"/>
          <w:numId w:val="1"/>
        </w:numPr>
        <w:tabs>
          <w:tab w:val="clear" w:pos="1440"/>
          <w:tab w:val="num" w:pos="360"/>
        </w:tabs>
        <w:ind w:left="360"/>
        <w:rPr>
          <w:rFonts w:ascii="Times New Roman" w:hAnsi="Times New Roman" w:cs="Times New Roman"/>
          <w:sz w:val="22"/>
          <w:szCs w:val="22"/>
        </w:rPr>
      </w:pPr>
      <w:r w:rsidRPr="00B945B6">
        <w:rPr>
          <w:rFonts w:ascii="Times New Roman" w:hAnsi="Times New Roman" w:cs="Times New Roman"/>
          <w:sz w:val="22"/>
          <w:szCs w:val="22"/>
        </w:rPr>
        <w:t xml:space="preserve">Written </w:t>
      </w:r>
      <w:r w:rsidR="008336DF" w:rsidRPr="00B945B6">
        <w:rPr>
          <w:rFonts w:ascii="Times New Roman" w:hAnsi="Times New Roman" w:cs="Times New Roman"/>
          <w:sz w:val="22"/>
          <w:szCs w:val="22"/>
        </w:rPr>
        <w:t>research proposal: 25</w:t>
      </w:r>
      <w:r w:rsidRPr="00B945B6">
        <w:rPr>
          <w:rFonts w:ascii="Times New Roman" w:hAnsi="Times New Roman" w:cs="Times New Roman"/>
          <w:sz w:val="22"/>
          <w:szCs w:val="22"/>
        </w:rPr>
        <w:t>%</w:t>
      </w:r>
    </w:p>
    <w:p w14:paraId="53113AE2" w14:textId="77777777" w:rsidR="008336DF" w:rsidRPr="00B945B6" w:rsidRDefault="008336DF" w:rsidP="00144567">
      <w:pPr>
        <w:pStyle w:val="Footer"/>
        <w:tabs>
          <w:tab w:val="clear" w:pos="4320"/>
          <w:tab w:val="clear" w:pos="8640"/>
        </w:tabs>
        <w:rPr>
          <w:rFonts w:ascii="Times New Roman" w:hAnsi="Times New Roman" w:cs="Times New Roman"/>
          <w:sz w:val="22"/>
          <w:szCs w:val="22"/>
        </w:rPr>
        <w:sectPr w:rsidR="008336DF" w:rsidRPr="00B945B6" w:rsidSect="008336DF">
          <w:type w:val="continuous"/>
          <w:pgSz w:w="12240" w:h="15840"/>
          <w:pgMar w:top="1440" w:right="1800" w:bottom="1440" w:left="1800" w:header="720" w:footer="720" w:gutter="0"/>
          <w:cols w:num="2" w:space="720"/>
          <w:docGrid w:linePitch="360"/>
        </w:sectPr>
      </w:pPr>
    </w:p>
    <w:p w14:paraId="67DA418B" w14:textId="53573175" w:rsidR="006C5B16" w:rsidRPr="00B945B6" w:rsidRDefault="006C5B16" w:rsidP="00144567">
      <w:pPr>
        <w:pStyle w:val="Footer"/>
        <w:tabs>
          <w:tab w:val="clear" w:pos="4320"/>
          <w:tab w:val="clear" w:pos="8640"/>
        </w:tabs>
        <w:rPr>
          <w:rFonts w:ascii="Times New Roman" w:hAnsi="Times New Roman" w:cs="Times New Roman"/>
          <w:sz w:val="22"/>
          <w:szCs w:val="22"/>
        </w:rPr>
      </w:pPr>
    </w:p>
    <w:p w14:paraId="7761514F" w14:textId="6BA4266A" w:rsidR="00144567" w:rsidRPr="00B945B6" w:rsidRDefault="0014472C" w:rsidP="00144567">
      <w:pPr>
        <w:pStyle w:val="Footer"/>
        <w:tabs>
          <w:tab w:val="clear" w:pos="4320"/>
          <w:tab w:val="clear" w:pos="8640"/>
        </w:tabs>
        <w:rPr>
          <w:rFonts w:ascii="Times New Roman" w:hAnsi="Times New Roman" w:cs="Times New Roman"/>
          <w:sz w:val="22"/>
          <w:szCs w:val="22"/>
        </w:rPr>
      </w:pPr>
      <w:r w:rsidRPr="00B945B6">
        <w:rPr>
          <w:rFonts w:ascii="Times New Roman" w:hAnsi="Times New Roman" w:cs="Times New Roman"/>
          <w:sz w:val="22"/>
          <w:szCs w:val="22"/>
        </w:rPr>
        <w:t>A = 93-100, AB = 88-92, B = 83-87, BC = 78-82, C = 70-77, D = 60-69, F = 59 or below</w:t>
      </w:r>
      <w:r w:rsidR="00144567" w:rsidRPr="00B945B6">
        <w:rPr>
          <w:rFonts w:ascii="Times New Roman" w:hAnsi="Times New Roman" w:cs="Times New Roman"/>
          <w:sz w:val="22"/>
          <w:szCs w:val="22"/>
        </w:rPr>
        <w:t>.</w:t>
      </w:r>
    </w:p>
    <w:p w14:paraId="132A3876" w14:textId="77777777" w:rsidR="00144567" w:rsidRPr="00B945B6" w:rsidRDefault="00144567" w:rsidP="00144567">
      <w:pPr>
        <w:rPr>
          <w:rFonts w:ascii="Times New Roman" w:hAnsi="Times New Roman" w:cs="Times New Roman"/>
          <w:sz w:val="22"/>
          <w:szCs w:val="22"/>
        </w:rPr>
      </w:pPr>
    </w:p>
    <w:p w14:paraId="6A15B6E9" w14:textId="1362AE77" w:rsidR="008C69B9" w:rsidRPr="0014472C" w:rsidRDefault="00B15553" w:rsidP="00E54F97">
      <w:pPr>
        <w:pStyle w:val="Heading4"/>
        <w:ind w:left="0" w:firstLine="0"/>
        <w:rPr>
          <w:rFonts w:ascii="Baskerville Old Face" w:hAnsi="Baskerville Old Face"/>
          <w:b/>
          <w:u w:val="none"/>
        </w:rPr>
      </w:pPr>
      <w:r w:rsidRPr="0014472C">
        <w:rPr>
          <w:rFonts w:ascii="Baskerville Old Face" w:hAnsi="Baskerville Old Face"/>
          <w:b/>
          <w:u w:val="none"/>
        </w:rPr>
        <w:t>Reading Assignments</w:t>
      </w:r>
    </w:p>
    <w:p w14:paraId="1AE3F720" w14:textId="0E6F971C" w:rsidR="00CA413E" w:rsidRPr="00D52712" w:rsidRDefault="00D52712" w:rsidP="00E54F97">
      <w:pPr>
        <w:spacing w:after="120"/>
        <w:rPr>
          <w:rFonts w:ascii="Times New Roman" w:hAnsi="Times New Roman" w:cs="Times New Roman"/>
          <w:sz w:val="22"/>
          <w:szCs w:val="22"/>
        </w:rPr>
      </w:pPr>
      <w:r w:rsidRPr="00D52712">
        <w:rPr>
          <w:rFonts w:ascii="Times New Roman" w:hAnsi="Times New Roman" w:cs="Times New Roman"/>
          <w:sz w:val="22"/>
          <w:szCs w:val="22"/>
        </w:rPr>
        <w:t xml:space="preserve">There is one required book for the course: Matthew Lange, </w:t>
      </w:r>
      <w:r w:rsidRPr="00D52712">
        <w:rPr>
          <w:rFonts w:ascii="Times New Roman" w:hAnsi="Times New Roman" w:cs="Times New Roman"/>
          <w:i/>
          <w:iCs/>
          <w:sz w:val="22"/>
          <w:szCs w:val="22"/>
        </w:rPr>
        <w:t>Comparative-Historical Methods</w:t>
      </w:r>
      <w:r w:rsidRPr="00D52712">
        <w:rPr>
          <w:rFonts w:ascii="Times New Roman" w:hAnsi="Times New Roman" w:cs="Times New Roman"/>
          <w:sz w:val="22"/>
          <w:szCs w:val="22"/>
        </w:rPr>
        <w:t xml:space="preserve"> (Sage, 2012). This book will be on reserve </w:t>
      </w:r>
      <w:r w:rsidR="00E54F97">
        <w:rPr>
          <w:rFonts w:ascii="Times New Roman" w:hAnsi="Times New Roman" w:cs="Times New Roman"/>
          <w:sz w:val="22"/>
          <w:szCs w:val="22"/>
        </w:rPr>
        <w:t xml:space="preserve">at College Library </w:t>
      </w:r>
      <w:r w:rsidRPr="00D52712">
        <w:rPr>
          <w:rFonts w:ascii="Times New Roman" w:hAnsi="Times New Roman" w:cs="Times New Roman"/>
          <w:sz w:val="22"/>
          <w:szCs w:val="22"/>
        </w:rPr>
        <w:t xml:space="preserve">and </w:t>
      </w:r>
      <w:r w:rsidR="00E54F97">
        <w:rPr>
          <w:rFonts w:ascii="Times New Roman" w:hAnsi="Times New Roman" w:cs="Times New Roman"/>
          <w:sz w:val="22"/>
          <w:szCs w:val="22"/>
        </w:rPr>
        <w:t>available</w:t>
      </w:r>
      <w:r w:rsidRPr="00D52712">
        <w:rPr>
          <w:rFonts w:ascii="Times New Roman" w:hAnsi="Times New Roman" w:cs="Times New Roman"/>
          <w:sz w:val="22"/>
          <w:szCs w:val="22"/>
        </w:rPr>
        <w:t xml:space="preserve"> at the University Book Store. </w:t>
      </w:r>
      <w:r w:rsidR="0014472C" w:rsidRPr="00D52712">
        <w:rPr>
          <w:rFonts w:ascii="Times New Roman" w:hAnsi="Times New Roman" w:cs="Times New Roman"/>
          <w:sz w:val="22"/>
          <w:szCs w:val="22"/>
        </w:rPr>
        <w:t>All</w:t>
      </w:r>
      <w:r w:rsidR="00453BA7" w:rsidRPr="00D52712">
        <w:rPr>
          <w:rFonts w:ascii="Times New Roman" w:hAnsi="Times New Roman" w:cs="Times New Roman"/>
          <w:sz w:val="22"/>
          <w:szCs w:val="22"/>
        </w:rPr>
        <w:t xml:space="preserve"> </w:t>
      </w:r>
      <w:r w:rsidRPr="00D52712">
        <w:rPr>
          <w:rFonts w:ascii="Times New Roman" w:hAnsi="Times New Roman" w:cs="Times New Roman"/>
          <w:sz w:val="22"/>
          <w:szCs w:val="22"/>
        </w:rPr>
        <w:t xml:space="preserve">other </w:t>
      </w:r>
      <w:r w:rsidR="00453BA7" w:rsidRPr="00D52712">
        <w:rPr>
          <w:rFonts w:ascii="Times New Roman" w:hAnsi="Times New Roman" w:cs="Times New Roman"/>
          <w:sz w:val="22"/>
          <w:szCs w:val="22"/>
        </w:rPr>
        <w:t xml:space="preserve">required reading assignments will be available through </w:t>
      </w:r>
      <w:r w:rsidR="008B4D4C" w:rsidRPr="00D52712">
        <w:rPr>
          <w:rFonts w:ascii="Times New Roman" w:hAnsi="Times New Roman" w:cs="Times New Roman"/>
          <w:sz w:val="22"/>
          <w:szCs w:val="22"/>
        </w:rPr>
        <w:t>Canvas</w:t>
      </w:r>
      <w:r w:rsidR="00453BA7" w:rsidRPr="00D52712">
        <w:rPr>
          <w:rFonts w:ascii="Times New Roman" w:hAnsi="Times New Roman" w:cs="Times New Roman"/>
          <w:sz w:val="22"/>
          <w:szCs w:val="22"/>
        </w:rPr>
        <w:t xml:space="preserve">. If </w:t>
      </w:r>
      <w:r w:rsidR="000A3498" w:rsidRPr="00D52712">
        <w:rPr>
          <w:rFonts w:ascii="Times New Roman" w:hAnsi="Times New Roman" w:cs="Times New Roman"/>
          <w:sz w:val="22"/>
          <w:szCs w:val="22"/>
        </w:rPr>
        <w:t xml:space="preserve">you </w:t>
      </w:r>
      <w:r w:rsidR="0014472C" w:rsidRPr="00D52712">
        <w:rPr>
          <w:rFonts w:ascii="Times New Roman" w:hAnsi="Times New Roman" w:cs="Times New Roman"/>
          <w:sz w:val="22"/>
          <w:szCs w:val="22"/>
        </w:rPr>
        <w:t xml:space="preserve">experience </w:t>
      </w:r>
      <w:r w:rsidR="009B3834">
        <w:rPr>
          <w:rFonts w:ascii="Times New Roman" w:hAnsi="Times New Roman" w:cs="Times New Roman"/>
          <w:sz w:val="22"/>
          <w:szCs w:val="22"/>
        </w:rPr>
        <w:t>any problems with</w:t>
      </w:r>
      <w:r w:rsidR="000A3498" w:rsidRPr="00D52712">
        <w:rPr>
          <w:rFonts w:ascii="Times New Roman" w:hAnsi="Times New Roman" w:cs="Times New Roman"/>
          <w:sz w:val="22"/>
          <w:szCs w:val="22"/>
        </w:rPr>
        <w:t xml:space="preserve"> </w:t>
      </w:r>
      <w:r w:rsidR="0014472C" w:rsidRPr="00D52712">
        <w:rPr>
          <w:rFonts w:ascii="Times New Roman" w:hAnsi="Times New Roman" w:cs="Times New Roman"/>
          <w:sz w:val="22"/>
          <w:szCs w:val="22"/>
        </w:rPr>
        <w:t>the</w:t>
      </w:r>
      <w:r w:rsidR="00453BA7" w:rsidRPr="00D52712">
        <w:rPr>
          <w:rFonts w:ascii="Times New Roman" w:hAnsi="Times New Roman" w:cs="Times New Roman"/>
          <w:sz w:val="22"/>
          <w:szCs w:val="22"/>
        </w:rPr>
        <w:t xml:space="preserve"> readings, please </w:t>
      </w:r>
      <w:r w:rsidR="00D319B1" w:rsidRPr="00D52712">
        <w:rPr>
          <w:rFonts w:ascii="Times New Roman" w:hAnsi="Times New Roman" w:cs="Times New Roman"/>
          <w:sz w:val="22"/>
          <w:szCs w:val="22"/>
        </w:rPr>
        <w:t>contact</w:t>
      </w:r>
      <w:r w:rsidR="00453BA7" w:rsidRPr="00D52712">
        <w:rPr>
          <w:rFonts w:ascii="Times New Roman" w:hAnsi="Times New Roman" w:cs="Times New Roman"/>
          <w:sz w:val="22"/>
          <w:szCs w:val="22"/>
        </w:rPr>
        <w:t xml:space="preserve"> me as </w:t>
      </w:r>
      <w:r w:rsidR="008B4D4C" w:rsidRPr="00D52712">
        <w:rPr>
          <w:rFonts w:ascii="Times New Roman" w:hAnsi="Times New Roman" w:cs="Times New Roman"/>
          <w:sz w:val="22"/>
          <w:szCs w:val="22"/>
        </w:rPr>
        <w:t>soon as possible to let me know</w:t>
      </w:r>
      <w:r w:rsidR="00630320" w:rsidRPr="00D52712">
        <w:rPr>
          <w:rFonts w:ascii="Times New Roman" w:hAnsi="Times New Roman" w:cs="Times New Roman"/>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948"/>
      </w:tblGrid>
      <w:tr w:rsidR="00CA413E" w:rsidRPr="00C13634" w14:paraId="00D2A30A" w14:textId="77777777" w:rsidTr="00C13634">
        <w:tc>
          <w:tcPr>
            <w:tcW w:w="1908" w:type="dxa"/>
            <w:shd w:val="clear" w:color="auto" w:fill="auto"/>
          </w:tcPr>
          <w:p w14:paraId="111320EB" w14:textId="77777777" w:rsidR="00CA413E" w:rsidRPr="00C92E67" w:rsidRDefault="00CA413E" w:rsidP="00630320">
            <w:pPr>
              <w:spacing w:before="120" w:after="120"/>
              <w:rPr>
                <w:rFonts w:ascii="Baskerville Old Face" w:hAnsi="Baskerville Old Face" w:cs="Times New Roman"/>
                <w:b/>
                <w:bCs/>
              </w:rPr>
            </w:pPr>
            <w:r w:rsidRPr="00C92E67">
              <w:rPr>
                <w:rFonts w:ascii="Baskerville Old Face" w:hAnsi="Baskerville Old Face" w:cs="Times New Roman"/>
                <w:b/>
                <w:bCs/>
              </w:rPr>
              <w:t>Date</w:t>
            </w:r>
          </w:p>
        </w:tc>
        <w:tc>
          <w:tcPr>
            <w:tcW w:w="6948" w:type="dxa"/>
            <w:shd w:val="clear" w:color="auto" w:fill="auto"/>
          </w:tcPr>
          <w:p w14:paraId="25E29749" w14:textId="1FE52159" w:rsidR="00CA413E" w:rsidRPr="00C92E67" w:rsidRDefault="0014472C" w:rsidP="00630320">
            <w:pPr>
              <w:spacing w:before="120" w:after="120"/>
              <w:rPr>
                <w:rFonts w:ascii="Baskerville Old Face" w:hAnsi="Baskerville Old Face" w:cs="Times New Roman"/>
                <w:b/>
                <w:bCs/>
              </w:rPr>
            </w:pPr>
            <w:r w:rsidRPr="00C92E67">
              <w:rPr>
                <w:rFonts w:ascii="Baskerville Old Face" w:hAnsi="Baskerville Old Face" w:cs="Times New Roman"/>
                <w:b/>
                <w:bCs/>
              </w:rPr>
              <w:t>Reading assignment</w:t>
            </w:r>
          </w:p>
        </w:tc>
      </w:tr>
      <w:tr w:rsidR="00CA413E" w:rsidRPr="002D3304" w14:paraId="2010AB9D" w14:textId="77777777" w:rsidTr="00C13634">
        <w:tc>
          <w:tcPr>
            <w:tcW w:w="1908" w:type="dxa"/>
            <w:shd w:val="clear" w:color="auto" w:fill="auto"/>
          </w:tcPr>
          <w:p w14:paraId="1E73647E" w14:textId="7970BFBE" w:rsidR="00BF40F0" w:rsidRPr="002D3304" w:rsidRDefault="00BF40F0" w:rsidP="00797398">
            <w:pPr>
              <w:spacing w:before="120" w:after="120"/>
              <w:rPr>
                <w:rFonts w:asciiTheme="majorBidi" w:hAnsiTheme="majorBidi" w:cstheme="majorBidi"/>
                <w:b/>
                <w:bCs/>
              </w:rPr>
            </w:pPr>
            <w:r w:rsidRPr="002D3304">
              <w:rPr>
                <w:rFonts w:asciiTheme="majorBidi" w:hAnsiTheme="majorBidi" w:cstheme="majorBidi"/>
                <w:b/>
                <w:bCs/>
              </w:rPr>
              <w:t xml:space="preserve">Week 1 </w:t>
            </w:r>
            <w:r w:rsidR="00E75CBD" w:rsidRPr="002D3304">
              <w:rPr>
                <w:rFonts w:asciiTheme="majorBidi" w:hAnsiTheme="majorBidi" w:cstheme="majorBidi"/>
                <w:b/>
                <w:bCs/>
              </w:rPr>
              <w:t>Jan</w:t>
            </w:r>
            <w:r w:rsidR="00CA413E" w:rsidRPr="002D3304">
              <w:rPr>
                <w:rFonts w:asciiTheme="majorBidi" w:hAnsiTheme="majorBidi" w:cstheme="majorBidi"/>
                <w:b/>
                <w:bCs/>
              </w:rPr>
              <w:t xml:space="preserve">. </w:t>
            </w:r>
            <w:r w:rsidR="00797398" w:rsidRPr="002D3304">
              <w:rPr>
                <w:rFonts w:asciiTheme="majorBidi" w:hAnsiTheme="majorBidi" w:cstheme="majorBidi"/>
                <w:b/>
                <w:bCs/>
              </w:rPr>
              <w:t>22</w:t>
            </w:r>
          </w:p>
          <w:p w14:paraId="2BC5701B" w14:textId="47A50E62" w:rsidR="00010765" w:rsidRPr="002D3304" w:rsidRDefault="00010765" w:rsidP="00394F97">
            <w:pPr>
              <w:spacing w:before="120" w:after="120"/>
              <w:rPr>
                <w:rFonts w:asciiTheme="majorBidi" w:hAnsiTheme="majorBidi" w:cstheme="majorBidi"/>
              </w:rPr>
            </w:pPr>
            <w:r w:rsidRPr="002D3304">
              <w:rPr>
                <w:rFonts w:asciiTheme="majorBidi" w:hAnsiTheme="majorBidi" w:cstheme="majorBidi"/>
              </w:rPr>
              <w:t>Introduction</w:t>
            </w:r>
          </w:p>
        </w:tc>
        <w:tc>
          <w:tcPr>
            <w:tcW w:w="6948" w:type="dxa"/>
            <w:shd w:val="clear" w:color="auto" w:fill="auto"/>
          </w:tcPr>
          <w:p w14:paraId="530F72E6" w14:textId="3E929D1F" w:rsidR="00394F97" w:rsidRPr="002D3304" w:rsidRDefault="00394F97" w:rsidP="00D11A61">
            <w:pPr>
              <w:spacing w:before="120"/>
              <w:ind w:left="432" w:hanging="432"/>
              <w:rPr>
                <w:rFonts w:asciiTheme="majorBidi" w:hAnsiTheme="majorBidi" w:cstheme="majorBidi"/>
                <w:sz w:val="22"/>
                <w:szCs w:val="22"/>
              </w:rPr>
            </w:pPr>
            <w:r w:rsidRPr="002D3304">
              <w:rPr>
                <w:rFonts w:asciiTheme="majorBidi" w:hAnsiTheme="majorBidi" w:cstheme="majorBidi"/>
                <w:sz w:val="22"/>
                <w:szCs w:val="22"/>
              </w:rPr>
              <w:t xml:space="preserve">Lange, </w:t>
            </w:r>
            <w:r w:rsidR="002A5116" w:rsidRPr="002D3304">
              <w:rPr>
                <w:rFonts w:asciiTheme="majorBidi" w:hAnsiTheme="majorBidi" w:cstheme="majorBidi"/>
                <w:i/>
                <w:iCs/>
                <w:sz w:val="22"/>
                <w:szCs w:val="22"/>
              </w:rPr>
              <w:t>Comparative-Historical Methods</w:t>
            </w:r>
            <w:r w:rsidR="002A5116" w:rsidRPr="002D3304">
              <w:rPr>
                <w:rFonts w:asciiTheme="majorBidi" w:hAnsiTheme="majorBidi" w:cstheme="majorBidi"/>
                <w:sz w:val="22"/>
                <w:szCs w:val="22"/>
              </w:rPr>
              <w:t xml:space="preserve">, </w:t>
            </w:r>
            <w:r w:rsidRPr="002D3304">
              <w:rPr>
                <w:rFonts w:asciiTheme="majorBidi" w:hAnsiTheme="majorBidi" w:cstheme="majorBidi"/>
                <w:sz w:val="22"/>
                <w:szCs w:val="22"/>
              </w:rPr>
              <w:t>1-21.</w:t>
            </w:r>
          </w:p>
          <w:p w14:paraId="7B000FC8" w14:textId="77777777" w:rsidR="007213FA" w:rsidRPr="002D3304" w:rsidRDefault="00394F97" w:rsidP="00E82881">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James Mahoney and Dietrich Rueschemeyer, “Comparative Historical Analysis,” in </w:t>
            </w:r>
            <w:r w:rsidRPr="002D3304">
              <w:rPr>
                <w:rFonts w:asciiTheme="majorBidi" w:hAnsiTheme="majorBidi" w:cstheme="majorBidi"/>
                <w:i/>
                <w:iCs/>
                <w:sz w:val="22"/>
                <w:szCs w:val="22"/>
              </w:rPr>
              <w:t>Comparative Historical Analysis in the Social Sciences</w:t>
            </w:r>
            <w:r w:rsidRPr="002D3304">
              <w:rPr>
                <w:rFonts w:asciiTheme="majorBidi" w:hAnsiTheme="majorBidi" w:cstheme="majorBidi"/>
                <w:sz w:val="22"/>
                <w:szCs w:val="22"/>
              </w:rPr>
              <w:t>, eds. James Mahoney and Dietrich Rueschemeyer (New York: Cambridge University Press, 2003), 3-25.</w:t>
            </w:r>
          </w:p>
          <w:p w14:paraId="2514CB48" w14:textId="45161F3A" w:rsidR="00E82881" w:rsidRPr="002D3304" w:rsidRDefault="00E82881" w:rsidP="007213FA">
            <w:pPr>
              <w:spacing w:after="120"/>
              <w:ind w:left="432" w:hanging="432"/>
              <w:rPr>
                <w:rFonts w:asciiTheme="majorBidi" w:hAnsiTheme="majorBidi" w:cstheme="majorBidi"/>
                <w:sz w:val="22"/>
                <w:szCs w:val="22"/>
              </w:rPr>
            </w:pPr>
            <w:r w:rsidRPr="002D3304">
              <w:rPr>
                <w:rFonts w:asciiTheme="majorBidi" w:hAnsiTheme="majorBidi" w:cstheme="majorBidi"/>
                <w:sz w:val="22"/>
                <w:szCs w:val="22"/>
              </w:rPr>
              <w:t>Craig Calhoun, “The Rise and Domestication of Historical Sociology</w:t>
            </w:r>
            <w:r w:rsidR="00BF2395" w:rsidRPr="002D3304">
              <w:rPr>
                <w:rFonts w:asciiTheme="majorBidi" w:hAnsiTheme="majorBidi" w:cstheme="majorBidi"/>
                <w:sz w:val="22"/>
                <w:szCs w:val="22"/>
              </w:rPr>
              <w:t>,</w:t>
            </w:r>
            <w:r w:rsidRPr="002D3304">
              <w:rPr>
                <w:rFonts w:asciiTheme="majorBidi" w:hAnsiTheme="majorBidi" w:cstheme="majorBidi"/>
                <w:sz w:val="22"/>
                <w:szCs w:val="22"/>
              </w:rPr>
              <w:t xml:space="preserve">” in </w:t>
            </w:r>
            <w:r w:rsidRPr="002D3304">
              <w:rPr>
                <w:rFonts w:asciiTheme="majorBidi" w:hAnsiTheme="majorBidi" w:cstheme="majorBidi"/>
                <w:i/>
                <w:iCs/>
                <w:sz w:val="22"/>
                <w:szCs w:val="22"/>
              </w:rPr>
              <w:t>The Historic Turn in the Human Sciences</w:t>
            </w:r>
            <w:r w:rsidRPr="002D3304">
              <w:rPr>
                <w:rFonts w:asciiTheme="majorBidi" w:hAnsiTheme="majorBidi" w:cstheme="majorBidi"/>
                <w:sz w:val="22"/>
                <w:szCs w:val="22"/>
              </w:rPr>
              <w:t>, ed. Terrance J. McDonald (Ann Arbor: University of Michigan Press, 1996), 305-337.</w:t>
            </w:r>
          </w:p>
          <w:p w14:paraId="40EE463C" w14:textId="77777777" w:rsidR="00E82881" w:rsidRPr="002D3304" w:rsidRDefault="007213FA" w:rsidP="00E82881">
            <w:pPr>
              <w:ind w:left="432" w:hanging="432"/>
              <w:rPr>
                <w:rFonts w:asciiTheme="majorBidi" w:hAnsiTheme="majorBidi" w:cstheme="majorBidi"/>
                <w:sz w:val="20"/>
                <w:szCs w:val="20"/>
              </w:rPr>
            </w:pPr>
            <w:r w:rsidRPr="002D3304">
              <w:rPr>
                <w:rFonts w:asciiTheme="majorBidi" w:hAnsiTheme="majorBidi" w:cstheme="majorBidi"/>
                <w:sz w:val="20"/>
                <w:szCs w:val="20"/>
                <w:u w:val="single"/>
              </w:rPr>
              <w:t>Recommended</w:t>
            </w:r>
            <w:r w:rsidR="00E82881" w:rsidRPr="002D3304">
              <w:rPr>
                <w:rFonts w:asciiTheme="majorBidi" w:hAnsiTheme="majorBidi" w:cstheme="majorBidi"/>
                <w:sz w:val="20"/>
                <w:szCs w:val="20"/>
              </w:rPr>
              <w:t>:</w:t>
            </w:r>
          </w:p>
          <w:p w14:paraId="2EDF14E1" w14:textId="5DCFC35C" w:rsidR="00736EF6" w:rsidRPr="002D3304" w:rsidRDefault="00736EF6" w:rsidP="00E82881">
            <w:pPr>
              <w:ind w:left="432" w:hanging="432"/>
              <w:rPr>
                <w:rFonts w:asciiTheme="majorBidi" w:hAnsiTheme="majorBidi" w:cstheme="majorBidi"/>
                <w:sz w:val="20"/>
                <w:szCs w:val="20"/>
              </w:rPr>
            </w:pPr>
            <w:r w:rsidRPr="002D3304">
              <w:rPr>
                <w:rFonts w:asciiTheme="majorBidi" w:hAnsiTheme="majorBidi" w:cstheme="majorBidi"/>
                <w:sz w:val="20"/>
                <w:szCs w:val="20"/>
              </w:rPr>
              <w:t xml:space="preserve">C. Wright Mills, “Uses of History,” in </w:t>
            </w:r>
            <w:r w:rsidRPr="002D3304">
              <w:rPr>
                <w:rFonts w:asciiTheme="majorBidi" w:hAnsiTheme="majorBidi" w:cstheme="majorBidi"/>
                <w:i/>
                <w:iCs/>
                <w:sz w:val="20"/>
                <w:szCs w:val="20"/>
              </w:rPr>
              <w:t>The Sociological Imagination</w:t>
            </w:r>
            <w:r w:rsidRPr="002D3304">
              <w:rPr>
                <w:rFonts w:asciiTheme="majorBidi" w:hAnsiTheme="majorBidi" w:cstheme="majorBidi"/>
                <w:sz w:val="20"/>
                <w:szCs w:val="20"/>
              </w:rPr>
              <w:t xml:space="preserve"> (New York: Oxford University Press, 1959), 143-164.</w:t>
            </w:r>
          </w:p>
          <w:p w14:paraId="506A7B80" w14:textId="0971A0A9" w:rsidR="00E82881" w:rsidRPr="002D3304" w:rsidRDefault="00E82881" w:rsidP="00161D4B">
            <w:pPr>
              <w:spacing w:after="120"/>
              <w:ind w:left="432" w:hanging="432"/>
              <w:rPr>
                <w:rFonts w:asciiTheme="majorBidi" w:hAnsiTheme="majorBidi" w:cstheme="majorBidi"/>
                <w:sz w:val="20"/>
                <w:szCs w:val="20"/>
              </w:rPr>
            </w:pPr>
            <w:r w:rsidRPr="002D3304">
              <w:rPr>
                <w:rFonts w:asciiTheme="majorBidi" w:hAnsiTheme="majorBidi" w:cstheme="majorBidi"/>
                <w:sz w:val="20"/>
                <w:szCs w:val="20"/>
              </w:rPr>
              <w:t xml:space="preserve">Philip Abrams, </w:t>
            </w:r>
            <w:r w:rsidRPr="002D3304">
              <w:rPr>
                <w:rFonts w:asciiTheme="majorBidi" w:hAnsiTheme="majorBidi" w:cstheme="majorBidi"/>
                <w:i/>
                <w:iCs/>
                <w:sz w:val="20"/>
                <w:szCs w:val="20"/>
              </w:rPr>
              <w:t>Historical Sociology</w:t>
            </w:r>
            <w:r w:rsidRPr="002D3304">
              <w:rPr>
                <w:rFonts w:asciiTheme="majorBidi" w:hAnsiTheme="majorBidi" w:cstheme="majorBidi"/>
                <w:sz w:val="20"/>
                <w:szCs w:val="20"/>
              </w:rPr>
              <w:t xml:space="preserve"> (Ithaca: Cornell University Press, 1982), 1-17.</w:t>
            </w:r>
          </w:p>
        </w:tc>
      </w:tr>
      <w:tr w:rsidR="00CA413E" w:rsidRPr="002D3304" w14:paraId="296DF583" w14:textId="77777777" w:rsidTr="00C13634">
        <w:tc>
          <w:tcPr>
            <w:tcW w:w="1908" w:type="dxa"/>
            <w:shd w:val="clear" w:color="auto" w:fill="auto"/>
          </w:tcPr>
          <w:p w14:paraId="22259C5F" w14:textId="385D9220" w:rsidR="00B5324C" w:rsidRPr="002D3304" w:rsidRDefault="00BF40F0" w:rsidP="00797398">
            <w:pPr>
              <w:spacing w:before="120" w:after="120"/>
              <w:rPr>
                <w:rFonts w:asciiTheme="majorBidi" w:hAnsiTheme="majorBidi" w:cstheme="majorBidi"/>
                <w:b/>
                <w:bCs/>
              </w:rPr>
            </w:pPr>
            <w:r w:rsidRPr="002D3304">
              <w:rPr>
                <w:rFonts w:asciiTheme="majorBidi" w:hAnsiTheme="majorBidi" w:cstheme="majorBidi"/>
                <w:b/>
                <w:bCs/>
              </w:rPr>
              <w:t xml:space="preserve">Week 2 </w:t>
            </w:r>
            <w:r w:rsidR="00E75CBD" w:rsidRPr="002D3304">
              <w:rPr>
                <w:rFonts w:asciiTheme="majorBidi" w:hAnsiTheme="majorBidi" w:cstheme="majorBidi"/>
                <w:b/>
                <w:bCs/>
              </w:rPr>
              <w:t xml:space="preserve">Jan. </w:t>
            </w:r>
            <w:r w:rsidR="00797398" w:rsidRPr="002D3304">
              <w:rPr>
                <w:rFonts w:asciiTheme="majorBidi" w:hAnsiTheme="majorBidi" w:cstheme="majorBidi"/>
                <w:b/>
                <w:bCs/>
              </w:rPr>
              <w:t>29</w:t>
            </w:r>
          </w:p>
          <w:p w14:paraId="3A947A8E" w14:textId="1F0C571B" w:rsidR="00394F97" w:rsidRPr="002D3304" w:rsidRDefault="00394F97" w:rsidP="00882E74">
            <w:pPr>
              <w:spacing w:before="120" w:after="120"/>
              <w:rPr>
                <w:rFonts w:asciiTheme="majorBidi" w:hAnsiTheme="majorBidi" w:cstheme="majorBidi"/>
              </w:rPr>
            </w:pPr>
            <w:r w:rsidRPr="002D3304">
              <w:rPr>
                <w:rFonts w:asciiTheme="majorBidi" w:hAnsiTheme="majorBidi" w:cstheme="majorBidi"/>
              </w:rPr>
              <w:t>I</w:t>
            </w:r>
            <w:r w:rsidR="000C5884" w:rsidRPr="002D3304">
              <w:rPr>
                <w:rFonts w:asciiTheme="majorBidi" w:hAnsiTheme="majorBidi" w:cstheme="majorBidi"/>
              </w:rPr>
              <w:t>ntellectual History and O</w:t>
            </w:r>
            <w:r w:rsidRPr="002D3304">
              <w:rPr>
                <w:rFonts w:asciiTheme="majorBidi" w:hAnsiTheme="majorBidi" w:cstheme="majorBidi"/>
              </w:rPr>
              <w:t>verview</w:t>
            </w:r>
          </w:p>
        </w:tc>
        <w:tc>
          <w:tcPr>
            <w:tcW w:w="6948" w:type="dxa"/>
            <w:shd w:val="clear" w:color="auto" w:fill="auto"/>
          </w:tcPr>
          <w:p w14:paraId="1BC741A4" w14:textId="19A27705" w:rsidR="00D03E75" w:rsidRPr="002D3304" w:rsidRDefault="00394F97" w:rsidP="00D11A61">
            <w:pPr>
              <w:spacing w:before="120"/>
              <w:ind w:left="432" w:hanging="432"/>
              <w:rPr>
                <w:rFonts w:asciiTheme="majorBidi" w:hAnsiTheme="majorBidi" w:cstheme="majorBidi"/>
                <w:sz w:val="22"/>
                <w:szCs w:val="22"/>
              </w:rPr>
            </w:pPr>
            <w:r w:rsidRPr="002D3304">
              <w:rPr>
                <w:rFonts w:asciiTheme="majorBidi" w:hAnsiTheme="majorBidi" w:cstheme="majorBidi"/>
                <w:sz w:val="22"/>
                <w:szCs w:val="22"/>
              </w:rPr>
              <w:t xml:space="preserve">Lange, </w:t>
            </w:r>
            <w:r w:rsidR="00970F8A" w:rsidRPr="002D3304">
              <w:rPr>
                <w:rFonts w:asciiTheme="majorBidi" w:hAnsiTheme="majorBidi" w:cstheme="majorBidi"/>
                <w:i/>
                <w:iCs/>
                <w:sz w:val="22"/>
                <w:szCs w:val="22"/>
              </w:rPr>
              <w:t>Comparative-Historical Methods</w:t>
            </w:r>
            <w:r w:rsidR="00970F8A" w:rsidRPr="002D3304">
              <w:rPr>
                <w:rFonts w:asciiTheme="majorBidi" w:hAnsiTheme="majorBidi" w:cstheme="majorBidi"/>
                <w:sz w:val="22"/>
                <w:szCs w:val="22"/>
              </w:rPr>
              <w:t xml:space="preserve">, </w:t>
            </w:r>
            <w:r w:rsidRPr="002D3304">
              <w:rPr>
                <w:rFonts w:asciiTheme="majorBidi" w:hAnsiTheme="majorBidi" w:cstheme="majorBidi"/>
                <w:sz w:val="22"/>
                <w:szCs w:val="22"/>
              </w:rPr>
              <w:t>22-39.</w:t>
            </w:r>
          </w:p>
          <w:p w14:paraId="1D1972D2" w14:textId="00B14D72" w:rsidR="00394F97" w:rsidRPr="002D3304" w:rsidRDefault="00394F97" w:rsidP="00394F97">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Michael J. Galgano, J. Chris Arndt, and Raymond M. Hyser, “What is History?” in </w:t>
            </w:r>
            <w:r w:rsidRPr="002D3304">
              <w:rPr>
                <w:rFonts w:asciiTheme="majorBidi" w:hAnsiTheme="majorBidi" w:cstheme="majorBidi"/>
                <w:i/>
                <w:iCs/>
                <w:sz w:val="22"/>
                <w:szCs w:val="22"/>
              </w:rPr>
              <w:t>Doing History</w:t>
            </w:r>
            <w:r w:rsidRPr="002D3304">
              <w:rPr>
                <w:rFonts w:asciiTheme="majorBidi" w:hAnsiTheme="majorBidi" w:cstheme="majorBidi"/>
                <w:sz w:val="22"/>
                <w:szCs w:val="22"/>
              </w:rPr>
              <w:t>, 2d ed. (Boston: Wadsworth, 2013), 1-18.</w:t>
            </w:r>
          </w:p>
          <w:p w14:paraId="6D2E6F3A" w14:textId="2D798DBF" w:rsidR="00882E74" w:rsidRPr="002D3304" w:rsidRDefault="002A5116" w:rsidP="002A5116">
            <w:pPr>
              <w:spacing w:after="120"/>
              <w:ind w:left="432" w:hanging="432"/>
              <w:rPr>
                <w:rFonts w:asciiTheme="majorBidi" w:hAnsiTheme="majorBidi" w:cstheme="majorBidi"/>
                <w:sz w:val="22"/>
                <w:szCs w:val="22"/>
              </w:rPr>
            </w:pPr>
            <w:r w:rsidRPr="002D3304">
              <w:rPr>
                <w:rFonts w:asciiTheme="majorBidi" w:hAnsiTheme="majorBidi" w:cstheme="majorBidi"/>
                <w:sz w:val="22"/>
                <w:szCs w:val="22"/>
              </w:rPr>
              <w:t xml:space="preserve">Julia Adams, Elisabeth S. Clemens, Ann Shola Orloff, “Social Theory, Modernity, and the Three Waves of Historical Sociology,” in </w:t>
            </w:r>
            <w:r w:rsidRPr="002D3304">
              <w:rPr>
                <w:rFonts w:asciiTheme="majorBidi" w:hAnsiTheme="majorBidi" w:cstheme="majorBidi"/>
                <w:i/>
                <w:iCs/>
                <w:sz w:val="22"/>
                <w:szCs w:val="22"/>
              </w:rPr>
              <w:t>Remaking Modernity</w:t>
            </w:r>
            <w:r w:rsidRPr="002D3304">
              <w:rPr>
                <w:rFonts w:asciiTheme="majorBidi" w:hAnsiTheme="majorBidi" w:cstheme="majorBidi"/>
                <w:sz w:val="22"/>
                <w:szCs w:val="22"/>
              </w:rPr>
              <w:t>, ed. Julia Adams, Elisabeth S. Clemens, Ann Shola Orloff (Durham: Duke University Press, 2005), 1-72.</w:t>
            </w:r>
          </w:p>
        </w:tc>
      </w:tr>
    </w:tbl>
    <w:p w14:paraId="68C68D87" w14:textId="77777777" w:rsidR="00E54F97" w:rsidRDefault="00E54F9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948"/>
      </w:tblGrid>
      <w:tr w:rsidR="00CA413E" w:rsidRPr="002D3304" w14:paraId="392F1CF4" w14:textId="77777777" w:rsidTr="00C13634">
        <w:tc>
          <w:tcPr>
            <w:tcW w:w="1908" w:type="dxa"/>
            <w:shd w:val="clear" w:color="auto" w:fill="auto"/>
          </w:tcPr>
          <w:p w14:paraId="147E4CAE" w14:textId="4140AA00" w:rsidR="00BF40F0" w:rsidRPr="002D3304" w:rsidRDefault="00CA413E" w:rsidP="00797398">
            <w:pPr>
              <w:spacing w:before="120" w:after="120"/>
              <w:rPr>
                <w:rFonts w:asciiTheme="majorBidi" w:hAnsiTheme="majorBidi" w:cstheme="majorBidi"/>
                <w:b/>
                <w:bCs/>
              </w:rPr>
            </w:pPr>
            <w:r w:rsidRPr="002D3304">
              <w:rPr>
                <w:rFonts w:asciiTheme="majorBidi" w:hAnsiTheme="majorBidi" w:cstheme="majorBidi"/>
                <w:b/>
                <w:bCs/>
              </w:rPr>
              <w:lastRenderedPageBreak/>
              <w:t xml:space="preserve">Week 3 </w:t>
            </w:r>
            <w:r w:rsidR="00A70C4B" w:rsidRPr="002D3304">
              <w:rPr>
                <w:rFonts w:asciiTheme="majorBidi" w:hAnsiTheme="majorBidi" w:cstheme="majorBidi"/>
                <w:b/>
                <w:bCs/>
              </w:rPr>
              <w:t xml:space="preserve">Feb. </w:t>
            </w:r>
            <w:r w:rsidR="00797398" w:rsidRPr="002D3304">
              <w:rPr>
                <w:rFonts w:asciiTheme="majorBidi" w:hAnsiTheme="majorBidi" w:cstheme="majorBidi"/>
                <w:b/>
                <w:bCs/>
              </w:rPr>
              <w:t>5</w:t>
            </w:r>
          </w:p>
          <w:p w14:paraId="7A707CBA" w14:textId="27B63914" w:rsidR="00257B90" w:rsidRPr="002D3304" w:rsidRDefault="00E82881" w:rsidP="002D3304">
            <w:pPr>
              <w:rPr>
                <w:rFonts w:asciiTheme="majorBidi" w:hAnsiTheme="majorBidi" w:cstheme="majorBidi"/>
              </w:rPr>
            </w:pPr>
            <w:r w:rsidRPr="002D3304">
              <w:rPr>
                <w:rFonts w:asciiTheme="majorBidi" w:hAnsiTheme="majorBidi" w:cstheme="majorBidi"/>
              </w:rPr>
              <w:t>Gathering, Analyzing, and Synthesizing Data</w:t>
            </w:r>
          </w:p>
        </w:tc>
        <w:tc>
          <w:tcPr>
            <w:tcW w:w="6948" w:type="dxa"/>
            <w:shd w:val="clear" w:color="auto" w:fill="auto"/>
          </w:tcPr>
          <w:p w14:paraId="7441BE74" w14:textId="1C136813" w:rsidR="00F34E24" w:rsidRPr="002D3304" w:rsidRDefault="00C1650A" w:rsidP="00E54F97">
            <w:pPr>
              <w:spacing w:before="120"/>
              <w:rPr>
                <w:rFonts w:asciiTheme="majorBidi" w:hAnsiTheme="majorBidi" w:cstheme="majorBidi"/>
                <w:b/>
                <w:bCs/>
                <w:color w:val="FF0000"/>
                <w:sz w:val="20"/>
                <w:szCs w:val="20"/>
              </w:rPr>
            </w:pPr>
            <w:r w:rsidRPr="002D3304">
              <w:rPr>
                <w:rFonts w:asciiTheme="majorBidi" w:hAnsiTheme="majorBidi" w:cstheme="majorBidi"/>
                <w:b/>
                <w:bCs/>
                <w:color w:val="FF0000"/>
                <w:sz w:val="20"/>
                <w:szCs w:val="20"/>
              </w:rPr>
              <w:t>Special location</w:t>
            </w:r>
            <w:r w:rsidR="00B4720F" w:rsidRPr="002D3304">
              <w:rPr>
                <w:rFonts w:asciiTheme="majorBidi" w:hAnsiTheme="majorBidi" w:cstheme="majorBidi"/>
                <w:b/>
                <w:bCs/>
                <w:color w:val="FF0000"/>
                <w:sz w:val="20"/>
                <w:szCs w:val="20"/>
              </w:rPr>
              <w:t xml:space="preserve">: Wisconsin Historical Society, </w:t>
            </w:r>
            <w:r w:rsidR="00D67269" w:rsidRPr="002D3304">
              <w:rPr>
                <w:rFonts w:asciiTheme="majorBidi" w:hAnsiTheme="majorBidi" w:cstheme="majorBidi"/>
                <w:b/>
                <w:bCs/>
                <w:color w:val="FF0000"/>
                <w:sz w:val="20"/>
                <w:szCs w:val="20"/>
              </w:rPr>
              <w:t>816 State Street,</w:t>
            </w:r>
            <w:r w:rsidRPr="002D3304">
              <w:rPr>
                <w:rFonts w:asciiTheme="majorBidi" w:hAnsiTheme="majorBidi" w:cstheme="majorBidi"/>
                <w:b/>
                <w:bCs/>
                <w:color w:val="FF0000"/>
                <w:sz w:val="20"/>
                <w:szCs w:val="20"/>
              </w:rPr>
              <w:t xml:space="preserve"> first-</w:t>
            </w:r>
            <w:r w:rsidR="00D67269" w:rsidRPr="002D3304">
              <w:rPr>
                <w:rFonts w:asciiTheme="majorBidi" w:hAnsiTheme="majorBidi" w:cstheme="majorBidi"/>
                <w:b/>
                <w:bCs/>
                <w:color w:val="FF0000"/>
                <w:sz w:val="20"/>
                <w:szCs w:val="20"/>
              </w:rPr>
              <w:t>floor lobby next to infor</w:t>
            </w:r>
            <w:r w:rsidR="00F34E24" w:rsidRPr="002D3304">
              <w:rPr>
                <w:rFonts w:asciiTheme="majorBidi" w:hAnsiTheme="majorBidi" w:cstheme="majorBidi"/>
                <w:b/>
                <w:bCs/>
                <w:color w:val="FF0000"/>
                <w:sz w:val="20"/>
                <w:szCs w:val="20"/>
              </w:rPr>
              <w:t>mation booth and Forward statue</w:t>
            </w:r>
            <w:r w:rsidR="00371AA4" w:rsidRPr="002D3304">
              <w:rPr>
                <w:rFonts w:asciiTheme="majorBidi" w:hAnsiTheme="majorBidi" w:cstheme="majorBidi"/>
                <w:b/>
                <w:bCs/>
                <w:color w:val="FF0000"/>
                <w:sz w:val="20"/>
                <w:szCs w:val="20"/>
              </w:rPr>
              <w:t xml:space="preserve">. Meetings with </w:t>
            </w:r>
            <w:r w:rsidR="00F34E24" w:rsidRPr="002D3304">
              <w:rPr>
                <w:rFonts w:asciiTheme="majorBidi" w:hAnsiTheme="majorBidi" w:cstheme="majorBidi"/>
                <w:b/>
                <w:bCs/>
                <w:color w:val="FF0000"/>
                <w:sz w:val="20"/>
                <w:szCs w:val="20"/>
              </w:rPr>
              <w:t>Senior Reference Archivist Lee Grady</w:t>
            </w:r>
            <w:r w:rsidR="00371AA4" w:rsidRPr="002D3304">
              <w:rPr>
                <w:rFonts w:asciiTheme="majorBidi" w:hAnsiTheme="majorBidi" w:cstheme="majorBidi"/>
                <w:b/>
                <w:bCs/>
                <w:color w:val="FF0000"/>
                <w:sz w:val="20"/>
                <w:szCs w:val="20"/>
              </w:rPr>
              <w:t xml:space="preserve">, </w:t>
            </w:r>
            <w:r w:rsidR="00F34E24" w:rsidRPr="002D3304">
              <w:rPr>
                <w:rFonts w:asciiTheme="majorBidi" w:hAnsiTheme="majorBidi" w:cstheme="majorBidi"/>
                <w:b/>
                <w:bCs/>
                <w:color w:val="FF0000"/>
                <w:sz w:val="20"/>
                <w:szCs w:val="20"/>
              </w:rPr>
              <w:t>librarian Nancy Mulhern</w:t>
            </w:r>
            <w:r w:rsidR="00371AA4" w:rsidRPr="002D3304">
              <w:rPr>
                <w:rFonts w:asciiTheme="majorBidi" w:hAnsiTheme="majorBidi" w:cstheme="majorBidi"/>
                <w:b/>
                <w:bCs/>
                <w:color w:val="FF0000"/>
                <w:sz w:val="20"/>
                <w:szCs w:val="20"/>
              </w:rPr>
              <w:t xml:space="preserve">, </w:t>
            </w:r>
            <w:r w:rsidR="00E54F97">
              <w:rPr>
                <w:rFonts w:asciiTheme="majorBidi" w:hAnsiTheme="majorBidi" w:cstheme="majorBidi"/>
                <w:b/>
                <w:bCs/>
                <w:color w:val="FF0000"/>
                <w:sz w:val="20"/>
                <w:szCs w:val="20"/>
              </w:rPr>
              <w:t>Prof.</w:t>
            </w:r>
            <w:r w:rsidR="00371AA4" w:rsidRPr="002D3304">
              <w:rPr>
                <w:rFonts w:asciiTheme="majorBidi" w:hAnsiTheme="majorBidi" w:cstheme="majorBidi"/>
                <w:b/>
                <w:bCs/>
                <w:color w:val="FF0000"/>
                <w:sz w:val="20"/>
                <w:szCs w:val="20"/>
              </w:rPr>
              <w:t xml:space="preserve"> Tony Michels.</w:t>
            </w:r>
          </w:p>
          <w:p w14:paraId="23BC370F" w14:textId="06B74BEB" w:rsidR="009A1CAF" w:rsidRPr="002D3304" w:rsidRDefault="009A1CAF" w:rsidP="009D33CB">
            <w:pPr>
              <w:spacing w:before="120"/>
              <w:ind w:left="720" w:hanging="720"/>
              <w:rPr>
                <w:rFonts w:asciiTheme="majorBidi" w:hAnsiTheme="majorBidi" w:cstheme="majorBidi"/>
                <w:sz w:val="22"/>
                <w:szCs w:val="22"/>
              </w:rPr>
            </w:pPr>
            <w:r w:rsidRPr="002D3304">
              <w:rPr>
                <w:rFonts w:asciiTheme="majorBidi" w:hAnsiTheme="majorBidi" w:cstheme="majorBidi"/>
                <w:sz w:val="22"/>
                <w:szCs w:val="22"/>
              </w:rPr>
              <w:t xml:space="preserve">Lange, </w:t>
            </w:r>
            <w:r w:rsidRPr="002D3304">
              <w:rPr>
                <w:rFonts w:asciiTheme="majorBidi" w:hAnsiTheme="majorBidi" w:cstheme="majorBidi"/>
                <w:i/>
                <w:iCs/>
                <w:sz w:val="22"/>
                <w:szCs w:val="22"/>
              </w:rPr>
              <w:t>Comparative-Historical Methods</w:t>
            </w:r>
            <w:r w:rsidR="009D33CB" w:rsidRPr="002D3304">
              <w:rPr>
                <w:rFonts w:asciiTheme="majorBidi" w:hAnsiTheme="majorBidi" w:cstheme="majorBidi"/>
                <w:sz w:val="22"/>
                <w:szCs w:val="22"/>
              </w:rPr>
              <w:t xml:space="preserve">, 40-69, </w:t>
            </w:r>
            <w:r w:rsidRPr="002D3304">
              <w:rPr>
                <w:rFonts w:asciiTheme="majorBidi" w:hAnsiTheme="majorBidi" w:cstheme="majorBidi"/>
                <w:sz w:val="22"/>
                <w:szCs w:val="22"/>
              </w:rPr>
              <w:t>140-148.</w:t>
            </w:r>
          </w:p>
          <w:p w14:paraId="4545CED5" w14:textId="75D72E44" w:rsidR="00360CFF" w:rsidRPr="002D3304" w:rsidRDefault="009A1CAF" w:rsidP="00360CFF">
            <w:pPr>
              <w:spacing w:after="120"/>
              <w:rPr>
                <w:rFonts w:asciiTheme="majorBidi" w:hAnsiTheme="majorBidi" w:cstheme="majorBidi"/>
                <w:sz w:val="22"/>
                <w:szCs w:val="22"/>
              </w:rPr>
            </w:pPr>
            <w:r w:rsidRPr="002D3304">
              <w:rPr>
                <w:rFonts w:asciiTheme="majorBidi" w:hAnsiTheme="majorBidi" w:cstheme="majorBidi"/>
                <w:sz w:val="22"/>
                <w:szCs w:val="22"/>
              </w:rPr>
              <w:t xml:space="preserve">Galgano, Arndt, and Hyser, </w:t>
            </w:r>
            <w:r w:rsidRPr="002D3304">
              <w:rPr>
                <w:rFonts w:asciiTheme="majorBidi" w:hAnsiTheme="majorBidi" w:cstheme="majorBidi"/>
                <w:i/>
                <w:iCs/>
                <w:sz w:val="22"/>
                <w:szCs w:val="22"/>
              </w:rPr>
              <w:t>Doing History</w:t>
            </w:r>
            <w:r w:rsidR="009D33CB" w:rsidRPr="002D3304">
              <w:rPr>
                <w:rFonts w:asciiTheme="majorBidi" w:hAnsiTheme="majorBidi" w:cstheme="majorBidi"/>
                <w:sz w:val="22"/>
                <w:szCs w:val="22"/>
              </w:rPr>
              <w:t xml:space="preserve">, </w:t>
            </w:r>
            <w:r w:rsidRPr="002D3304">
              <w:rPr>
                <w:rFonts w:asciiTheme="majorBidi" w:hAnsiTheme="majorBidi" w:cstheme="majorBidi"/>
                <w:sz w:val="22"/>
                <w:szCs w:val="22"/>
              </w:rPr>
              <w:t>1</w:t>
            </w:r>
            <w:r w:rsidR="009D33CB" w:rsidRPr="002D3304">
              <w:rPr>
                <w:rFonts w:asciiTheme="majorBidi" w:hAnsiTheme="majorBidi" w:cstheme="majorBidi"/>
                <w:sz w:val="22"/>
                <w:szCs w:val="22"/>
              </w:rPr>
              <w:t>9</w:t>
            </w:r>
            <w:r w:rsidRPr="002D3304">
              <w:rPr>
                <w:rFonts w:asciiTheme="majorBidi" w:hAnsiTheme="majorBidi" w:cstheme="majorBidi"/>
                <w:sz w:val="22"/>
                <w:szCs w:val="22"/>
              </w:rPr>
              <w:t>-84.</w:t>
            </w:r>
          </w:p>
          <w:p w14:paraId="486DD91E" w14:textId="7CB85496" w:rsidR="00E278DF" w:rsidRPr="002D3304" w:rsidRDefault="00360CFF" w:rsidP="00A232D6">
            <w:pPr>
              <w:spacing w:after="120"/>
              <w:rPr>
                <w:rFonts w:asciiTheme="majorBidi" w:hAnsiTheme="majorBidi" w:cstheme="majorBidi"/>
                <w:sz w:val="20"/>
                <w:szCs w:val="20"/>
              </w:rPr>
            </w:pPr>
            <w:r w:rsidRPr="002D3304">
              <w:rPr>
                <w:rFonts w:asciiTheme="majorBidi" w:hAnsiTheme="majorBidi" w:cstheme="majorBidi"/>
                <w:sz w:val="20"/>
                <w:szCs w:val="20"/>
                <w:u w:val="single"/>
              </w:rPr>
              <w:t>Recommended</w:t>
            </w:r>
            <w:r w:rsidRPr="002D3304">
              <w:rPr>
                <w:rFonts w:asciiTheme="majorBidi" w:hAnsiTheme="majorBidi" w:cstheme="majorBidi"/>
                <w:sz w:val="20"/>
                <w:szCs w:val="20"/>
              </w:rPr>
              <w:t xml:space="preserve">: Galgano, Arndt, Hyser, Appendix A in </w:t>
            </w:r>
            <w:r w:rsidRPr="002D3304">
              <w:rPr>
                <w:rFonts w:asciiTheme="majorBidi" w:hAnsiTheme="majorBidi" w:cstheme="majorBidi"/>
                <w:i/>
                <w:iCs/>
                <w:sz w:val="20"/>
                <w:szCs w:val="20"/>
              </w:rPr>
              <w:t>Doing History</w:t>
            </w:r>
            <w:r w:rsidRPr="002D3304">
              <w:rPr>
                <w:rFonts w:asciiTheme="majorBidi" w:hAnsiTheme="majorBidi" w:cstheme="majorBidi"/>
                <w:sz w:val="20"/>
                <w:szCs w:val="20"/>
              </w:rPr>
              <w:t>, 156-197.</w:t>
            </w:r>
          </w:p>
        </w:tc>
      </w:tr>
      <w:tr w:rsidR="00CA413E" w:rsidRPr="002D3304" w14:paraId="7BD59ADE" w14:textId="77777777" w:rsidTr="00C13634">
        <w:tc>
          <w:tcPr>
            <w:tcW w:w="1908" w:type="dxa"/>
            <w:shd w:val="clear" w:color="auto" w:fill="auto"/>
          </w:tcPr>
          <w:p w14:paraId="63D37A9C" w14:textId="47FDA4B9" w:rsidR="00CA413E" w:rsidRPr="002D3304" w:rsidRDefault="00CA413E" w:rsidP="00797398">
            <w:pPr>
              <w:spacing w:before="120" w:after="120"/>
              <w:rPr>
                <w:rFonts w:asciiTheme="majorBidi" w:hAnsiTheme="majorBidi" w:cstheme="majorBidi"/>
                <w:b/>
                <w:bCs/>
              </w:rPr>
            </w:pPr>
            <w:r w:rsidRPr="002D3304">
              <w:rPr>
                <w:rFonts w:asciiTheme="majorBidi" w:hAnsiTheme="majorBidi" w:cstheme="majorBidi"/>
                <w:b/>
                <w:bCs/>
              </w:rPr>
              <w:t xml:space="preserve">Week 4 </w:t>
            </w:r>
            <w:r w:rsidR="00E75CBD" w:rsidRPr="002D3304">
              <w:rPr>
                <w:rFonts w:asciiTheme="majorBidi" w:hAnsiTheme="majorBidi" w:cstheme="majorBidi"/>
                <w:b/>
                <w:bCs/>
              </w:rPr>
              <w:t>Feb</w:t>
            </w:r>
            <w:r w:rsidRPr="002D3304">
              <w:rPr>
                <w:rFonts w:asciiTheme="majorBidi" w:hAnsiTheme="majorBidi" w:cstheme="majorBidi"/>
                <w:b/>
                <w:bCs/>
              </w:rPr>
              <w:t xml:space="preserve">. </w:t>
            </w:r>
            <w:r w:rsidR="00797398" w:rsidRPr="002D3304">
              <w:rPr>
                <w:rFonts w:asciiTheme="majorBidi" w:hAnsiTheme="majorBidi" w:cstheme="majorBidi"/>
                <w:b/>
                <w:bCs/>
              </w:rPr>
              <w:t>12</w:t>
            </w:r>
          </w:p>
          <w:p w14:paraId="5F769A4D" w14:textId="375A2034" w:rsidR="00CE0C13" w:rsidRPr="005B25D3" w:rsidRDefault="0074401F" w:rsidP="00882E74">
            <w:pPr>
              <w:spacing w:before="120" w:after="120"/>
              <w:rPr>
                <w:rFonts w:asciiTheme="majorBidi" w:hAnsiTheme="majorBidi" w:cstheme="majorBidi"/>
              </w:rPr>
            </w:pPr>
            <w:r w:rsidRPr="002D3304">
              <w:rPr>
                <w:rFonts w:asciiTheme="majorBidi" w:hAnsiTheme="majorBidi" w:cstheme="majorBidi"/>
              </w:rPr>
              <w:t>Gathering, Analyzing, and Synthesizing Data</w:t>
            </w:r>
          </w:p>
        </w:tc>
        <w:tc>
          <w:tcPr>
            <w:tcW w:w="6948" w:type="dxa"/>
            <w:shd w:val="clear" w:color="auto" w:fill="auto"/>
          </w:tcPr>
          <w:p w14:paraId="374B175D" w14:textId="6C7D96B3" w:rsidR="00550987" w:rsidRPr="00AE1198" w:rsidRDefault="00550987" w:rsidP="00C8142D">
            <w:pPr>
              <w:spacing w:before="120"/>
              <w:rPr>
                <w:rFonts w:asciiTheme="majorBidi" w:hAnsiTheme="majorBidi" w:cstheme="majorBidi"/>
                <w:b/>
                <w:bCs/>
                <w:color w:val="FF0000"/>
                <w:sz w:val="22"/>
                <w:szCs w:val="22"/>
              </w:rPr>
            </w:pPr>
            <w:r w:rsidRPr="00AE1198">
              <w:rPr>
                <w:rFonts w:asciiTheme="majorBidi" w:hAnsiTheme="majorBidi" w:cstheme="majorBidi"/>
                <w:b/>
                <w:bCs/>
                <w:color w:val="FF0000"/>
                <w:sz w:val="22"/>
                <w:szCs w:val="22"/>
              </w:rPr>
              <w:t>Document Analysis Worksheet</w:t>
            </w:r>
            <w:r w:rsidR="00AE1198" w:rsidRPr="00AE1198">
              <w:rPr>
                <w:rFonts w:asciiTheme="majorBidi" w:hAnsiTheme="majorBidi" w:cstheme="majorBidi"/>
                <w:b/>
                <w:bCs/>
                <w:color w:val="FF0000"/>
                <w:sz w:val="22"/>
                <w:szCs w:val="22"/>
              </w:rPr>
              <w:t xml:space="preserve"> due at 4</w:t>
            </w:r>
            <w:r w:rsidR="00BE01E4">
              <w:rPr>
                <w:rFonts w:asciiTheme="majorBidi" w:hAnsiTheme="majorBidi" w:cstheme="majorBidi"/>
                <w:b/>
                <w:bCs/>
                <w:color w:val="FF0000"/>
                <w:sz w:val="22"/>
                <w:szCs w:val="22"/>
              </w:rPr>
              <w:t>:00</w:t>
            </w:r>
            <w:r w:rsidR="00AE1198" w:rsidRPr="00AE1198">
              <w:rPr>
                <w:rFonts w:asciiTheme="majorBidi" w:hAnsiTheme="majorBidi" w:cstheme="majorBidi"/>
                <w:b/>
                <w:bCs/>
                <w:color w:val="FF0000"/>
                <w:sz w:val="22"/>
                <w:szCs w:val="22"/>
              </w:rPr>
              <w:t xml:space="preserve"> pm</w:t>
            </w:r>
          </w:p>
          <w:p w14:paraId="707881A9" w14:textId="12FD7F03" w:rsidR="003870A8" w:rsidRDefault="003870A8" w:rsidP="00AE1198">
            <w:pPr>
              <w:ind w:left="432" w:hanging="432"/>
              <w:rPr>
                <w:rFonts w:asciiTheme="majorBidi" w:hAnsiTheme="majorBidi" w:cstheme="majorBidi"/>
                <w:sz w:val="22"/>
                <w:szCs w:val="22"/>
              </w:rPr>
            </w:pPr>
            <w:r w:rsidRPr="003870A8">
              <w:rPr>
                <w:rFonts w:asciiTheme="majorBidi" w:hAnsiTheme="majorBidi" w:cstheme="majorBidi"/>
                <w:sz w:val="22"/>
                <w:szCs w:val="22"/>
              </w:rPr>
              <w:t xml:space="preserve">Chad Alan Goldberg, “Haunted by the Specter of Communism: Collective Identity and Resource Mobilization in the Demise of the Workers Alliance of America,” in </w:t>
            </w:r>
            <w:r w:rsidRPr="003870A8">
              <w:rPr>
                <w:rFonts w:asciiTheme="majorBidi" w:hAnsiTheme="majorBidi" w:cstheme="majorBidi"/>
                <w:i/>
                <w:iCs/>
                <w:sz w:val="22"/>
                <w:szCs w:val="22"/>
              </w:rPr>
              <w:t>Social and Political Movements</w:t>
            </w:r>
            <w:r w:rsidRPr="003870A8">
              <w:rPr>
                <w:rFonts w:asciiTheme="majorBidi" w:hAnsiTheme="majorBidi" w:cstheme="majorBidi"/>
                <w:sz w:val="22"/>
                <w:szCs w:val="22"/>
              </w:rPr>
              <w:t>, vol. 3, ed. Cyrus Ernesto Zirakzadeh (London: Sage, 2011), 163–204.</w:t>
            </w:r>
          </w:p>
          <w:p w14:paraId="21FE5482" w14:textId="7F6F262D" w:rsidR="003870A8" w:rsidRDefault="003870A8" w:rsidP="003870A8">
            <w:pPr>
              <w:spacing w:after="120"/>
              <w:ind w:left="432" w:hanging="432"/>
              <w:rPr>
                <w:rFonts w:asciiTheme="majorBidi" w:hAnsiTheme="majorBidi" w:cstheme="majorBidi"/>
                <w:sz w:val="22"/>
                <w:szCs w:val="22"/>
              </w:rPr>
            </w:pPr>
            <w:r w:rsidRPr="003870A8">
              <w:rPr>
                <w:rFonts w:asciiTheme="majorBidi" w:hAnsiTheme="majorBidi" w:cstheme="majorBidi"/>
                <w:sz w:val="22"/>
                <w:szCs w:val="22"/>
              </w:rPr>
              <w:t xml:space="preserve">Chad Alan Goldberg, </w:t>
            </w:r>
            <w:r w:rsidRPr="003870A8">
              <w:rPr>
                <w:rFonts w:asciiTheme="majorBidi" w:hAnsiTheme="majorBidi" w:cstheme="majorBidi"/>
                <w:i/>
                <w:iCs/>
                <w:sz w:val="22"/>
                <w:szCs w:val="22"/>
              </w:rPr>
              <w:t>Modernity and the Jews in Western Social Thought</w:t>
            </w:r>
            <w:r w:rsidRPr="003870A8">
              <w:rPr>
                <w:rFonts w:asciiTheme="majorBidi" w:hAnsiTheme="majorBidi" w:cstheme="majorBidi"/>
                <w:sz w:val="22"/>
                <w:szCs w:val="22"/>
              </w:rPr>
              <w:t xml:space="preserve"> (</w:t>
            </w:r>
            <w:r w:rsidR="009D1FB5">
              <w:rPr>
                <w:rFonts w:asciiTheme="majorBidi" w:hAnsiTheme="majorBidi" w:cstheme="majorBidi"/>
                <w:sz w:val="22"/>
                <w:szCs w:val="22"/>
              </w:rPr>
              <w:t xml:space="preserve">Chicago: </w:t>
            </w:r>
            <w:r w:rsidRPr="003870A8">
              <w:rPr>
                <w:rFonts w:asciiTheme="majorBidi" w:hAnsiTheme="majorBidi" w:cstheme="majorBidi"/>
                <w:sz w:val="22"/>
                <w:szCs w:val="22"/>
              </w:rPr>
              <w:t>University of Chicago Press, 2017), 1-15, 76-103.</w:t>
            </w:r>
          </w:p>
          <w:p w14:paraId="640A57C2" w14:textId="29460D0B" w:rsidR="00AE6F5F" w:rsidRPr="00E54F97" w:rsidRDefault="002C5D9F" w:rsidP="00E54F97">
            <w:pPr>
              <w:spacing w:after="120"/>
              <w:ind w:left="432" w:hanging="432"/>
              <w:rPr>
                <w:rFonts w:asciiTheme="majorBidi" w:hAnsiTheme="majorBidi" w:cstheme="majorBidi"/>
                <w:sz w:val="20"/>
                <w:szCs w:val="20"/>
                <w:highlight w:val="cyan"/>
              </w:rPr>
            </w:pPr>
            <w:r w:rsidRPr="002C5D9F">
              <w:rPr>
                <w:rFonts w:asciiTheme="majorBidi" w:hAnsiTheme="majorBidi" w:cstheme="majorBidi"/>
                <w:sz w:val="20"/>
                <w:szCs w:val="20"/>
                <w:u w:val="single"/>
              </w:rPr>
              <w:t>Recommended</w:t>
            </w:r>
            <w:r w:rsidRPr="002C5D9F">
              <w:rPr>
                <w:rFonts w:asciiTheme="majorBidi" w:hAnsiTheme="majorBidi" w:cstheme="majorBidi"/>
                <w:sz w:val="20"/>
                <w:szCs w:val="20"/>
              </w:rPr>
              <w:t xml:space="preserve">: Chad Alan Goldberg, </w:t>
            </w:r>
            <w:r w:rsidRPr="002C5D9F">
              <w:rPr>
                <w:rFonts w:asciiTheme="majorBidi" w:hAnsiTheme="majorBidi" w:cstheme="majorBidi"/>
                <w:i/>
                <w:iCs/>
                <w:sz w:val="20"/>
                <w:szCs w:val="20"/>
              </w:rPr>
              <w:t>Citizens and Paupers: Relief, Rights, and Race, from the Freedmen’s Bureau to Workfare</w:t>
            </w:r>
            <w:r w:rsidRPr="002C5D9F">
              <w:rPr>
                <w:rFonts w:asciiTheme="majorBidi" w:hAnsiTheme="majorBidi" w:cstheme="majorBidi"/>
                <w:sz w:val="20"/>
                <w:szCs w:val="20"/>
              </w:rPr>
              <w:t xml:space="preserve"> (</w:t>
            </w:r>
            <w:r w:rsidR="009D1FB5">
              <w:rPr>
                <w:rFonts w:asciiTheme="majorBidi" w:hAnsiTheme="majorBidi" w:cstheme="majorBidi"/>
                <w:sz w:val="20"/>
                <w:szCs w:val="20"/>
              </w:rPr>
              <w:t xml:space="preserve">Chicago: </w:t>
            </w:r>
            <w:r w:rsidRPr="002C5D9F">
              <w:rPr>
                <w:rFonts w:asciiTheme="majorBidi" w:hAnsiTheme="majorBidi" w:cstheme="majorBidi"/>
                <w:sz w:val="20"/>
                <w:szCs w:val="20"/>
              </w:rPr>
              <w:t>University of Chicago Press, 2007), 1-8 and 31-75 or 105-152. [Honorable Mention for Barrington Moore Book Award]</w:t>
            </w:r>
          </w:p>
        </w:tc>
      </w:tr>
      <w:tr w:rsidR="00A70C4B" w:rsidRPr="002D3304" w14:paraId="6CBAD9AE" w14:textId="77777777" w:rsidTr="00C13634">
        <w:tc>
          <w:tcPr>
            <w:tcW w:w="1908" w:type="dxa"/>
            <w:shd w:val="clear" w:color="auto" w:fill="auto"/>
          </w:tcPr>
          <w:p w14:paraId="0744FD76" w14:textId="2070A4B6" w:rsidR="00A70C4B" w:rsidRPr="002D3304" w:rsidRDefault="00A70C4B" w:rsidP="00797398">
            <w:pPr>
              <w:spacing w:before="120" w:after="120"/>
              <w:rPr>
                <w:rFonts w:asciiTheme="majorBidi" w:hAnsiTheme="majorBidi" w:cstheme="majorBidi"/>
                <w:b/>
                <w:bCs/>
              </w:rPr>
            </w:pPr>
            <w:r w:rsidRPr="002D3304">
              <w:rPr>
                <w:rFonts w:asciiTheme="majorBidi" w:hAnsiTheme="majorBidi" w:cstheme="majorBidi"/>
                <w:b/>
                <w:bCs/>
              </w:rPr>
              <w:t xml:space="preserve">Week 5 Feb. </w:t>
            </w:r>
            <w:r w:rsidR="00797398" w:rsidRPr="002D3304">
              <w:rPr>
                <w:rFonts w:asciiTheme="majorBidi" w:hAnsiTheme="majorBidi" w:cstheme="majorBidi"/>
                <w:b/>
                <w:bCs/>
              </w:rPr>
              <w:t>19</w:t>
            </w:r>
          </w:p>
          <w:p w14:paraId="3359B5B2" w14:textId="615A6BB0" w:rsidR="00D116F4" w:rsidRPr="002D3304" w:rsidRDefault="001863EB" w:rsidP="00882E74">
            <w:pPr>
              <w:spacing w:before="120" w:after="120"/>
              <w:rPr>
                <w:rFonts w:asciiTheme="majorBidi" w:hAnsiTheme="majorBidi" w:cstheme="majorBidi"/>
              </w:rPr>
            </w:pPr>
            <w:r w:rsidRPr="002D3304">
              <w:rPr>
                <w:rFonts w:asciiTheme="majorBidi" w:hAnsiTheme="majorBidi" w:cstheme="majorBidi"/>
              </w:rPr>
              <w:t>Analyzing Temporality and Relations Among Cases</w:t>
            </w:r>
          </w:p>
        </w:tc>
        <w:tc>
          <w:tcPr>
            <w:tcW w:w="6948" w:type="dxa"/>
            <w:shd w:val="clear" w:color="auto" w:fill="auto"/>
          </w:tcPr>
          <w:p w14:paraId="451F3952" w14:textId="77777777" w:rsidR="001863EB" w:rsidRPr="002D3304" w:rsidRDefault="001863EB" w:rsidP="001863EB">
            <w:pPr>
              <w:spacing w:before="120"/>
              <w:ind w:left="432" w:hanging="432"/>
              <w:rPr>
                <w:rFonts w:asciiTheme="majorBidi" w:hAnsiTheme="majorBidi" w:cstheme="majorBidi"/>
                <w:sz w:val="22"/>
                <w:szCs w:val="22"/>
              </w:rPr>
            </w:pPr>
            <w:r w:rsidRPr="002D3304">
              <w:rPr>
                <w:rFonts w:asciiTheme="majorBidi" w:hAnsiTheme="majorBidi" w:cstheme="majorBidi"/>
                <w:sz w:val="22"/>
                <w:szCs w:val="22"/>
              </w:rPr>
              <w:t xml:space="preserve">Lange, </w:t>
            </w:r>
            <w:r w:rsidRPr="002D3304">
              <w:rPr>
                <w:rFonts w:asciiTheme="majorBidi" w:hAnsiTheme="majorBidi" w:cstheme="majorBidi"/>
                <w:i/>
                <w:iCs/>
                <w:sz w:val="22"/>
                <w:szCs w:val="22"/>
              </w:rPr>
              <w:t>Comparative-Historical Methods</w:t>
            </w:r>
            <w:r w:rsidRPr="002D3304">
              <w:rPr>
                <w:rFonts w:asciiTheme="majorBidi" w:hAnsiTheme="majorBidi" w:cstheme="majorBidi"/>
                <w:sz w:val="22"/>
                <w:szCs w:val="22"/>
              </w:rPr>
              <w:t>, 70-85.</w:t>
            </w:r>
          </w:p>
          <w:p w14:paraId="59E6D28F" w14:textId="77777777" w:rsidR="001863EB" w:rsidRPr="002D3304" w:rsidRDefault="001863EB" w:rsidP="001863EB">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James Mahoney, “Path Dependence in Historical Sociology,” </w:t>
            </w:r>
            <w:r w:rsidRPr="002D3304">
              <w:rPr>
                <w:rFonts w:asciiTheme="majorBidi" w:hAnsiTheme="majorBidi" w:cstheme="majorBidi"/>
                <w:i/>
                <w:iCs/>
                <w:sz w:val="22"/>
                <w:szCs w:val="22"/>
              </w:rPr>
              <w:t>Theory and Society</w:t>
            </w:r>
            <w:r w:rsidRPr="002D3304">
              <w:rPr>
                <w:rFonts w:asciiTheme="majorBidi" w:hAnsiTheme="majorBidi" w:cstheme="majorBidi"/>
                <w:sz w:val="22"/>
                <w:szCs w:val="22"/>
              </w:rPr>
              <w:t xml:space="preserve"> 29, no. 4 (Aug. 2000): 507-548.</w:t>
            </w:r>
          </w:p>
          <w:p w14:paraId="072894A4" w14:textId="77777777" w:rsidR="001863EB" w:rsidRPr="002D3304" w:rsidRDefault="001863EB" w:rsidP="001863EB">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Jeffrey Haydu, “Reversals of Fortune: Path Dependency, Problem Solving, and Temporal Cases,” </w:t>
            </w:r>
            <w:r w:rsidRPr="002D3304">
              <w:rPr>
                <w:rFonts w:asciiTheme="majorBidi" w:hAnsiTheme="majorBidi" w:cstheme="majorBidi"/>
                <w:i/>
                <w:iCs/>
                <w:sz w:val="22"/>
                <w:szCs w:val="22"/>
              </w:rPr>
              <w:t>Theory and Society</w:t>
            </w:r>
            <w:r w:rsidRPr="002D3304">
              <w:rPr>
                <w:rFonts w:asciiTheme="majorBidi" w:hAnsiTheme="majorBidi" w:cstheme="majorBidi"/>
                <w:sz w:val="22"/>
                <w:szCs w:val="22"/>
              </w:rPr>
              <w:t xml:space="preserve"> 39, no. 1 (Jan. 2010): 25-48.</w:t>
            </w:r>
          </w:p>
          <w:p w14:paraId="3ADAFF24" w14:textId="77777777" w:rsidR="001863EB" w:rsidRPr="002D3304" w:rsidRDefault="001863EB" w:rsidP="001863EB">
            <w:pPr>
              <w:spacing w:after="120"/>
              <w:ind w:left="432" w:hanging="432"/>
              <w:rPr>
                <w:rFonts w:asciiTheme="majorBidi" w:hAnsiTheme="majorBidi" w:cstheme="majorBidi"/>
                <w:sz w:val="22"/>
                <w:szCs w:val="22"/>
              </w:rPr>
            </w:pPr>
            <w:r w:rsidRPr="002D3304">
              <w:rPr>
                <w:rFonts w:asciiTheme="majorBidi" w:hAnsiTheme="majorBidi" w:cstheme="majorBidi"/>
                <w:sz w:val="22"/>
                <w:szCs w:val="22"/>
              </w:rPr>
              <w:t xml:space="preserve">Charles Tilly, “Encompassing Comparisons,” in </w:t>
            </w:r>
            <w:r w:rsidRPr="002D3304">
              <w:rPr>
                <w:rFonts w:asciiTheme="majorBidi" w:hAnsiTheme="majorBidi" w:cstheme="majorBidi"/>
                <w:i/>
                <w:iCs/>
                <w:sz w:val="22"/>
                <w:szCs w:val="22"/>
              </w:rPr>
              <w:t>Big Structures, Large Processes, Huge Comparisons</w:t>
            </w:r>
            <w:r w:rsidRPr="002D3304">
              <w:rPr>
                <w:rFonts w:asciiTheme="majorBidi" w:hAnsiTheme="majorBidi" w:cstheme="majorBidi"/>
                <w:sz w:val="22"/>
                <w:szCs w:val="22"/>
              </w:rPr>
              <w:t xml:space="preserve"> (New York: Russell Sage, 1984), 125-143.</w:t>
            </w:r>
          </w:p>
          <w:p w14:paraId="139C42C9" w14:textId="7E7ADE51" w:rsidR="008C4250" w:rsidRPr="002D3304" w:rsidRDefault="001863EB" w:rsidP="001863EB">
            <w:pPr>
              <w:spacing w:after="120"/>
              <w:ind w:left="720" w:hanging="720"/>
              <w:rPr>
                <w:rFonts w:asciiTheme="majorBidi" w:hAnsiTheme="majorBidi" w:cstheme="majorBidi"/>
                <w:sz w:val="20"/>
                <w:szCs w:val="20"/>
              </w:rPr>
            </w:pPr>
            <w:r w:rsidRPr="002D3304">
              <w:rPr>
                <w:rFonts w:asciiTheme="majorBidi" w:hAnsiTheme="majorBidi" w:cstheme="majorBidi"/>
                <w:sz w:val="20"/>
                <w:szCs w:val="20"/>
                <w:u w:val="single"/>
              </w:rPr>
              <w:t>Recommended</w:t>
            </w:r>
            <w:r w:rsidRPr="002D3304">
              <w:rPr>
                <w:rFonts w:asciiTheme="majorBidi" w:hAnsiTheme="majorBidi" w:cstheme="majorBidi"/>
                <w:sz w:val="20"/>
                <w:szCs w:val="20"/>
              </w:rPr>
              <w:t xml:space="preserve">: Paul Pierson, “Big, Slow-Moving, and … Invisible: Macrosocial Processes in the Study of Comparative Politics,” in </w:t>
            </w:r>
            <w:r w:rsidRPr="002D3304">
              <w:rPr>
                <w:rFonts w:asciiTheme="majorBidi" w:hAnsiTheme="majorBidi" w:cstheme="majorBidi"/>
                <w:i/>
                <w:iCs/>
                <w:sz w:val="20"/>
                <w:szCs w:val="20"/>
              </w:rPr>
              <w:t>Comparative Historical Analysis in the Social Sciences</w:t>
            </w:r>
            <w:r w:rsidRPr="002D3304">
              <w:rPr>
                <w:rFonts w:asciiTheme="majorBidi" w:hAnsiTheme="majorBidi" w:cstheme="majorBidi"/>
                <w:sz w:val="20"/>
                <w:szCs w:val="20"/>
              </w:rPr>
              <w:t>, 177-207.</w:t>
            </w:r>
          </w:p>
        </w:tc>
      </w:tr>
      <w:tr w:rsidR="00CA413E" w:rsidRPr="002D3304" w14:paraId="1D7CCED7" w14:textId="77777777" w:rsidTr="00C13634">
        <w:tc>
          <w:tcPr>
            <w:tcW w:w="1908" w:type="dxa"/>
            <w:shd w:val="clear" w:color="auto" w:fill="auto"/>
          </w:tcPr>
          <w:p w14:paraId="5CBF4BA4" w14:textId="65015371" w:rsidR="00CE0C13" w:rsidRPr="00681F8C" w:rsidRDefault="00CA413E" w:rsidP="00797398">
            <w:pPr>
              <w:spacing w:before="120" w:after="120"/>
              <w:rPr>
                <w:rFonts w:asciiTheme="majorBidi" w:hAnsiTheme="majorBidi" w:cstheme="majorBidi"/>
                <w:b/>
                <w:bCs/>
              </w:rPr>
            </w:pPr>
            <w:r w:rsidRPr="00681F8C">
              <w:rPr>
                <w:rFonts w:asciiTheme="majorBidi" w:hAnsiTheme="majorBidi" w:cstheme="majorBidi"/>
                <w:b/>
                <w:bCs/>
              </w:rPr>
              <w:t xml:space="preserve">Week 6 </w:t>
            </w:r>
            <w:r w:rsidR="00BD5256" w:rsidRPr="00681F8C">
              <w:rPr>
                <w:rFonts w:asciiTheme="majorBidi" w:hAnsiTheme="majorBidi" w:cstheme="majorBidi"/>
                <w:b/>
                <w:bCs/>
              </w:rPr>
              <w:t xml:space="preserve">Feb. </w:t>
            </w:r>
            <w:r w:rsidR="00797398" w:rsidRPr="00681F8C">
              <w:rPr>
                <w:rFonts w:asciiTheme="majorBidi" w:hAnsiTheme="majorBidi" w:cstheme="majorBidi"/>
                <w:b/>
                <w:bCs/>
              </w:rPr>
              <w:t>26</w:t>
            </w:r>
          </w:p>
          <w:p w14:paraId="7DFB5C06" w14:textId="613354B7" w:rsidR="00C432A7" w:rsidRPr="00A41AB2" w:rsidRDefault="00A41AB2" w:rsidP="00A41AB2">
            <w:pPr>
              <w:spacing w:before="120" w:after="120"/>
              <w:rPr>
                <w:rFonts w:asciiTheme="majorBidi" w:hAnsiTheme="majorBidi" w:cstheme="majorBidi"/>
                <w:sz w:val="23"/>
                <w:szCs w:val="23"/>
              </w:rPr>
            </w:pPr>
            <w:r w:rsidRPr="00A41AB2">
              <w:rPr>
                <w:rFonts w:asciiTheme="majorBidi" w:hAnsiTheme="majorBidi" w:cstheme="majorBidi"/>
                <w:sz w:val="23"/>
                <w:szCs w:val="23"/>
              </w:rPr>
              <w:t>Race in Historical Perspective</w:t>
            </w:r>
          </w:p>
        </w:tc>
        <w:tc>
          <w:tcPr>
            <w:tcW w:w="6948" w:type="dxa"/>
            <w:shd w:val="clear" w:color="auto" w:fill="auto"/>
          </w:tcPr>
          <w:p w14:paraId="2F063DC7" w14:textId="1C64A6C6" w:rsidR="00C64366" w:rsidRPr="00681F8C" w:rsidRDefault="005C1041" w:rsidP="002D3304">
            <w:pPr>
              <w:spacing w:before="120" w:after="120"/>
              <w:ind w:left="432" w:hanging="432"/>
              <w:rPr>
                <w:rFonts w:asciiTheme="majorBidi" w:hAnsiTheme="majorBidi" w:cstheme="majorBidi"/>
                <w:color w:val="FF0000"/>
                <w:sz w:val="22"/>
                <w:szCs w:val="22"/>
              </w:rPr>
            </w:pPr>
            <w:r w:rsidRPr="00681F8C">
              <w:rPr>
                <w:rFonts w:asciiTheme="majorBidi" w:hAnsiTheme="majorBidi" w:cstheme="majorBidi"/>
                <w:sz w:val="22"/>
                <w:szCs w:val="22"/>
              </w:rPr>
              <w:t xml:space="preserve">Angel Adams Parham, </w:t>
            </w:r>
            <w:r w:rsidRPr="00681F8C">
              <w:rPr>
                <w:rFonts w:asciiTheme="majorBidi" w:hAnsiTheme="majorBidi" w:cstheme="majorBidi"/>
                <w:i/>
                <w:iCs/>
                <w:sz w:val="22"/>
                <w:szCs w:val="22"/>
              </w:rPr>
              <w:t>American Routes: Racial Palimpsests and the Transformation of Race</w:t>
            </w:r>
            <w:r w:rsidRPr="00681F8C">
              <w:rPr>
                <w:rFonts w:asciiTheme="majorBidi" w:hAnsiTheme="majorBidi" w:cstheme="majorBidi"/>
                <w:sz w:val="22"/>
                <w:szCs w:val="22"/>
              </w:rPr>
              <w:t xml:space="preserve"> (New York: Oxford University Press, 2017), selections to be announced.</w:t>
            </w:r>
            <w:r w:rsidR="00DE5ECA">
              <w:rPr>
                <w:rFonts w:asciiTheme="majorBidi" w:hAnsiTheme="majorBidi" w:cstheme="majorBidi"/>
                <w:sz w:val="22"/>
                <w:szCs w:val="22"/>
              </w:rPr>
              <w:t xml:space="preserve"> [</w:t>
            </w:r>
            <w:r w:rsidR="00DE5ECA" w:rsidRPr="00DE5ECA">
              <w:rPr>
                <w:rFonts w:asciiTheme="majorBidi" w:hAnsiTheme="majorBidi" w:cstheme="majorBidi"/>
                <w:sz w:val="22"/>
                <w:szCs w:val="22"/>
              </w:rPr>
              <w:t>Barrington Moore Book Award</w:t>
            </w:r>
            <w:r w:rsidR="00DE5ECA">
              <w:rPr>
                <w:rFonts w:asciiTheme="majorBidi" w:hAnsiTheme="majorBidi" w:cstheme="majorBidi"/>
                <w:sz w:val="22"/>
                <w:szCs w:val="22"/>
              </w:rPr>
              <w:t>]</w:t>
            </w:r>
          </w:p>
        </w:tc>
      </w:tr>
      <w:tr w:rsidR="00CA413E" w:rsidRPr="002D3304" w14:paraId="1E1BA43C" w14:textId="77777777" w:rsidTr="00C13634">
        <w:tc>
          <w:tcPr>
            <w:tcW w:w="1908" w:type="dxa"/>
            <w:shd w:val="clear" w:color="auto" w:fill="auto"/>
          </w:tcPr>
          <w:p w14:paraId="58F2E461" w14:textId="1799FD23" w:rsidR="00CA413E" w:rsidRPr="002D3304" w:rsidRDefault="00BD5256" w:rsidP="00797398">
            <w:pPr>
              <w:spacing w:before="120" w:after="120"/>
              <w:rPr>
                <w:rFonts w:asciiTheme="majorBidi" w:hAnsiTheme="majorBidi" w:cstheme="majorBidi"/>
                <w:b/>
                <w:bCs/>
              </w:rPr>
            </w:pPr>
            <w:r w:rsidRPr="002D3304">
              <w:rPr>
                <w:rFonts w:asciiTheme="majorBidi" w:hAnsiTheme="majorBidi" w:cstheme="majorBidi"/>
                <w:b/>
                <w:bCs/>
              </w:rPr>
              <w:t xml:space="preserve">Week 7 </w:t>
            </w:r>
            <w:r w:rsidR="00A70C4B" w:rsidRPr="002D3304">
              <w:rPr>
                <w:rFonts w:asciiTheme="majorBidi" w:hAnsiTheme="majorBidi" w:cstheme="majorBidi"/>
                <w:b/>
                <w:bCs/>
              </w:rPr>
              <w:t>Mar</w:t>
            </w:r>
            <w:r w:rsidRPr="002D3304">
              <w:rPr>
                <w:rFonts w:asciiTheme="majorBidi" w:hAnsiTheme="majorBidi" w:cstheme="majorBidi"/>
                <w:b/>
                <w:bCs/>
              </w:rPr>
              <w:t xml:space="preserve">. </w:t>
            </w:r>
            <w:r w:rsidR="00797398" w:rsidRPr="002D3304">
              <w:rPr>
                <w:rFonts w:asciiTheme="majorBidi" w:hAnsiTheme="majorBidi" w:cstheme="majorBidi"/>
                <w:b/>
                <w:bCs/>
              </w:rPr>
              <w:t>5</w:t>
            </w:r>
          </w:p>
          <w:p w14:paraId="68A66309" w14:textId="7233B0BD" w:rsidR="00D116F4" w:rsidRPr="002D3304" w:rsidRDefault="005C1041" w:rsidP="00882E74">
            <w:pPr>
              <w:spacing w:before="120" w:after="120"/>
              <w:rPr>
                <w:rFonts w:asciiTheme="majorBidi" w:hAnsiTheme="majorBidi" w:cstheme="majorBidi"/>
              </w:rPr>
            </w:pPr>
            <w:r w:rsidRPr="002D3304">
              <w:rPr>
                <w:rFonts w:asciiTheme="majorBidi" w:hAnsiTheme="majorBidi" w:cstheme="majorBidi"/>
              </w:rPr>
              <w:t>Types of Comparison</w:t>
            </w:r>
          </w:p>
          <w:p w14:paraId="5817D5E3" w14:textId="2D5A529D" w:rsidR="00CE0C13" w:rsidRPr="002D3304" w:rsidRDefault="00CE0C13" w:rsidP="00882E74">
            <w:pPr>
              <w:spacing w:before="120" w:after="120"/>
              <w:rPr>
                <w:rFonts w:asciiTheme="majorBidi" w:hAnsiTheme="majorBidi" w:cstheme="majorBidi"/>
                <w:b/>
                <w:bCs/>
              </w:rPr>
            </w:pPr>
          </w:p>
        </w:tc>
        <w:tc>
          <w:tcPr>
            <w:tcW w:w="6948" w:type="dxa"/>
            <w:shd w:val="clear" w:color="auto" w:fill="auto"/>
          </w:tcPr>
          <w:p w14:paraId="35B6EBF1" w14:textId="77777777" w:rsidR="005C1041" w:rsidRPr="00A41AB2" w:rsidRDefault="005C1041" w:rsidP="005C1041">
            <w:pPr>
              <w:spacing w:before="120"/>
              <w:ind w:left="432" w:hanging="432"/>
              <w:rPr>
                <w:rFonts w:asciiTheme="majorBidi" w:hAnsiTheme="majorBidi" w:cstheme="majorBidi"/>
                <w:sz w:val="22"/>
                <w:szCs w:val="22"/>
              </w:rPr>
            </w:pPr>
            <w:r w:rsidRPr="00A41AB2">
              <w:rPr>
                <w:rFonts w:asciiTheme="majorBidi" w:hAnsiTheme="majorBidi" w:cstheme="majorBidi"/>
                <w:sz w:val="22"/>
                <w:szCs w:val="22"/>
              </w:rPr>
              <w:t xml:space="preserve">Theda Skocpol, “Emerging Agendas and Recurrent Strategies in Historical Sociology,” in </w:t>
            </w:r>
            <w:r w:rsidRPr="00A41AB2">
              <w:rPr>
                <w:rFonts w:asciiTheme="majorBidi" w:hAnsiTheme="majorBidi" w:cstheme="majorBidi"/>
                <w:i/>
                <w:iCs/>
                <w:sz w:val="22"/>
                <w:szCs w:val="22"/>
              </w:rPr>
              <w:t>Vision and Method in Historical Sociology</w:t>
            </w:r>
            <w:r w:rsidRPr="00A41AB2">
              <w:rPr>
                <w:rFonts w:asciiTheme="majorBidi" w:hAnsiTheme="majorBidi" w:cstheme="majorBidi"/>
                <w:sz w:val="22"/>
                <w:szCs w:val="22"/>
              </w:rPr>
              <w:t>, ed. Theda Skocpol (New York: Cambridge University Press, 1984), 356-391.</w:t>
            </w:r>
          </w:p>
          <w:p w14:paraId="458647B4" w14:textId="77777777" w:rsidR="005C1041" w:rsidRPr="00A41AB2" w:rsidRDefault="005C1041" w:rsidP="005C1041">
            <w:pPr>
              <w:ind w:left="432" w:hanging="432"/>
              <w:rPr>
                <w:rFonts w:asciiTheme="majorBidi" w:hAnsiTheme="majorBidi" w:cstheme="majorBidi"/>
                <w:sz w:val="22"/>
                <w:szCs w:val="22"/>
              </w:rPr>
            </w:pPr>
            <w:r w:rsidRPr="00A41AB2">
              <w:rPr>
                <w:rFonts w:asciiTheme="majorBidi" w:hAnsiTheme="majorBidi" w:cstheme="majorBidi"/>
                <w:sz w:val="22"/>
                <w:szCs w:val="22"/>
              </w:rPr>
              <w:t xml:space="preserve">Charles Tilly, </w:t>
            </w:r>
            <w:r w:rsidRPr="00A41AB2">
              <w:rPr>
                <w:rFonts w:asciiTheme="majorBidi" w:hAnsiTheme="majorBidi" w:cstheme="majorBidi"/>
                <w:i/>
                <w:iCs/>
                <w:sz w:val="22"/>
                <w:szCs w:val="22"/>
              </w:rPr>
              <w:t>Big Structures, Large Processes, Huge Comparisons</w:t>
            </w:r>
            <w:r w:rsidRPr="00A41AB2">
              <w:rPr>
                <w:rFonts w:asciiTheme="majorBidi" w:hAnsiTheme="majorBidi" w:cstheme="majorBidi"/>
                <w:sz w:val="22"/>
                <w:szCs w:val="22"/>
              </w:rPr>
              <w:t xml:space="preserve"> (New York: Russell Sage, 1984), 80-124, 144-147.</w:t>
            </w:r>
          </w:p>
          <w:p w14:paraId="32A544CC" w14:textId="17922C28" w:rsidR="001C151A" w:rsidRPr="00A41AB2" w:rsidRDefault="00851AF6" w:rsidP="0074401F">
            <w:pPr>
              <w:spacing w:after="120"/>
              <w:ind w:left="432" w:hanging="432"/>
              <w:rPr>
                <w:rFonts w:asciiTheme="majorBidi" w:hAnsiTheme="majorBidi" w:cstheme="majorBidi"/>
                <w:sz w:val="22"/>
                <w:szCs w:val="22"/>
              </w:rPr>
            </w:pPr>
            <w:r w:rsidRPr="00A41AB2">
              <w:rPr>
                <w:rFonts w:asciiTheme="majorBidi" w:hAnsiTheme="majorBidi" w:cstheme="majorBidi"/>
                <w:sz w:val="22"/>
                <w:szCs w:val="22"/>
              </w:rPr>
              <w:t xml:space="preserve">Charles Tilly, “History and Sociological Imagining,” </w:t>
            </w:r>
            <w:r w:rsidRPr="00A41AB2">
              <w:rPr>
                <w:rFonts w:asciiTheme="majorBidi" w:hAnsiTheme="majorBidi" w:cstheme="majorBidi"/>
                <w:i/>
                <w:iCs/>
                <w:sz w:val="22"/>
                <w:szCs w:val="22"/>
              </w:rPr>
              <w:t>The Tocqueville Review</w:t>
            </w:r>
            <w:r w:rsidRPr="00A41AB2">
              <w:rPr>
                <w:rFonts w:asciiTheme="majorBidi" w:hAnsiTheme="majorBidi" w:cstheme="majorBidi"/>
                <w:sz w:val="22"/>
                <w:szCs w:val="22"/>
              </w:rPr>
              <w:t xml:space="preserve"> 15, no. 1 (1994): 57-72.</w:t>
            </w:r>
          </w:p>
          <w:p w14:paraId="3DAE8B14" w14:textId="77777777" w:rsidR="00851AF6" w:rsidRPr="00A41AB2" w:rsidRDefault="00161D4B" w:rsidP="00851AF6">
            <w:pPr>
              <w:ind w:left="432" w:hanging="432"/>
              <w:rPr>
                <w:rFonts w:asciiTheme="majorBidi" w:hAnsiTheme="majorBidi" w:cstheme="majorBidi"/>
                <w:sz w:val="20"/>
                <w:szCs w:val="20"/>
              </w:rPr>
            </w:pPr>
            <w:r w:rsidRPr="00A41AB2">
              <w:rPr>
                <w:rFonts w:asciiTheme="majorBidi" w:hAnsiTheme="majorBidi" w:cstheme="majorBidi"/>
                <w:sz w:val="20"/>
                <w:szCs w:val="20"/>
                <w:u w:val="single"/>
              </w:rPr>
              <w:t>Recommended</w:t>
            </w:r>
            <w:r w:rsidR="00851AF6" w:rsidRPr="00A41AB2">
              <w:rPr>
                <w:rFonts w:asciiTheme="majorBidi" w:hAnsiTheme="majorBidi" w:cstheme="majorBidi"/>
                <w:sz w:val="20"/>
                <w:szCs w:val="20"/>
              </w:rPr>
              <w:t>:</w:t>
            </w:r>
          </w:p>
          <w:p w14:paraId="4AB869B6" w14:textId="1FBC4D33" w:rsidR="00851AF6" w:rsidRPr="00A41AB2" w:rsidRDefault="00851AF6" w:rsidP="00851AF6">
            <w:pPr>
              <w:ind w:left="432" w:hanging="432"/>
              <w:rPr>
                <w:rFonts w:asciiTheme="majorBidi" w:hAnsiTheme="majorBidi" w:cstheme="majorBidi"/>
                <w:sz w:val="20"/>
                <w:szCs w:val="20"/>
              </w:rPr>
            </w:pPr>
            <w:r w:rsidRPr="00A41AB2">
              <w:rPr>
                <w:rFonts w:asciiTheme="majorBidi" w:hAnsiTheme="majorBidi" w:cstheme="majorBidi"/>
                <w:sz w:val="20"/>
                <w:szCs w:val="20"/>
              </w:rPr>
              <w:t xml:space="preserve">Charles Tilly, “To Explain Political Processes,” </w:t>
            </w:r>
            <w:r w:rsidRPr="00A41AB2">
              <w:rPr>
                <w:rFonts w:asciiTheme="majorBidi" w:hAnsiTheme="majorBidi" w:cstheme="majorBidi"/>
                <w:i/>
                <w:iCs/>
                <w:sz w:val="20"/>
                <w:szCs w:val="20"/>
              </w:rPr>
              <w:t>American Journal of Sociology</w:t>
            </w:r>
            <w:r w:rsidRPr="00A41AB2">
              <w:rPr>
                <w:rFonts w:asciiTheme="majorBidi" w:hAnsiTheme="majorBidi" w:cstheme="majorBidi"/>
                <w:sz w:val="20"/>
                <w:szCs w:val="20"/>
              </w:rPr>
              <w:t xml:space="preserve"> 100, no. 6 (May 1995): 1594-1610.</w:t>
            </w:r>
          </w:p>
          <w:p w14:paraId="25753FC1" w14:textId="6C1A5EEC" w:rsidR="00161D4B" w:rsidRPr="00A41AB2" w:rsidRDefault="00161D4B" w:rsidP="002D3304">
            <w:pPr>
              <w:spacing w:after="120"/>
              <w:ind w:left="432" w:hanging="432"/>
              <w:rPr>
                <w:rFonts w:asciiTheme="majorBidi" w:hAnsiTheme="majorBidi" w:cstheme="majorBidi"/>
                <w:sz w:val="22"/>
                <w:szCs w:val="22"/>
              </w:rPr>
            </w:pPr>
            <w:r w:rsidRPr="00A41AB2">
              <w:rPr>
                <w:rFonts w:asciiTheme="majorBidi" w:hAnsiTheme="majorBidi" w:cstheme="majorBidi"/>
                <w:sz w:val="20"/>
                <w:szCs w:val="20"/>
              </w:rPr>
              <w:t>“</w:t>
            </w:r>
            <w:hyperlink r:id="rId16" w:history="1">
              <w:r w:rsidRPr="00A41AB2">
                <w:rPr>
                  <w:rStyle w:val="Hyperlink"/>
                  <w:rFonts w:asciiTheme="majorBidi" w:hAnsiTheme="majorBidi" w:cstheme="majorBidi"/>
                  <w:sz w:val="20"/>
                  <w:szCs w:val="20"/>
                </w:rPr>
                <w:t>Professor Sees Parallels Between Things, Other Things</w:t>
              </w:r>
            </w:hyperlink>
            <w:r w:rsidRPr="00A41AB2">
              <w:rPr>
                <w:rFonts w:asciiTheme="majorBidi" w:hAnsiTheme="majorBidi" w:cstheme="majorBidi"/>
                <w:sz w:val="20"/>
                <w:szCs w:val="20"/>
              </w:rPr>
              <w:t xml:space="preserve">,” </w:t>
            </w:r>
            <w:r w:rsidRPr="00A41AB2">
              <w:rPr>
                <w:rFonts w:asciiTheme="majorBidi" w:hAnsiTheme="majorBidi" w:cstheme="majorBidi"/>
                <w:i/>
                <w:iCs/>
                <w:sz w:val="20"/>
                <w:szCs w:val="20"/>
              </w:rPr>
              <w:t>The Onion</w:t>
            </w:r>
            <w:r w:rsidRPr="00A41AB2">
              <w:rPr>
                <w:rFonts w:asciiTheme="majorBidi" w:hAnsiTheme="majorBidi" w:cstheme="majorBidi"/>
                <w:sz w:val="20"/>
                <w:szCs w:val="20"/>
              </w:rPr>
              <w:t xml:space="preserve"> (May 16, 2007).</w:t>
            </w:r>
          </w:p>
        </w:tc>
      </w:tr>
      <w:tr w:rsidR="00CA413E" w:rsidRPr="002D3304" w14:paraId="6A0A6B97" w14:textId="77777777" w:rsidTr="00C13634">
        <w:tc>
          <w:tcPr>
            <w:tcW w:w="1908" w:type="dxa"/>
            <w:shd w:val="clear" w:color="auto" w:fill="auto"/>
          </w:tcPr>
          <w:p w14:paraId="2BCB10DA" w14:textId="196E87D9" w:rsidR="00CA413E" w:rsidRPr="002D3304" w:rsidRDefault="00CA413E" w:rsidP="00797398">
            <w:pPr>
              <w:spacing w:before="120" w:after="120"/>
              <w:rPr>
                <w:rFonts w:asciiTheme="majorBidi" w:hAnsiTheme="majorBidi" w:cstheme="majorBidi"/>
                <w:b/>
                <w:bCs/>
              </w:rPr>
            </w:pPr>
            <w:r w:rsidRPr="002D3304">
              <w:rPr>
                <w:rFonts w:asciiTheme="majorBidi" w:hAnsiTheme="majorBidi" w:cstheme="majorBidi"/>
                <w:b/>
                <w:bCs/>
              </w:rPr>
              <w:lastRenderedPageBreak/>
              <w:t xml:space="preserve">Week 8 </w:t>
            </w:r>
            <w:r w:rsidR="00BD5256" w:rsidRPr="002D3304">
              <w:rPr>
                <w:rFonts w:asciiTheme="majorBidi" w:hAnsiTheme="majorBidi" w:cstheme="majorBidi"/>
                <w:b/>
                <w:bCs/>
              </w:rPr>
              <w:t>Mar</w:t>
            </w:r>
            <w:r w:rsidRPr="002D3304">
              <w:rPr>
                <w:rFonts w:asciiTheme="majorBidi" w:hAnsiTheme="majorBidi" w:cstheme="majorBidi"/>
                <w:b/>
                <w:bCs/>
              </w:rPr>
              <w:t xml:space="preserve">. </w:t>
            </w:r>
            <w:r w:rsidR="00797398" w:rsidRPr="002D3304">
              <w:rPr>
                <w:rFonts w:asciiTheme="majorBidi" w:hAnsiTheme="majorBidi" w:cstheme="majorBidi"/>
                <w:b/>
                <w:bCs/>
              </w:rPr>
              <w:t>12</w:t>
            </w:r>
          </w:p>
          <w:p w14:paraId="3DF8CEE6" w14:textId="7A012A45" w:rsidR="00265247" w:rsidRPr="002D3304" w:rsidRDefault="005C1041" w:rsidP="00265247">
            <w:pPr>
              <w:spacing w:before="120" w:after="120"/>
              <w:rPr>
                <w:rFonts w:asciiTheme="majorBidi" w:hAnsiTheme="majorBidi" w:cstheme="majorBidi"/>
              </w:rPr>
            </w:pPr>
            <w:r w:rsidRPr="002D3304">
              <w:rPr>
                <w:rFonts w:asciiTheme="majorBidi" w:hAnsiTheme="majorBidi" w:cstheme="majorBidi"/>
              </w:rPr>
              <w:t>Types of Comparison</w:t>
            </w:r>
          </w:p>
          <w:p w14:paraId="25785276" w14:textId="7D2014FE" w:rsidR="00C841A0" w:rsidRPr="002D3304" w:rsidRDefault="00C841A0" w:rsidP="00882E74">
            <w:pPr>
              <w:spacing w:before="120" w:after="120"/>
              <w:rPr>
                <w:rFonts w:asciiTheme="majorBidi" w:hAnsiTheme="majorBidi" w:cstheme="majorBidi"/>
                <w:b/>
                <w:bCs/>
              </w:rPr>
            </w:pPr>
          </w:p>
        </w:tc>
        <w:tc>
          <w:tcPr>
            <w:tcW w:w="6948" w:type="dxa"/>
            <w:shd w:val="clear" w:color="auto" w:fill="auto"/>
          </w:tcPr>
          <w:p w14:paraId="1D92A9B3" w14:textId="5CDFE2F3" w:rsidR="0087269F" w:rsidRPr="00A41AB2" w:rsidRDefault="0087269F" w:rsidP="00364013">
            <w:pPr>
              <w:spacing w:before="120"/>
              <w:ind w:left="432" w:hanging="432"/>
              <w:rPr>
                <w:rFonts w:asciiTheme="majorBidi" w:hAnsiTheme="majorBidi" w:cstheme="majorBidi"/>
                <w:sz w:val="22"/>
                <w:szCs w:val="22"/>
              </w:rPr>
            </w:pPr>
            <w:r w:rsidRPr="00A41AB2">
              <w:rPr>
                <w:rFonts w:asciiTheme="majorBidi" w:hAnsiTheme="majorBidi" w:cstheme="majorBidi"/>
                <w:sz w:val="22"/>
                <w:szCs w:val="22"/>
              </w:rPr>
              <w:t xml:space="preserve">Theda Skocpol, </w:t>
            </w:r>
            <w:r w:rsidRPr="00A41AB2">
              <w:rPr>
                <w:rFonts w:asciiTheme="majorBidi" w:hAnsiTheme="majorBidi" w:cstheme="majorBidi"/>
                <w:i/>
                <w:iCs/>
                <w:sz w:val="22"/>
                <w:szCs w:val="22"/>
              </w:rPr>
              <w:t>States and Social Revolutions: A Comparative Analysis of France, Russia, and China</w:t>
            </w:r>
            <w:r w:rsidRPr="00A41AB2">
              <w:rPr>
                <w:rFonts w:asciiTheme="majorBidi" w:hAnsiTheme="majorBidi" w:cstheme="majorBidi"/>
                <w:sz w:val="22"/>
                <w:szCs w:val="22"/>
              </w:rPr>
              <w:t xml:space="preserve"> (New York: Cambridge University Press, 1979), selections to be announced.</w:t>
            </w:r>
          </w:p>
          <w:p w14:paraId="14AB68F1" w14:textId="77777777" w:rsidR="005C1041" w:rsidRPr="00A41AB2" w:rsidRDefault="005C1041" w:rsidP="00364013">
            <w:pPr>
              <w:ind w:left="432" w:hanging="432"/>
              <w:rPr>
                <w:rFonts w:asciiTheme="majorBidi" w:hAnsiTheme="majorBidi" w:cstheme="majorBidi"/>
                <w:sz w:val="22"/>
                <w:szCs w:val="22"/>
              </w:rPr>
            </w:pPr>
            <w:r w:rsidRPr="00A41AB2">
              <w:rPr>
                <w:rFonts w:asciiTheme="majorBidi" w:hAnsiTheme="majorBidi" w:cstheme="majorBidi"/>
                <w:sz w:val="22"/>
                <w:szCs w:val="22"/>
              </w:rPr>
              <w:t xml:space="preserve">Lange, </w:t>
            </w:r>
            <w:r w:rsidRPr="00A41AB2">
              <w:rPr>
                <w:rFonts w:asciiTheme="majorBidi" w:hAnsiTheme="majorBidi" w:cstheme="majorBidi"/>
                <w:i/>
                <w:iCs/>
                <w:sz w:val="22"/>
                <w:szCs w:val="22"/>
              </w:rPr>
              <w:t>Comparative-Historical Methods</w:t>
            </w:r>
            <w:r w:rsidRPr="00A41AB2">
              <w:rPr>
                <w:rFonts w:asciiTheme="majorBidi" w:hAnsiTheme="majorBidi" w:cstheme="majorBidi"/>
                <w:sz w:val="22"/>
                <w:szCs w:val="22"/>
              </w:rPr>
              <w:t>, 86-116.</w:t>
            </w:r>
          </w:p>
          <w:p w14:paraId="18ED3610" w14:textId="2A94785C" w:rsidR="005C1041" w:rsidRDefault="005C1041" w:rsidP="00A41AB2">
            <w:pPr>
              <w:spacing w:after="120"/>
              <w:ind w:left="432" w:hanging="432"/>
              <w:rPr>
                <w:rFonts w:asciiTheme="majorBidi" w:hAnsiTheme="majorBidi" w:cstheme="majorBidi"/>
                <w:sz w:val="22"/>
                <w:szCs w:val="22"/>
              </w:rPr>
            </w:pPr>
            <w:r w:rsidRPr="00A41AB2">
              <w:rPr>
                <w:rFonts w:asciiTheme="majorBidi" w:hAnsiTheme="majorBidi" w:cstheme="majorBidi"/>
                <w:sz w:val="22"/>
                <w:szCs w:val="22"/>
              </w:rPr>
              <w:t xml:space="preserve">James Mahoney, “Nominal, Ordinal, and Narrative Appraisal in Macrocausal Analysis,” </w:t>
            </w:r>
            <w:r w:rsidRPr="00A41AB2">
              <w:rPr>
                <w:rFonts w:asciiTheme="majorBidi" w:hAnsiTheme="majorBidi" w:cstheme="majorBidi"/>
                <w:i/>
                <w:iCs/>
                <w:sz w:val="22"/>
                <w:szCs w:val="22"/>
              </w:rPr>
              <w:t>American Journal of Sociology</w:t>
            </w:r>
            <w:r w:rsidRPr="00A41AB2">
              <w:rPr>
                <w:rFonts w:asciiTheme="majorBidi" w:hAnsiTheme="majorBidi" w:cstheme="majorBidi"/>
                <w:sz w:val="22"/>
                <w:szCs w:val="22"/>
              </w:rPr>
              <w:t xml:space="preserve"> 104, no. 4 (Jan. 1999): 1154-11</w:t>
            </w:r>
            <w:r w:rsidR="00364013" w:rsidRPr="00A41AB2">
              <w:rPr>
                <w:rFonts w:asciiTheme="majorBidi" w:hAnsiTheme="majorBidi" w:cstheme="majorBidi"/>
                <w:sz w:val="22"/>
                <w:szCs w:val="22"/>
              </w:rPr>
              <w:t>96</w:t>
            </w:r>
            <w:r w:rsidRPr="00A41AB2">
              <w:rPr>
                <w:rFonts w:asciiTheme="majorBidi" w:hAnsiTheme="majorBidi" w:cstheme="majorBidi"/>
                <w:sz w:val="22"/>
                <w:szCs w:val="22"/>
              </w:rPr>
              <w:t>.</w:t>
            </w:r>
          </w:p>
          <w:p w14:paraId="5F3FC4C6" w14:textId="77777777" w:rsidR="005C1041" w:rsidRPr="002D3304" w:rsidRDefault="005C1041" w:rsidP="005C1041">
            <w:pPr>
              <w:ind w:left="720" w:hanging="720"/>
              <w:rPr>
                <w:rFonts w:asciiTheme="majorBidi" w:hAnsiTheme="majorBidi" w:cstheme="majorBidi"/>
                <w:sz w:val="20"/>
                <w:szCs w:val="20"/>
              </w:rPr>
            </w:pPr>
            <w:r w:rsidRPr="002D3304">
              <w:rPr>
                <w:rFonts w:asciiTheme="majorBidi" w:hAnsiTheme="majorBidi" w:cstheme="majorBidi"/>
                <w:sz w:val="20"/>
                <w:szCs w:val="20"/>
                <w:u w:val="single"/>
              </w:rPr>
              <w:t>Recommended</w:t>
            </w:r>
            <w:r w:rsidRPr="002D3304">
              <w:rPr>
                <w:rFonts w:asciiTheme="majorBidi" w:hAnsiTheme="majorBidi" w:cstheme="majorBidi"/>
                <w:sz w:val="20"/>
                <w:szCs w:val="20"/>
              </w:rPr>
              <w:t>:</w:t>
            </w:r>
          </w:p>
          <w:p w14:paraId="2C6CCC47" w14:textId="77777777" w:rsidR="005C1041" w:rsidRPr="002D3304" w:rsidRDefault="005C1041" w:rsidP="005C1041">
            <w:pPr>
              <w:ind w:left="432" w:hanging="432"/>
              <w:rPr>
                <w:rFonts w:asciiTheme="majorBidi" w:hAnsiTheme="majorBidi" w:cstheme="majorBidi"/>
                <w:sz w:val="20"/>
                <w:szCs w:val="20"/>
                <w:lang w:bidi="he-IL"/>
              </w:rPr>
            </w:pPr>
            <w:r w:rsidRPr="002D3304">
              <w:rPr>
                <w:rFonts w:asciiTheme="majorBidi" w:hAnsiTheme="majorBidi" w:cstheme="majorBidi"/>
                <w:sz w:val="20"/>
                <w:szCs w:val="20"/>
                <w:lang w:bidi="he-IL"/>
              </w:rPr>
              <w:t xml:space="preserve">Charles C. Ragin, </w:t>
            </w:r>
            <w:r w:rsidRPr="002D3304">
              <w:rPr>
                <w:rFonts w:asciiTheme="majorBidi" w:hAnsiTheme="majorBidi" w:cstheme="majorBidi"/>
                <w:i/>
                <w:iCs/>
                <w:sz w:val="20"/>
                <w:szCs w:val="20"/>
                <w:lang w:bidi="he-IL"/>
              </w:rPr>
              <w:t>The Comparative Method</w:t>
            </w:r>
            <w:r w:rsidRPr="002D3304">
              <w:rPr>
                <w:rFonts w:asciiTheme="majorBidi" w:hAnsiTheme="majorBidi" w:cstheme="majorBidi"/>
                <w:sz w:val="20"/>
                <w:szCs w:val="20"/>
                <w:lang w:bidi="he-IL"/>
              </w:rPr>
              <w:t xml:space="preserve"> (Berkeley: University of California Press, 1987), especially Preface and Overview, Chapter 2, Chapter 6.</w:t>
            </w:r>
          </w:p>
          <w:p w14:paraId="01B9338C" w14:textId="64E58C4B" w:rsidR="00265247" w:rsidRPr="002D3304" w:rsidRDefault="005C1041" w:rsidP="005C1041">
            <w:pPr>
              <w:spacing w:after="120"/>
              <w:ind w:left="432" w:hanging="432"/>
              <w:rPr>
                <w:rFonts w:asciiTheme="majorBidi" w:hAnsiTheme="majorBidi" w:cstheme="majorBidi"/>
                <w:sz w:val="22"/>
                <w:szCs w:val="22"/>
              </w:rPr>
            </w:pPr>
            <w:r w:rsidRPr="002D3304">
              <w:rPr>
                <w:rFonts w:asciiTheme="majorBidi" w:hAnsiTheme="majorBidi" w:cstheme="majorBidi"/>
                <w:sz w:val="20"/>
                <w:szCs w:val="20"/>
                <w:lang w:bidi="he-IL"/>
              </w:rPr>
              <w:t xml:space="preserve">Jack Goldstone, “Methodological Issues in Comparative Macrosociology,” </w:t>
            </w:r>
            <w:r w:rsidRPr="002D3304">
              <w:rPr>
                <w:rFonts w:asciiTheme="majorBidi" w:hAnsiTheme="majorBidi" w:cstheme="majorBidi"/>
                <w:i/>
                <w:iCs/>
                <w:sz w:val="20"/>
                <w:szCs w:val="20"/>
                <w:lang w:bidi="he-IL"/>
              </w:rPr>
              <w:t>Comparative Social Research</w:t>
            </w:r>
            <w:r w:rsidRPr="002D3304">
              <w:rPr>
                <w:rFonts w:asciiTheme="majorBidi" w:hAnsiTheme="majorBidi" w:cstheme="majorBidi"/>
                <w:sz w:val="20"/>
                <w:szCs w:val="20"/>
                <w:lang w:bidi="he-IL"/>
              </w:rPr>
              <w:t xml:space="preserve"> 16 (1997): 107-120.</w:t>
            </w:r>
          </w:p>
          <w:p w14:paraId="14004958" w14:textId="63231343" w:rsidR="00797398" w:rsidRPr="00A069A0" w:rsidRDefault="00797398" w:rsidP="00797398">
            <w:pPr>
              <w:spacing w:after="120"/>
              <w:ind w:left="432" w:hanging="432"/>
              <w:jc w:val="both"/>
              <w:rPr>
                <w:rFonts w:asciiTheme="majorBidi" w:hAnsiTheme="majorBidi" w:cstheme="majorBidi"/>
                <w:caps/>
                <w:sz w:val="22"/>
                <w:szCs w:val="22"/>
              </w:rPr>
            </w:pPr>
            <w:r w:rsidRPr="00A069A0">
              <w:rPr>
                <w:rFonts w:asciiTheme="majorBidi" w:hAnsiTheme="majorBidi" w:cstheme="majorBidi"/>
                <w:b/>
                <w:bCs/>
                <w:caps/>
              </w:rPr>
              <w:t>Spring recess March 16 – 24</w:t>
            </w:r>
          </w:p>
        </w:tc>
      </w:tr>
      <w:tr w:rsidR="00CA413E" w:rsidRPr="002D3304" w14:paraId="1FC378A7" w14:textId="77777777" w:rsidTr="00C13634">
        <w:tc>
          <w:tcPr>
            <w:tcW w:w="1908" w:type="dxa"/>
            <w:shd w:val="clear" w:color="auto" w:fill="auto"/>
          </w:tcPr>
          <w:p w14:paraId="338BE36D" w14:textId="7EB897CB" w:rsidR="00CA413E" w:rsidRPr="002D3304" w:rsidRDefault="00CA413E" w:rsidP="00797398">
            <w:pPr>
              <w:spacing w:before="120" w:after="120"/>
              <w:rPr>
                <w:rFonts w:asciiTheme="majorBidi" w:hAnsiTheme="majorBidi" w:cstheme="majorBidi"/>
                <w:b/>
                <w:bCs/>
              </w:rPr>
            </w:pPr>
            <w:r w:rsidRPr="002D3304">
              <w:rPr>
                <w:rFonts w:asciiTheme="majorBidi" w:hAnsiTheme="majorBidi" w:cstheme="majorBidi"/>
                <w:b/>
                <w:bCs/>
              </w:rPr>
              <w:t xml:space="preserve">Week </w:t>
            </w:r>
            <w:r w:rsidR="00A70C4B" w:rsidRPr="002D3304">
              <w:rPr>
                <w:rFonts w:asciiTheme="majorBidi" w:hAnsiTheme="majorBidi" w:cstheme="majorBidi"/>
                <w:b/>
                <w:bCs/>
              </w:rPr>
              <w:t>9</w:t>
            </w:r>
            <w:r w:rsidRPr="002D3304">
              <w:rPr>
                <w:rFonts w:asciiTheme="majorBidi" w:hAnsiTheme="majorBidi" w:cstheme="majorBidi"/>
                <w:b/>
                <w:bCs/>
              </w:rPr>
              <w:t xml:space="preserve"> </w:t>
            </w:r>
            <w:r w:rsidR="00BD5256" w:rsidRPr="002D3304">
              <w:rPr>
                <w:rFonts w:asciiTheme="majorBidi" w:hAnsiTheme="majorBidi" w:cstheme="majorBidi"/>
                <w:b/>
                <w:bCs/>
              </w:rPr>
              <w:t>Mar</w:t>
            </w:r>
            <w:r w:rsidRPr="002D3304">
              <w:rPr>
                <w:rFonts w:asciiTheme="majorBidi" w:hAnsiTheme="majorBidi" w:cstheme="majorBidi"/>
                <w:b/>
                <w:bCs/>
              </w:rPr>
              <w:t xml:space="preserve">. </w:t>
            </w:r>
            <w:r w:rsidR="00797398" w:rsidRPr="002D3304">
              <w:rPr>
                <w:rFonts w:asciiTheme="majorBidi" w:hAnsiTheme="majorBidi" w:cstheme="majorBidi"/>
                <w:b/>
                <w:bCs/>
              </w:rPr>
              <w:t>26</w:t>
            </w:r>
          </w:p>
          <w:p w14:paraId="120DA3C6" w14:textId="52BD8186" w:rsidR="00B5324C" w:rsidRPr="002D3304" w:rsidRDefault="005867BF" w:rsidP="00C76182">
            <w:pPr>
              <w:spacing w:before="120" w:after="120"/>
              <w:rPr>
                <w:rFonts w:asciiTheme="majorBidi" w:hAnsiTheme="majorBidi" w:cstheme="majorBidi"/>
              </w:rPr>
            </w:pPr>
            <w:r w:rsidRPr="002D3304">
              <w:rPr>
                <w:rFonts w:asciiTheme="majorBidi" w:hAnsiTheme="majorBidi" w:cstheme="majorBidi"/>
              </w:rPr>
              <w:t>Critics of the Causal-Analytic (Millian) Approach</w:t>
            </w:r>
          </w:p>
        </w:tc>
        <w:tc>
          <w:tcPr>
            <w:tcW w:w="6948" w:type="dxa"/>
            <w:shd w:val="clear" w:color="auto" w:fill="auto"/>
          </w:tcPr>
          <w:p w14:paraId="5E838035" w14:textId="4EB0B787" w:rsidR="008D1C10" w:rsidRPr="00681F8C" w:rsidRDefault="008D1C10" w:rsidP="008D1C10">
            <w:pPr>
              <w:spacing w:before="120"/>
              <w:ind w:left="432" w:hanging="432"/>
              <w:rPr>
                <w:rFonts w:asciiTheme="majorBidi" w:hAnsiTheme="majorBidi" w:cstheme="majorBidi"/>
                <w:sz w:val="22"/>
                <w:szCs w:val="22"/>
              </w:rPr>
            </w:pPr>
            <w:r w:rsidRPr="00681F8C">
              <w:rPr>
                <w:rFonts w:asciiTheme="majorBidi" w:hAnsiTheme="majorBidi" w:cstheme="majorBidi"/>
                <w:b/>
                <w:bCs/>
                <w:color w:val="FF0000"/>
                <w:sz w:val="22"/>
                <w:szCs w:val="22"/>
              </w:rPr>
              <w:t xml:space="preserve">Book review due </w:t>
            </w:r>
            <w:r>
              <w:rPr>
                <w:rFonts w:asciiTheme="majorBidi" w:hAnsiTheme="majorBidi" w:cstheme="majorBidi"/>
                <w:b/>
                <w:bCs/>
                <w:color w:val="FF0000"/>
                <w:sz w:val="22"/>
                <w:szCs w:val="22"/>
              </w:rPr>
              <w:t>at 4</w:t>
            </w:r>
            <w:r w:rsidR="00BE01E4">
              <w:rPr>
                <w:rFonts w:asciiTheme="majorBidi" w:hAnsiTheme="majorBidi" w:cstheme="majorBidi"/>
                <w:b/>
                <w:bCs/>
                <w:color w:val="FF0000"/>
                <w:sz w:val="22"/>
                <w:szCs w:val="22"/>
              </w:rPr>
              <w:t>:00</w:t>
            </w:r>
            <w:r w:rsidRPr="00681F8C">
              <w:rPr>
                <w:rFonts w:asciiTheme="majorBidi" w:hAnsiTheme="majorBidi" w:cstheme="majorBidi"/>
                <w:b/>
                <w:bCs/>
                <w:color w:val="FF0000"/>
                <w:sz w:val="22"/>
                <w:szCs w:val="22"/>
              </w:rPr>
              <w:t xml:space="preserve"> </w:t>
            </w:r>
            <w:r>
              <w:rPr>
                <w:rFonts w:asciiTheme="majorBidi" w:hAnsiTheme="majorBidi" w:cstheme="majorBidi"/>
                <w:b/>
                <w:bCs/>
                <w:color w:val="FF0000"/>
                <w:sz w:val="22"/>
                <w:szCs w:val="22"/>
              </w:rPr>
              <w:t>pm</w:t>
            </w:r>
          </w:p>
          <w:p w14:paraId="06BF71D5" w14:textId="77777777" w:rsidR="005867BF" w:rsidRDefault="005867BF" w:rsidP="008D1C10">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Michael Burawoy, “Two Methods in Search of Science: Skocpol versus Trotsky,” </w:t>
            </w:r>
            <w:r w:rsidRPr="002D3304">
              <w:rPr>
                <w:rFonts w:asciiTheme="majorBidi" w:hAnsiTheme="majorBidi" w:cstheme="majorBidi"/>
                <w:i/>
                <w:iCs/>
                <w:sz w:val="22"/>
                <w:szCs w:val="22"/>
              </w:rPr>
              <w:t>Theory and Society</w:t>
            </w:r>
            <w:r w:rsidRPr="002D3304">
              <w:rPr>
                <w:rFonts w:asciiTheme="majorBidi" w:hAnsiTheme="majorBidi" w:cstheme="majorBidi"/>
                <w:sz w:val="22"/>
                <w:szCs w:val="22"/>
              </w:rPr>
              <w:t xml:space="preserve"> 18, no. 6 (Nov. 1989): 759-805.</w:t>
            </w:r>
          </w:p>
          <w:p w14:paraId="5FDC58EA" w14:textId="77777777" w:rsidR="00681F8C" w:rsidRPr="002D3304" w:rsidRDefault="00681F8C" w:rsidP="00681F8C">
            <w:pPr>
              <w:ind w:left="432" w:hanging="432"/>
              <w:rPr>
                <w:rFonts w:asciiTheme="majorBidi" w:hAnsiTheme="majorBidi" w:cstheme="majorBidi"/>
                <w:sz w:val="22"/>
                <w:szCs w:val="22"/>
              </w:rPr>
            </w:pPr>
            <w:r w:rsidRPr="002D3304">
              <w:rPr>
                <w:rFonts w:asciiTheme="majorBidi" w:hAnsiTheme="majorBidi" w:cstheme="majorBidi"/>
                <w:sz w:val="22"/>
                <w:szCs w:val="22"/>
              </w:rPr>
              <w:t xml:space="preserve">William H. Sewell, Jr., “Three Temporalities: Toward an Eventful Sociology,” in </w:t>
            </w:r>
            <w:r w:rsidRPr="002D3304">
              <w:rPr>
                <w:rFonts w:asciiTheme="majorBidi" w:hAnsiTheme="majorBidi" w:cstheme="majorBidi"/>
                <w:i/>
                <w:iCs/>
                <w:sz w:val="22"/>
                <w:szCs w:val="22"/>
              </w:rPr>
              <w:t>The Historic Turn in the Human Sciences</w:t>
            </w:r>
            <w:r w:rsidRPr="002D3304">
              <w:rPr>
                <w:rFonts w:asciiTheme="majorBidi" w:hAnsiTheme="majorBidi" w:cstheme="majorBidi"/>
                <w:sz w:val="22"/>
                <w:szCs w:val="22"/>
              </w:rPr>
              <w:t>, 245-280.</w:t>
            </w:r>
          </w:p>
          <w:p w14:paraId="42E4D56C" w14:textId="326423D5" w:rsidR="00681F8C" w:rsidRPr="002D3304" w:rsidRDefault="00681F8C" w:rsidP="00A41AB2">
            <w:pPr>
              <w:spacing w:after="120" w:line="240" w:lineRule="atLeast"/>
              <w:ind w:left="720" w:hanging="720"/>
              <w:rPr>
                <w:rFonts w:asciiTheme="majorBidi" w:hAnsiTheme="majorBidi" w:cstheme="majorBidi"/>
                <w:sz w:val="22"/>
                <w:szCs w:val="22"/>
              </w:rPr>
            </w:pPr>
            <w:r w:rsidRPr="002D3304">
              <w:rPr>
                <w:rFonts w:asciiTheme="majorBidi" w:hAnsiTheme="majorBidi" w:cstheme="majorBidi"/>
                <w:sz w:val="22"/>
                <w:szCs w:val="22"/>
              </w:rPr>
              <w:t xml:space="preserve">William H. Sewell, Jr., “Historical Events as Transformations of Structures: Inventing Revolution at the Bastille,” </w:t>
            </w:r>
            <w:r w:rsidRPr="002D3304">
              <w:rPr>
                <w:rFonts w:asciiTheme="majorBidi" w:hAnsiTheme="majorBidi" w:cstheme="majorBidi"/>
                <w:i/>
                <w:iCs/>
                <w:sz w:val="22"/>
                <w:szCs w:val="22"/>
              </w:rPr>
              <w:t>Theory and Society</w:t>
            </w:r>
            <w:r w:rsidRPr="002D3304">
              <w:rPr>
                <w:rFonts w:asciiTheme="majorBidi" w:hAnsiTheme="majorBidi" w:cstheme="majorBidi"/>
                <w:sz w:val="22"/>
                <w:szCs w:val="22"/>
              </w:rPr>
              <w:t xml:space="preserve"> 25, no. 6 (Dec. 1996): 841-881.</w:t>
            </w:r>
          </w:p>
          <w:p w14:paraId="6202570A" w14:textId="77777777" w:rsidR="005867BF" w:rsidRPr="002D3304" w:rsidRDefault="005867BF" w:rsidP="005867BF">
            <w:pPr>
              <w:ind w:left="720" w:hanging="720"/>
              <w:rPr>
                <w:rFonts w:asciiTheme="majorBidi" w:hAnsiTheme="majorBidi" w:cstheme="majorBidi"/>
                <w:sz w:val="20"/>
                <w:szCs w:val="20"/>
              </w:rPr>
            </w:pPr>
            <w:r w:rsidRPr="002D3304">
              <w:rPr>
                <w:rFonts w:asciiTheme="majorBidi" w:hAnsiTheme="majorBidi" w:cstheme="majorBidi"/>
                <w:sz w:val="20"/>
                <w:szCs w:val="20"/>
                <w:u w:val="single"/>
              </w:rPr>
              <w:t>Recommended</w:t>
            </w:r>
            <w:r w:rsidRPr="002D3304">
              <w:rPr>
                <w:rFonts w:asciiTheme="majorBidi" w:hAnsiTheme="majorBidi" w:cstheme="majorBidi"/>
                <w:sz w:val="20"/>
                <w:szCs w:val="20"/>
              </w:rPr>
              <w:t>:</w:t>
            </w:r>
          </w:p>
          <w:p w14:paraId="0ED20E7A" w14:textId="77777777" w:rsidR="005867BF" w:rsidRPr="002D3304" w:rsidRDefault="005867BF" w:rsidP="005867BF">
            <w:pPr>
              <w:ind w:left="432" w:hanging="432"/>
              <w:rPr>
                <w:rFonts w:asciiTheme="majorBidi" w:hAnsiTheme="majorBidi" w:cstheme="majorBidi"/>
                <w:sz w:val="20"/>
                <w:szCs w:val="20"/>
              </w:rPr>
            </w:pPr>
            <w:r w:rsidRPr="002D3304">
              <w:rPr>
                <w:rFonts w:asciiTheme="majorBidi" w:hAnsiTheme="majorBidi" w:cstheme="majorBidi"/>
                <w:sz w:val="20"/>
                <w:szCs w:val="20"/>
              </w:rPr>
              <w:t xml:space="preserve">George Steinmetz, “Odious Comparisons: Incommensurability, the Case Study, and ‘Small N’s’ in Sociology,” </w:t>
            </w:r>
            <w:r w:rsidRPr="002D3304">
              <w:rPr>
                <w:rFonts w:asciiTheme="majorBidi" w:hAnsiTheme="majorBidi" w:cstheme="majorBidi"/>
                <w:i/>
                <w:iCs/>
                <w:sz w:val="20"/>
                <w:szCs w:val="20"/>
              </w:rPr>
              <w:t>Sociological Theory</w:t>
            </w:r>
            <w:r w:rsidRPr="002D3304">
              <w:rPr>
                <w:rFonts w:asciiTheme="majorBidi" w:hAnsiTheme="majorBidi" w:cstheme="majorBidi"/>
                <w:sz w:val="20"/>
                <w:szCs w:val="20"/>
              </w:rPr>
              <w:t xml:space="preserve"> 22, no. 3 (Sep. 2004): 371-400.</w:t>
            </w:r>
          </w:p>
          <w:p w14:paraId="30509DD3" w14:textId="2B820AC1" w:rsidR="000973F3" w:rsidRPr="002D3304" w:rsidRDefault="005867BF" w:rsidP="00AE6F5F">
            <w:pPr>
              <w:spacing w:after="120"/>
              <w:ind w:left="432" w:hanging="432"/>
              <w:rPr>
                <w:rFonts w:asciiTheme="majorBidi" w:hAnsiTheme="majorBidi" w:cstheme="majorBidi"/>
                <w:sz w:val="22"/>
                <w:szCs w:val="22"/>
              </w:rPr>
            </w:pPr>
            <w:r w:rsidRPr="002D3304">
              <w:rPr>
                <w:rFonts w:asciiTheme="majorBidi" w:hAnsiTheme="majorBidi" w:cstheme="majorBidi"/>
                <w:sz w:val="20"/>
                <w:szCs w:val="20"/>
              </w:rPr>
              <w:t xml:space="preserve">Lange, </w:t>
            </w:r>
            <w:r w:rsidRPr="002D3304">
              <w:rPr>
                <w:rFonts w:asciiTheme="majorBidi" w:hAnsiTheme="majorBidi" w:cstheme="majorBidi"/>
                <w:i/>
                <w:iCs/>
                <w:sz w:val="20"/>
                <w:szCs w:val="20"/>
              </w:rPr>
              <w:t>Comparative-Historical Methods</w:t>
            </w:r>
            <w:r w:rsidRPr="002D3304">
              <w:rPr>
                <w:rFonts w:asciiTheme="majorBidi" w:hAnsiTheme="majorBidi" w:cstheme="majorBidi"/>
                <w:sz w:val="20"/>
                <w:szCs w:val="20"/>
              </w:rPr>
              <w:t>, 117-139.</w:t>
            </w:r>
          </w:p>
        </w:tc>
      </w:tr>
      <w:tr w:rsidR="00A70C4B" w:rsidRPr="002D3304" w14:paraId="4FD63B22" w14:textId="77777777" w:rsidTr="00C13634">
        <w:tc>
          <w:tcPr>
            <w:tcW w:w="1908" w:type="dxa"/>
            <w:shd w:val="clear" w:color="auto" w:fill="auto"/>
          </w:tcPr>
          <w:p w14:paraId="40FDD9DB" w14:textId="682564C7" w:rsidR="00A70C4B" w:rsidRPr="00681F8C" w:rsidRDefault="00A70C4B" w:rsidP="00797398">
            <w:pPr>
              <w:spacing w:before="120" w:after="120"/>
              <w:rPr>
                <w:rFonts w:asciiTheme="majorBidi" w:hAnsiTheme="majorBidi" w:cstheme="majorBidi"/>
                <w:b/>
                <w:bCs/>
              </w:rPr>
            </w:pPr>
            <w:r w:rsidRPr="00681F8C">
              <w:rPr>
                <w:rFonts w:asciiTheme="majorBidi" w:hAnsiTheme="majorBidi" w:cstheme="majorBidi"/>
                <w:b/>
                <w:bCs/>
              </w:rPr>
              <w:t xml:space="preserve">Week 10 Apr. </w:t>
            </w:r>
            <w:r w:rsidR="00797398" w:rsidRPr="00681F8C">
              <w:rPr>
                <w:rFonts w:asciiTheme="majorBidi" w:hAnsiTheme="majorBidi" w:cstheme="majorBidi"/>
                <w:b/>
                <w:bCs/>
              </w:rPr>
              <w:t>2</w:t>
            </w:r>
          </w:p>
          <w:p w14:paraId="28F85FB5" w14:textId="72304910" w:rsidR="00882E74" w:rsidRPr="00681F8C" w:rsidRDefault="00E52846" w:rsidP="00E52846">
            <w:pPr>
              <w:spacing w:before="120" w:after="120"/>
              <w:rPr>
                <w:rFonts w:asciiTheme="majorBidi" w:hAnsiTheme="majorBidi" w:cstheme="majorBidi"/>
              </w:rPr>
            </w:pPr>
            <w:r>
              <w:rPr>
                <w:rFonts w:asciiTheme="majorBidi" w:hAnsiTheme="majorBidi" w:cstheme="majorBidi"/>
              </w:rPr>
              <w:t>Two Approaches to the Comparative-Historical Sociology of Religion</w:t>
            </w:r>
          </w:p>
        </w:tc>
        <w:tc>
          <w:tcPr>
            <w:tcW w:w="6948" w:type="dxa"/>
            <w:shd w:val="clear" w:color="auto" w:fill="auto"/>
          </w:tcPr>
          <w:p w14:paraId="63A31C55" w14:textId="0382C7AB" w:rsidR="00681F8C" w:rsidRPr="00681F8C" w:rsidRDefault="00681F8C" w:rsidP="008D1C10">
            <w:pPr>
              <w:spacing w:before="120"/>
              <w:ind w:left="432" w:hanging="432"/>
              <w:rPr>
                <w:rFonts w:asciiTheme="majorBidi" w:hAnsiTheme="majorBidi" w:cstheme="majorBidi"/>
                <w:sz w:val="22"/>
                <w:szCs w:val="22"/>
              </w:rPr>
            </w:pPr>
            <w:r w:rsidRPr="00681F8C">
              <w:rPr>
                <w:rFonts w:asciiTheme="majorBidi" w:hAnsiTheme="majorBidi" w:cstheme="majorBidi"/>
                <w:sz w:val="22"/>
                <w:szCs w:val="22"/>
              </w:rPr>
              <w:t xml:space="preserve">Stephen Kalberg, “Max Weber’s Critique of Recent Comparative-Historical Sociology and a Reconstruction of His Analysis of the Rise of Confucianism in China,” in </w:t>
            </w:r>
            <w:r w:rsidRPr="00681F8C">
              <w:rPr>
                <w:rFonts w:asciiTheme="majorBidi" w:hAnsiTheme="majorBidi" w:cstheme="majorBidi"/>
                <w:i/>
                <w:iCs/>
                <w:sz w:val="22"/>
                <w:szCs w:val="22"/>
              </w:rPr>
              <w:t xml:space="preserve">Current Perspectives in Social Theory </w:t>
            </w:r>
            <w:r w:rsidRPr="00681F8C">
              <w:rPr>
                <w:rFonts w:asciiTheme="majorBidi" w:hAnsiTheme="majorBidi" w:cstheme="majorBidi"/>
                <w:sz w:val="22"/>
                <w:szCs w:val="22"/>
              </w:rPr>
              <w:t>19 (1999), ed. Jennifer M. Lehmann (Stamford: JAI Press), 207-246.</w:t>
            </w:r>
          </w:p>
          <w:p w14:paraId="37F3E5B6" w14:textId="72A2BAF9" w:rsidR="00681F8C" w:rsidRPr="00681F8C" w:rsidRDefault="00681F8C" w:rsidP="00DE5ECA">
            <w:pPr>
              <w:spacing w:after="120"/>
              <w:ind w:left="432" w:hanging="432"/>
              <w:rPr>
                <w:rFonts w:asciiTheme="majorBidi" w:hAnsiTheme="majorBidi" w:cstheme="majorBidi"/>
                <w:sz w:val="22"/>
                <w:szCs w:val="22"/>
              </w:rPr>
            </w:pPr>
            <w:r w:rsidRPr="00681F8C">
              <w:rPr>
                <w:rFonts w:asciiTheme="majorBidi" w:hAnsiTheme="majorBidi" w:cstheme="majorBidi"/>
                <w:sz w:val="22"/>
                <w:szCs w:val="22"/>
              </w:rPr>
              <w:t xml:space="preserve">Chengpang Lee and Myungsahm Suh, “State Building and Religion: Explaining the Diverged Path of Religious Change in Taiwan and South Korea, 1950–1980,” </w:t>
            </w:r>
            <w:r w:rsidRPr="00681F8C">
              <w:rPr>
                <w:rFonts w:asciiTheme="majorBidi" w:hAnsiTheme="majorBidi" w:cstheme="majorBidi"/>
                <w:i/>
                <w:iCs/>
                <w:sz w:val="22"/>
                <w:szCs w:val="22"/>
              </w:rPr>
              <w:t>American Journal of Sociology</w:t>
            </w:r>
            <w:r w:rsidRPr="00681F8C">
              <w:rPr>
                <w:rFonts w:asciiTheme="majorBidi" w:hAnsiTheme="majorBidi" w:cstheme="majorBidi"/>
                <w:sz w:val="22"/>
                <w:szCs w:val="22"/>
              </w:rPr>
              <w:t xml:space="preserve"> 123, no. 2 (Sep. 2017): 465-509.</w:t>
            </w:r>
            <w:r w:rsidR="00DE5ECA">
              <w:rPr>
                <w:rFonts w:asciiTheme="majorBidi" w:hAnsiTheme="majorBidi" w:cstheme="majorBidi"/>
                <w:sz w:val="22"/>
                <w:szCs w:val="22"/>
              </w:rPr>
              <w:t xml:space="preserve"> [</w:t>
            </w:r>
            <w:r w:rsidR="00DE5ECA" w:rsidRPr="00DE5ECA">
              <w:rPr>
                <w:rFonts w:asciiTheme="majorBidi" w:hAnsiTheme="majorBidi" w:cstheme="majorBidi"/>
                <w:sz w:val="22"/>
                <w:szCs w:val="22"/>
              </w:rPr>
              <w:t>Reinhard Bendix Student Paper Award</w:t>
            </w:r>
            <w:r w:rsidR="00DE5ECA">
              <w:rPr>
                <w:rFonts w:asciiTheme="majorBidi" w:hAnsiTheme="majorBidi" w:cstheme="majorBidi"/>
                <w:sz w:val="22"/>
                <w:szCs w:val="22"/>
              </w:rPr>
              <w:t>]</w:t>
            </w:r>
          </w:p>
          <w:p w14:paraId="5B7C6FB4" w14:textId="011EBBDB" w:rsidR="00882D17" w:rsidRPr="00681F8C" w:rsidRDefault="00882D17" w:rsidP="00681F8C">
            <w:pPr>
              <w:spacing w:line="240" w:lineRule="atLeast"/>
              <w:ind w:left="720" w:hanging="720"/>
              <w:rPr>
                <w:rFonts w:asciiTheme="majorBidi" w:hAnsiTheme="majorBidi" w:cstheme="majorBidi"/>
                <w:bCs/>
                <w:sz w:val="22"/>
                <w:szCs w:val="22"/>
              </w:rPr>
            </w:pPr>
          </w:p>
        </w:tc>
      </w:tr>
      <w:tr w:rsidR="00A70C4B" w:rsidRPr="002D3304" w14:paraId="12067B54" w14:textId="77777777" w:rsidTr="00C13634">
        <w:tc>
          <w:tcPr>
            <w:tcW w:w="1908" w:type="dxa"/>
            <w:shd w:val="clear" w:color="auto" w:fill="auto"/>
          </w:tcPr>
          <w:p w14:paraId="659B8EEF" w14:textId="4DD66CAA" w:rsidR="00A70C4B" w:rsidRPr="002D3304" w:rsidRDefault="00A70C4B" w:rsidP="00797398">
            <w:pPr>
              <w:spacing w:before="120" w:after="120"/>
              <w:rPr>
                <w:rFonts w:asciiTheme="majorBidi" w:hAnsiTheme="majorBidi" w:cstheme="majorBidi"/>
                <w:b/>
                <w:bCs/>
              </w:rPr>
            </w:pPr>
            <w:r w:rsidRPr="002D3304">
              <w:rPr>
                <w:rFonts w:asciiTheme="majorBidi" w:hAnsiTheme="majorBidi" w:cstheme="majorBidi"/>
                <w:b/>
                <w:bCs/>
              </w:rPr>
              <w:t xml:space="preserve">Week 11 Apr. </w:t>
            </w:r>
            <w:r w:rsidR="00797398" w:rsidRPr="002D3304">
              <w:rPr>
                <w:rFonts w:asciiTheme="majorBidi" w:hAnsiTheme="majorBidi" w:cstheme="majorBidi"/>
                <w:b/>
                <w:bCs/>
              </w:rPr>
              <w:t>9</w:t>
            </w:r>
          </w:p>
          <w:p w14:paraId="68A77305" w14:textId="6ED01976" w:rsidR="00882E74" w:rsidRPr="002D3304" w:rsidRDefault="00223E55" w:rsidP="00C76182">
            <w:pPr>
              <w:spacing w:before="120" w:after="120"/>
              <w:rPr>
                <w:rFonts w:asciiTheme="majorBidi" w:hAnsiTheme="majorBidi" w:cstheme="majorBidi"/>
              </w:rPr>
            </w:pPr>
            <w:r w:rsidRPr="002D3304">
              <w:rPr>
                <w:rFonts w:asciiTheme="majorBidi" w:hAnsiTheme="majorBidi" w:cstheme="majorBidi"/>
              </w:rPr>
              <w:t>Selecting Cases, Building and Testing Theory</w:t>
            </w:r>
          </w:p>
        </w:tc>
        <w:tc>
          <w:tcPr>
            <w:tcW w:w="6948" w:type="dxa"/>
            <w:shd w:val="clear" w:color="auto" w:fill="auto"/>
          </w:tcPr>
          <w:p w14:paraId="580092E4" w14:textId="77777777" w:rsidR="00223E55" w:rsidRPr="00A41AB2" w:rsidRDefault="00223E55" w:rsidP="00223E55">
            <w:pPr>
              <w:spacing w:before="120"/>
              <w:ind w:left="432" w:hanging="432"/>
              <w:rPr>
                <w:rFonts w:asciiTheme="majorBidi" w:hAnsiTheme="majorBidi" w:cstheme="majorBidi"/>
                <w:sz w:val="22"/>
                <w:szCs w:val="22"/>
              </w:rPr>
            </w:pPr>
            <w:r w:rsidRPr="00A41AB2">
              <w:rPr>
                <w:rFonts w:asciiTheme="majorBidi" w:hAnsiTheme="majorBidi" w:cstheme="majorBidi"/>
                <w:sz w:val="22"/>
                <w:szCs w:val="22"/>
              </w:rPr>
              <w:t xml:space="preserve">Lange, </w:t>
            </w:r>
            <w:r w:rsidRPr="00A41AB2">
              <w:rPr>
                <w:rFonts w:asciiTheme="majorBidi" w:hAnsiTheme="majorBidi" w:cstheme="majorBidi"/>
                <w:i/>
                <w:iCs/>
                <w:sz w:val="22"/>
                <w:szCs w:val="22"/>
              </w:rPr>
              <w:t>Comparative-Historical Methods</w:t>
            </w:r>
            <w:r w:rsidRPr="00A41AB2">
              <w:rPr>
                <w:rFonts w:asciiTheme="majorBidi" w:hAnsiTheme="majorBidi" w:cstheme="majorBidi"/>
                <w:sz w:val="22"/>
                <w:szCs w:val="22"/>
              </w:rPr>
              <w:t>, 148-174.</w:t>
            </w:r>
          </w:p>
          <w:p w14:paraId="5A9D7555" w14:textId="50A94F34" w:rsidR="002249C2" w:rsidRPr="00A41AB2" w:rsidRDefault="002249C2" w:rsidP="00223E55">
            <w:pPr>
              <w:ind w:left="432" w:hanging="432"/>
              <w:rPr>
                <w:rFonts w:asciiTheme="majorBidi" w:hAnsiTheme="majorBidi" w:cstheme="majorBidi"/>
                <w:sz w:val="22"/>
                <w:szCs w:val="22"/>
              </w:rPr>
            </w:pPr>
            <w:r w:rsidRPr="00A41AB2">
              <w:rPr>
                <w:rFonts w:asciiTheme="majorBidi" w:hAnsiTheme="majorBidi" w:cstheme="majorBidi"/>
                <w:sz w:val="22"/>
                <w:szCs w:val="22"/>
              </w:rPr>
              <w:t xml:space="preserve">Ivan Ermakoff, “Exceptional Cases: Epistemic Contributions and Normative Expectations,” </w:t>
            </w:r>
            <w:r w:rsidRPr="00A41AB2">
              <w:rPr>
                <w:rFonts w:asciiTheme="majorBidi" w:hAnsiTheme="majorBidi" w:cstheme="majorBidi"/>
                <w:i/>
                <w:iCs/>
                <w:sz w:val="22"/>
                <w:szCs w:val="22"/>
              </w:rPr>
              <w:t>Archives Européennes de Sociologie/European Journal of Sociology</w:t>
            </w:r>
            <w:r w:rsidRPr="00A41AB2">
              <w:rPr>
                <w:rFonts w:asciiTheme="majorBidi" w:hAnsiTheme="majorBidi" w:cstheme="majorBidi"/>
                <w:sz w:val="22"/>
                <w:szCs w:val="22"/>
              </w:rPr>
              <w:t xml:space="preserve"> 55, no. 2 (Aug. 2014): 223-243.</w:t>
            </w:r>
          </w:p>
          <w:p w14:paraId="66143739" w14:textId="6DA2D1A0" w:rsidR="00681F8C" w:rsidRPr="00681F8C" w:rsidRDefault="00681F8C" w:rsidP="00681F8C">
            <w:pPr>
              <w:spacing w:after="120"/>
              <w:ind w:left="432" w:hanging="432"/>
              <w:rPr>
                <w:rFonts w:asciiTheme="majorBidi" w:hAnsiTheme="majorBidi" w:cstheme="majorBidi"/>
                <w:sz w:val="22"/>
                <w:szCs w:val="22"/>
              </w:rPr>
            </w:pPr>
            <w:r w:rsidRPr="00A41AB2">
              <w:rPr>
                <w:rFonts w:asciiTheme="majorBidi" w:hAnsiTheme="majorBidi" w:cstheme="majorBidi"/>
                <w:bCs/>
                <w:sz w:val="22"/>
                <w:szCs w:val="22"/>
              </w:rPr>
              <w:t xml:space="preserve">Barry Eidlin, “Why Is There No Labor Party in the U.S.? Political Articulation and the Canadian Comparison, 1932-1948,” </w:t>
            </w:r>
            <w:r w:rsidRPr="00A41AB2">
              <w:rPr>
                <w:rFonts w:asciiTheme="majorBidi" w:hAnsiTheme="majorBidi" w:cstheme="majorBidi"/>
                <w:bCs/>
                <w:i/>
                <w:iCs/>
                <w:sz w:val="22"/>
                <w:szCs w:val="22"/>
              </w:rPr>
              <w:t>American Sociological Review</w:t>
            </w:r>
            <w:r w:rsidRPr="00A41AB2">
              <w:rPr>
                <w:rFonts w:asciiTheme="majorBidi" w:hAnsiTheme="majorBidi" w:cstheme="majorBidi"/>
                <w:bCs/>
                <w:sz w:val="22"/>
                <w:szCs w:val="22"/>
              </w:rPr>
              <w:t xml:space="preserve"> 81, no. 3 (2016): 488–516.</w:t>
            </w:r>
            <w:r w:rsidR="00DE5ECA" w:rsidRPr="00A41AB2">
              <w:rPr>
                <w:rFonts w:asciiTheme="majorBidi" w:hAnsiTheme="majorBidi" w:cstheme="majorBidi"/>
                <w:bCs/>
                <w:sz w:val="22"/>
                <w:szCs w:val="22"/>
              </w:rPr>
              <w:t xml:space="preserve"> [Charles Tilly Best Article Award]</w:t>
            </w:r>
          </w:p>
          <w:p w14:paraId="7AF487B1" w14:textId="6DC74BA9" w:rsidR="00A70C4B" w:rsidRPr="000D4045" w:rsidRDefault="00223E55" w:rsidP="000D4045">
            <w:pPr>
              <w:ind w:left="432" w:hanging="432"/>
              <w:rPr>
                <w:rFonts w:asciiTheme="majorBidi" w:hAnsiTheme="majorBidi" w:cstheme="majorBidi"/>
                <w:sz w:val="20"/>
                <w:szCs w:val="20"/>
              </w:rPr>
            </w:pPr>
            <w:r w:rsidRPr="000D4045">
              <w:rPr>
                <w:rFonts w:asciiTheme="majorBidi" w:hAnsiTheme="majorBidi" w:cstheme="majorBidi"/>
                <w:sz w:val="20"/>
                <w:szCs w:val="20"/>
                <w:u w:val="single"/>
              </w:rPr>
              <w:t>Recommended</w:t>
            </w:r>
            <w:r w:rsidRPr="000D4045">
              <w:rPr>
                <w:rFonts w:asciiTheme="majorBidi" w:hAnsiTheme="majorBidi" w:cstheme="majorBidi"/>
                <w:sz w:val="20"/>
                <w:szCs w:val="20"/>
              </w:rPr>
              <w:t xml:space="preserve">: </w:t>
            </w:r>
            <w:r w:rsidR="000D4045" w:rsidRPr="000D4045">
              <w:rPr>
                <w:rFonts w:asciiTheme="majorBidi" w:hAnsiTheme="majorBidi" w:cstheme="majorBidi"/>
                <w:sz w:val="20"/>
                <w:szCs w:val="20"/>
              </w:rPr>
              <w:t xml:space="preserve">Rebecca Jean Emigh, “The Power of Negative Thinking: The Use of Negative Case Methodology in the Development of Sociological Theory,” </w:t>
            </w:r>
            <w:r w:rsidR="000D4045" w:rsidRPr="000D4045">
              <w:rPr>
                <w:rFonts w:asciiTheme="majorBidi" w:hAnsiTheme="majorBidi" w:cstheme="majorBidi"/>
                <w:i/>
                <w:iCs/>
                <w:sz w:val="20"/>
                <w:szCs w:val="20"/>
              </w:rPr>
              <w:t>Theory and Society</w:t>
            </w:r>
            <w:r w:rsidR="000D4045" w:rsidRPr="000D4045">
              <w:rPr>
                <w:rFonts w:asciiTheme="majorBidi" w:hAnsiTheme="majorBidi" w:cstheme="majorBidi"/>
                <w:sz w:val="20"/>
                <w:szCs w:val="20"/>
              </w:rPr>
              <w:t xml:space="preserve"> 26, no. 5 (Oct. 1997): 649-684.</w:t>
            </w:r>
          </w:p>
        </w:tc>
      </w:tr>
      <w:tr w:rsidR="00A70C4B" w:rsidRPr="002D3304" w14:paraId="695788FD" w14:textId="77777777" w:rsidTr="00C13634">
        <w:tc>
          <w:tcPr>
            <w:tcW w:w="1908" w:type="dxa"/>
            <w:shd w:val="clear" w:color="auto" w:fill="auto"/>
          </w:tcPr>
          <w:p w14:paraId="1DB5F9E5" w14:textId="0B6A8BC4" w:rsidR="004C596D" w:rsidRPr="00BE01E4" w:rsidRDefault="00A70C4B" w:rsidP="007157A3">
            <w:pPr>
              <w:spacing w:before="120" w:after="120"/>
              <w:rPr>
                <w:rFonts w:asciiTheme="majorBidi" w:hAnsiTheme="majorBidi" w:cstheme="majorBidi"/>
                <w:b/>
                <w:bCs/>
                <w:sz w:val="23"/>
                <w:szCs w:val="23"/>
              </w:rPr>
            </w:pPr>
            <w:r w:rsidRPr="00BE01E4">
              <w:rPr>
                <w:rFonts w:asciiTheme="majorBidi" w:hAnsiTheme="majorBidi" w:cstheme="majorBidi"/>
                <w:b/>
                <w:bCs/>
                <w:sz w:val="23"/>
                <w:szCs w:val="23"/>
              </w:rPr>
              <w:lastRenderedPageBreak/>
              <w:t xml:space="preserve">Week </w:t>
            </w:r>
            <w:r w:rsidR="00135E1B" w:rsidRPr="00BE01E4">
              <w:rPr>
                <w:rFonts w:asciiTheme="majorBidi" w:hAnsiTheme="majorBidi" w:cstheme="majorBidi"/>
                <w:b/>
                <w:bCs/>
                <w:sz w:val="23"/>
                <w:szCs w:val="23"/>
              </w:rPr>
              <w:t>12</w:t>
            </w:r>
            <w:r w:rsidRPr="00BE01E4">
              <w:rPr>
                <w:rFonts w:asciiTheme="majorBidi" w:hAnsiTheme="majorBidi" w:cstheme="majorBidi"/>
                <w:b/>
                <w:bCs/>
                <w:sz w:val="23"/>
                <w:szCs w:val="23"/>
              </w:rPr>
              <w:t xml:space="preserve"> Apr. </w:t>
            </w:r>
            <w:r w:rsidR="00797398" w:rsidRPr="00BE01E4">
              <w:rPr>
                <w:rFonts w:asciiTheme="majorBidi" w:hAnsiTheme="majorBidi" w:cstheme="majorBidi"/>
                <w:b/>
                <w:bCs/>
                <w:sz w:val="23"/>
                <w:szCs w:val="23"/>
              </w:rPr>
              <w:t>16</w:t>
            </w:r>
          </w:p>
        </w:tc>
        <w:tc>
          <w:tcPr>
            <w:tcW w:w="6948" w:type="dxa"/>
            <w:shd w:val="clear" w:color="auto" w:fill="auto"/>
          </w:tcPr>
          <w:p w14:paraId="69407864" w14:textId="5665834C" w:rsidR="004C596D" w:rsidRPr="002D3304" w:rsidRDefault="00223E55" w:rsidP="00223E55">
            <w:pPr>
              <w:spacing w:before="120"/>
              <w:rPr>
                <w:rFonts w:asciiTheme="majorBidi" w:hAnsiTheme="majorBidi" w:cstheme="majorBidi"/>
                <w:sz w:val="20"/>
                <w:szCs w:val="20"/>
              </w:rPr>
            </w:pPr>
            <w:r w:rsidRPr="002D3304">
              <w:rPr>
                <w:rFonts w:asciiTheme="majorBidi" w:hAnsiTheme="majorBidi" w:cstheme="majorBidi"/>
                <w:sz w:val="22"/>
                <w:szCs w:val="22"/>
              </w:rPr>
              <w:t>Discussion of your research proposals (</w:t>
            </w:r>
            <w:r w:rsidR="00D55FDE">
              <w:rPr>
                <w:rFonts w:asciiTheme="majorBidi" w:hAnsiTheme="majorBidi" w:cstheme="majorBidi"/>
                <w:sz w:val="22"/>
                <w:szCs w:val="22"/>
              </w:rPr>
              <w:t>with</w:t>
            </w:r>
            <w:r w:rsidRPr="002D3304">
              <w:rPr>
                <w:rFonts w:asciiTheme="majorBidi" w:hAnsiTheme="majorBidi" w:cstheme="majorBidi"/>
                <w:sz w:val="22"/>
                <w:szCs w:val="22"/>
              </w:rPr>
              <w:t xml:space="preserve"> pizza)</w:t>
            </w:r>
          </w:p>
        </w:tc>
      </w:tr>
      <w:tr w:rsidR="00A70C4B" w:rsidRPr="002D3304" w14:paraId="211D2308" w14:textId="77777777" w:rsidTr="00C13634">
        <w:tc>
          <w:tcPr>
            <w:tcW w:w="1908" w:type="dxa"/>
            <w:shd w:val="clear" w:color="auto" w:fill="auto"/>
          </w:tcPr>
          <w:p w14:paraId="5E2F4AFE" w14:textId="69BF46A5" w:rsidR="00A70C4B" w:rsidRPr="00BE01E4" w:rsidRDefault="00A70C4B" w:rsidP="00797398">
            <w:pPr>
              <w:spacing w:before="120" w:after="120"/>
              <w:rPr>
                <w:rFonts w:asciiTheme="majorBidi" w:hAnsiTheme="majorBidi" w:cstheme="majorBidi"/>
                <w:b/>
                <w:bCs/>
                <w:sz w:val="23"/>
                <w:szCs w:val="23"/>
              </w:rPr>
            </w:pPr>
            <w:r w:rsidRPr="00BE01E4">
              <w:rPr>
                <w:rFonts w:asciiTheme="majorBidi" w:hAnsiTheme="majorBidi" w:cstheme="majorBidi"/>
                <w:b/>
                <w:bCs/>
                <w:sz w:val="23"/>
                <w:szCs w:val="23"/>
              </w:rPr>
              <w:t xml:space="preserve">Week </w:t>
            </w:r>
            <w:r w:rsidR="00135E1B" w:rsidRPr="00BE01E4">
              <w:rPr>
                <w:rFonts w:asciiTheme="majorBidi" w:hAnsiTheme="majorBidi" w:cstheme="majorBidi"/>
                <w:b/>
                <w:bCs/>
                <w:sz w:val="23"/>
                <w:szCs w:val="23"/>
              </w:rPr>
              <w:t>13</w:t>
            </w:r>
            <w:r w:rsidRPr="00BE01E4">
              <w:rPr>
                <w:rFonts w:asciiTheme="majorBidi" w:hAnsiTheme="majorBidi" w:cstheme="majorBidi"/>
                <w:b/>
                <w:bCs/>
                <w:sz w:val="23"/>
                <w:szCs w:val="23"/>
              </w:rPr>
              <w:t xml:space="preserve"> Apr. </w:t>
            </w:r>
            <w:r w:rsidR="00797398" w:rsidRPr="00BE01E4">
              <w:rPr>
                <w:rFonts w:asciiTheme="majorBidi" w:hAnsiTheme="majorBidi" w:cstheme="majorBidi"/>
                <w:b/>
                <w:bCs/>
                <w:sz w:val="23"/>
                <w:szCs w:val="23"/>
              </w:rPr>
              <w:t>23</w:t>
            </w:r>
          </w:p>
        </w:tc>
        <w:tc>
          <w:tcPr>
            <w:tcW w:w="6948" w:type="dxa"/>
            <w:shd w:val="clear" w:color="auto" w:fill="auto"/>
          </w:tcPr>
          <w:p w14:paraId="575CE07E" w14:textId="2D020C8D" w:rsidR="00A70C4B" w:rsidRPr="00AE1198" w:rsidRDefault="00223E55" w:rsidP="00BE01E4">
            <w:pPr>
              <w:spacing w:before="120"/>
              <w:rPr>
                <w:rFonts w:asciiTheme="majorBidi" w:hAnsiTheme="majorBidi" w:cstheme="majorBidi"/>
                <w:b/>
                <w:bCs/>
                <w:sz w:val="22"/>
                <w:szCs w:val="22"/>
              </w:rPr>
            </w:pPr>
            <w:r w:rsidRPr="00AE1198">
              <w:rPr>
                <w:rFonts w:asciiTheme="majorBidi" w:hAnsiTheme="majorBidi" w:cstheme="majorBidi"/>
                <w:b/>
                <w:bCs/>
                <w:color w:val="FF0000"/>
                <w:sz w:val="20"/>
                <w:szCs w:val="20"/>
              </w:rPr>
              <w:t>Please attend April 23</w:t>
            </w:r>
            <w:r w:rsidRPr="00AE1198">
              <w:rPr>
                <w:rFonts w:asciiTheme="majorBidi" w:hAnsiTheme="majorBidi" w:cstheme="majorBidi"/>
                <w:b/>
                <w:bCs/>
                <w:color w:val="FF0000"/>
                <w:sz w:val="20"/>
                <w:szCs w:val="20"/>
                <w:vertAlign w:val="superscript"/>
              </w:rPr>
              <w:t>rd</w:t>
            </w:r>
            <w:r w:rsidRPr="00AE1198">
              <w:rPr>
                <w:rFonts w:asciiTheme="majorBidi" w:hAnsiTheme="majorBidi" w:cstheme="majorBidi"/>
                <w:b/>
                <w:bCs/>
                <w:color w:val="FF0000"/>
                <w:sz w:val="20"/>
                <w:szCs w:val="20"/>
              </w:rPr>
              <w:t xml:space="preserve"> Havens Center lecture </w:t>
            </w:r>
            <w:r w:rsidR="007157A3" w:rsidRPr="00AE1198">
              <w:rPr>
                <w:rFonts w:asciiTheme="majorBidi" w:hAnsiTheme="majorBidi" w:cstheme="majorBidi"/>
                <w:b/>
                <w:bCs/>
                <w:color w:val="FF0000"/>
                <w:sz w:val="20"/>
                <w:szCs w:val="20"/>
              </w:rPr>
              <w:t xml:space="preserve">at 4:00 </w:t>
            </w:r>
            <w:r w:rsidR="00BE01E4">
              <w:rPr>
                <w:rFonts w:asciiTheme="majorBidi" w:hAnsiTheme="majorBidi" w:cstheme="majorBidi"/>
                <w:b/>
                <w:bCs/>
                <w:color w:val="FF0000"/>
                <w:sz w:val="20"/>
                <w:szCs w:val="20"/>
              </w:rPr>
              <w:t>pm</w:t>
            </w:r>
            <w:r w:rsidR="007157A3" w:rsidRPr="00AE1198">
              <w:rPr>
                <w:rFonts w:asciiTheme="majorBidi" w:hAnsiTheme="majorBidi" w:cstheme="majorBidi"/>
                <w:b/>
                <w:bCs/>
                <w:color w:val="FF0000"/>
                <w:sz w:val="20"/>
                <w:szCs w:val="20"/>
              </w:rPr>
              <w:t xml:space="preserve"> </w:t>
            </w:r>
            <w:r w:rsidRPr="00AE1198">
              <w:rPr>
                <w:rFonts w:asciiTheme="majorBidi" w:hAnsiTheme="majorBidi" w:cstheme="majorBidi"/>
                <w:b/>
                <w:bCs/>
                <w:color w:val="FF0000"/>
                <w:sz w:val="20"/>
                <w:szCs w:val="20"/>
              </w:rPr>
              <w:t>by sociologist Uri Ben-Eliezer, “The Nation and War, Some Reflections from Israel’s History.”</w:t>
            </w:r>
          </w:p>
        </w:tc>
      </w:tr>
      <w:tr w:rsidR="00A70C4B" w:rsidRPr="002D3304" w14:paraId="09F79766" w14:textId="77777777" w:rsidTr="00C13634">
        <w:tc>
          <w:tcPr>
            <w:tcW w:w="1908" w:type="dxa"/>
            <w:shd w:val="clear" w:color="auto" w:fill="auto"/>
          </w:tcPr>
          <w:p w14:paraId="5444A964" w14:textId="0E6AE5C3" w:rsidR="00A70C4B" w:rsidRPr="00BE01E4" w:rsidRDefault="00A70C4B" w:rsidP="00797398">
            <w:pPr>
              <w:spacing w:before="120" w:after="120"/>
              <w:rPr>
                <w:rFonts w:asciiTheme="majorBidi" w:hAnsiTheme="majorBidi" w:cstheme="majorBidi"/>
                <w:b/>
                <w:bCs/>
                <w:sz w:val="23"/>
                <w:szCs w:val="23"/>
              </w:rPr>
            </w:pPr>
            <w:r w:rsidRPr="00BE01E4">
              <w:rPr>
                <w:rFonts w:asciiTheme="majorBidi" w:hAnsiTheme="majorBidi" w:cstheme="majorBidi"/>
                <w:b/>
                <w:bCs/>
                <w:sz w:val="23"/>
                <w:szCs w:val="23"/>
              </w:rPr>
              <w:t xml:space="preserve">Week </w:t>
            </w:r>
            <w:r w:rsidR="00135E1B" w:rsidRPr="00BE01E4">
              <w:rPr>
                <w:rFonts w:asciiTheme="majorBidi" w:hAnsiTheme="majorBidi" w:cstheme="majorBidi"/>
                <w:b/>
                <w:bCs/>
                <w:sz w:val="23"/>
                <w:szCs w:val="23"/>
              </w:rPr>
              <w:t>14</w:t>
            </w:r>
            <w:r w:rsidRPr="00BE01E4">
              <w:rPr>
                <w:rFonts w:asciiTheme="majorBidi" w:hAnsiTheme="majorBidi" w:cstheme="majorBidi"/>
                <w:b/>
                <w:bCs/>
                <w:sz w:val="23"/>
                <w:szCs w:val="23"/>
              </w:rPr>
              <w:t xml:space="preserve"> </w:t>
            </w:r>
            <w:r w:rsidR="00797398" w:rsidRPr="00BE01E4">
              <w:rPr>
                <w:rFonts w:asciiTheme="majorBidi" w:hAnsiTheme="majorBidi" w:cstheme="majorBidi"/>
                <w:b/>
                <w:bCs/>
                <w:sz w:val="23"/>
                <w:szCs w:val="23"/>
              </w:rPr>
              <w:t>Apr.</w:t>
            </w:r>
            <w:r w:rsidRPr="00BE01E4">
              <w:rPr>
                <w:rFonts w:asciiTheme="majorBidi" w:hAnsiTheme="majorBidi" w:cstheme="majorBidi"/>
                <w:b/>
                <w:bCs/>
                <w:sz w:val="23"/>
                <w:szCs w:val="23"/>
              </w:rPr>
              <w:t xml:space="preserve"> </w:t>
            </w:r>
            <w:r w:rsidR="00797398" w:rsidRPr="00BE01E4">
              <w:rPr>
                <w:rFonts w:asciiTheme="majorBidi" w:hAnsiTheme="majorBidi" w:cstheme="majorBidi"/>
                <w:b/>
                <w:bCs/>
                <w:sz w:val="23"/>
                <w:szCs w:val="23"/>
              </w:rPr>
              <w:t>30</w:t>
            </w:r>
          </w:p>
        </w:tc>
        <w:tc>
          <w:tcPr>
            <w:tcW w:w="6948" w:type="dxa"/>
            <w:shd w:val="clear" w:color="auto" w:fill="auto"/>
          </w:tcPr>
          <w:p w14:paraId="27A1D5DF" w14:textId="42A85424" w:rsidR="007157A3" w:rsidRPr="002D3304" w:rsidRDefault="007157A3" w:rsidP="00AE1198">
            <w:pPr>
              <w:spacing w:before="120"/>
              <w:rPr>
                <w:rFonts w:asciiTheme="majorBidi" w:hAnsiTheme="majorBidi" w:cstheme="majorBidi"/>
                <w:sz w:val="22"/>
                <w:szCs w:val="22"/>
              </w:rPr>
            </w:pPr>
            <w:r w:rsidRPr="002D3304">
              <w:rPr>
                <w:rFonts w:asciiTheme="majorBidi" w:hAnsiTheme="majorBidi" w:cstheme="majorBidi"/>
                <w:b/>
                <w:bCs/>
                <w:color w:val="FF0000"/>
                <w:sz w:val="22"/>
                <w:szCs w:val="22"/>
              </w:rPr>
              <w:t>Response paper on Ben-Eliezer due at 4</w:t>
            </w:r>
            <w:r w:rsidR="00BE01E4">
              <w:rPr>
                <w:rFonts w:asciiTheme="majorBidi" w:hAnsiTheme="majorBidi" w:cstheme="majorBidi"/>
                <w:b/>
                <w:bCs/>
                <w:color w:val="FF0000"/>
                <w:sz w:val="22"/>
                <w:szCs w:val="22"/>
              </w:rPr>
              <w:t>:00</w:t>
            </w:r>
            <w:r w:rsidR="00AE1198">
              <w:rPr>
                <w:rFonts w:asciiTheme="majorBidi" w:hAnsiTheme="majorBidi" w:cstheme="majorBidi"/>
                <w:b/>
                <w:bCs/>
                <w:color w:val="FF0000"/>
                <w:sz w:val="22"/>
                <w:szCs w:val="22"/>
              </w:rPr>
              <w:t xml:space="preserve"> pm</w:t>
            </w:r>
          </w:p>
          <w:p w14:paraId="69234AC0" w14:textId="1E64F65F" w:rsidR="007157A3" w:rsidRPr="002D3304" w:rsidRDefault="00252CE0" w:rsidP="00A120CD">
            <w:pPr>
              <w:spacing w:after="120"/>
              <w:rPr>
                <w:rFonts w:asciiTheme="majorBidi" w:hAnsiTheme="majorBidi" w:cstheme="majorBidi"/>
                <w:sz w:val="22"/>
                <w:szCs w:val="22"/>
              </w:rPr>
            </w:pPr>
            <w:r w:rsidRPr="002D3304">
              <w:rPr>
                <w:rFonts w:asciiTheme="majorBidi" w:hAnsiTheme="majorBidi" w:cstheme="majorBidi"/>
                <w:sz w:val="22"/>
                <w:szCs w:val="22"/>
              </w:rPr>
              <w:t>Discussion of your research proposals (</w:t>
            </w:r>
            <w:r w:rsidR="00D55FDE">
              <w:rPr>
                <w:rFonts w:asciiTheme="majorBidi" w:hAnsiTheme="majorBidi" w:cstheme="majorBidi"/>
                <w:sz w:val="22"/>
                <w:szCs w:val="22"/>
              </w:rPr>
              <w:t>with</w:t>
            </w:r>
            <w:r w:rsidRPr="002D3304">
              <w:rPr>
                <w:rFonts w:asciiTheme="majorBidi" w:hAnsiTheme="majorBidi" w:cstheme="majorBidi"/>
                <w:sz w:val="22"/>
                <w:szCs w:val="22"/>
              </w:rPr>
              <w:t xml:space="preserve"> pizza)</w:t>
            </w:r>
          </w:p>
        </w:tc>
      </w:tr>
    </w:tbl>
    <w:p w14:paraId="2072DF15" w14:textId="5A83E019" w:rsidR="005C3F1F" w:rsidRPr="002D3304" w:rsidRDefault="00252CE0" w:rsidP="008D1C10">
      <w:pPr>
        <w:spacing w:before="120" w:line="240" w:lineRule="atLeast"/>
        <w:ind w:left="720" w:hanging="720"/>
        <w:rPr>
          <w:rFonts w:asciiTheme="majorBidi" w:hAnsiTheme="majorBidi" w:cstheme="majorBidi"/>
          <w:b/>
          <w:color w:val="FF0000"/>
        </w:rPr>
      </w:pPr>
      <w:r w:rsidRPr="002D3304">
        <w:rPr>
          <w:rFonts w:asciiTheme="majorBidi" w:hAnsiTheme="majorBidi" w:cstheme="majorBidi"/>
          <w:b/>
          <w:color w:val="FF0000"/>
        </w:rPr>
        <w:t>RESEARCH PROPOSALS</w:t>
      </w:r>
      <w:r w:rsidR="005C3F1F" w:rsidRPr="002D3304">
        <w:rPr>
          <w:rFonts w:asciiTheme="majorBidi" w:hAnsiTheme="majorBidi" w:cstheme="majorBidi"/>
          <w:b/>
          <w:color w:val="FF0000"/>
        </w:rPr>
        <w:t xml:space="preserve"> DUE </w:t>
      </w:r>
      <w:r w:rsidR="00963843" w:rsidRPr="002D3304">
        <w:rPr>
          <w:rFonts w:asciiTheme="majorBidi" w:hAnsiTheme="majorBidi" w:cstheme="majorBidi"/>
          <w:b/>
          <w:color w:val="FF0000"/>
        </w:rPr>
        <w:t xml:space="preserve">MAY </w:t>
      </w:r>
      <w:r w:rsidR="00797398" w:rsidRPr="002D3304">
        <w:rPr>
          <w:rFonts w:asciiTheme="majorBidi" w:hAnsiTheme="majorBidi" w:cstheme="majorBidi"/>
          <w:b/>
          <w:color w:val="FF0000"/>
        </w:rPr>
        <w:t>7</w:t>
      </w:r>
      <w:r w:rsidR="00A360C1" w:rsidRPr="002D3304">
        <w:rPr>
          <w:rFonts w:asciiTheme="majorBidi" w:hAnsiTheme="majorBidi" w:cstheme="majorBidi"/>
          <w:b/>
          <w:color w:val="FF0000"/>
        </w:rPr>
        <w:t xml:space="preserve"> AT 11:59 PM</w:t>
      </w:r>
    </w:p>
    <w:sectPr w:rsidR="005C3F1F" w:rsidRPr="002D3304" w:rsidSect="00CA21A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4AC8E" w14:textId="77777777" w:rsidR="008F5705" w:rsidRDefault="008F5705" w:rsidP="00E5242E">
      <w:r>
        <w:separator/>
      </w:r>
    </w:p>
  </w:endnote>
  <w:endnote w:type="continuationSeparator" w:id="0">
    <w:p w14:paraId="62622C56" w14:textId="77777777" w:rsidR="008F5705" w:rsidRDefault="008F5705" w:rsidP="00E52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A8F5" w14:textId="77777777" w:rsidR="00A53EFC" w:rsidRDefault="00A53EFC" w:rsidP="00E500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B0C093" w14:textId="77777777" w:rsidR="00A53EFC" w:rsidRDefault="00A53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CA5A" w14:textId="77777777" w:rsidR="00A53EFC" w:rsidRPr="00B860D1" w:rsidRDefault="00A53EFC" w:rsidP="00E5002C">
    <w:pPr>
      <w:pStyle w:val="Footer"/>
      <w:framePr w:wrap="around" w:vAnchor="text" w:hAnchor="margin" w:xAlign="center" w:y="1"/>
      <w:rPr>
        <w:rStyle w:val="PageNumber"/>
        <w:rFonts w:ascii="Times New Roman" w:hAnsi="Times New Roman" w:cs="Times New Roman"/>
      </w:rPr>
    </w:pPr>
    <w:r w:rsidRPr="00B860D1">
      <w:rPr>
        <w:rStyle w:val="PageNumber"/>
        <w:rFonts w:ascii="Times New Roman" w:hAnsi="Times New Roman" w:cs="Times New Roman"/>
      </w:rPr>
      <w:fldChar w:fldCharType="begin"/>
    </w:r>
    <w:r w:rsidRPr="00B860D1">
      <w:rPr>
        <w:rStyle w:val="PageNumber"/>
        <w:rFonts w:ascii="Times New Roman" w:hAnsi="Times New Roman" w:cs="Times New Roman"/>
      </w:rPr>
      <w:instrText xml:space="preserve">PAGE  </w:instrText>
    </w:r>
    <w:r w:rsidRPr="00B860D1">
      <w:rPr>
        <w:rStyle w:val="PageNumber"/>
        <w:rFonts w:ascii="Times New Roman" w:hAnsi="Times New Roman" w:cs="Times New Roman"/>
      </w:rPr>
      <w:fldChar w:fldCharType="separate"/>
    </w:r>
    <w:r w:rsidR="003A3089">
      <w:rPr>
        <w:rStyle w:val="PageNumber"/>
        <w:rFonts w:ascii="Times New Roman" w:hAnsi="Times New Roman" w:cs="Times New Roman"/>
        <w:noProof/>
      </w:rPr>
      <w:t>1</w:t>
    </w:r>
    <w:r w:rsidRPr="00B860D1">
      <w:rPr>
        <w:rStyle w:val="PageNumber"/>
        <w:rFonts w:ascii="Times New Roman" w:hAnsi="Times New Roman" w:cs="Times New Roman"/>
      </w:rPr>
      <w:fldChar w:fldCharType="end"/>
    </w:r>
  </w:p>
  <w:p w14:paraId="0A92471D" w14:textId="77777777" w:rsidR="00A53EFC" w:rsidRPr="00B860D1" w:rsidRDefault="00A53EF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04380" w14:textId="77777777" w:rsidR="008F5705" w:rsidRDefault="008F5705" w:rsidP="00E5242E">
      <w:r>
        <w:separator/>
      </w:r>
    </w:p>
  </w:footnote>
  <w:footnote w:type="continuationSeparator" w:id="0">
    <w:p w14:paraId="569533B0" w14:textId="77777777" w:rsidR="008F5705" w:rsidRDefault="008F5705" w:rsidP="00E52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8B9"/>
    <w:multiLevelType w:val="hybridMultilevel"/>
    <w:tmpl w:val="5656B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3DF2"/>
    <w:multiLevelType w:val="hybridMultilevel"/>
    <w:tmpl w:val="4AF62142"/>
    <w:lvl w:ilvl="0" w:tplc="ABE4BCAA">
      <w:numFmt w:val="bullet"/>
      <w:lvlText w:val="-"/>
      <w:lvlJc w:val="left"/>
      <w:pPr>
        <w:ind w:left="720" w:hanging="360"/>
      </w:pPr>
      <w:rPr>
        <w:rFonts w:ascii="Calibri" w:eastAsiaTheme="minorHAnsi" w:hAnsi="Calibri"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61950"/>
    <w:multiLevelType w:val="hybridMultilevel"/>
    <w:tmpl w:val="E3304F08"/>
    <w:lvl w:ilvl="0" w:tplc="0409000F">
      <w:start w:val="1"/>
      <w:numFmt w:val="decimal"/>
      <w:lvlText w:val="%1."/>
      <w:lvlJc w:val="left"/>
      <w:pPr>
        <w:tabs>
          <w:tab w:val="num" w:pos="720"/>
        </w:tabs>
        <w:ind w:left="720" w:hanging="360"/>
      </w:pPr>
      <w:rPr>
        <w:rFonts w:hint="default"/>
      </w:rPr>
    </w:lvl>
    <w:lvl w:ilvl="1" w:tplc="4BA86202">
      <w:numFmt w:val="bullet"/>
      <w:lvlText w:val=""/>
      <w:lvlJc w:val="left"/>
      <w:pPr>
        <w:tabs>
          <w:tab w:val="num" w:pos="1440"/>
        </w:tabs>
        <w:ind w:left="1440" w:hanging="360"/>
      </w:pPr>
      <w:rPr>
        <w:rFonts w:ascii="Symbol" w:eastAsia="Times New Roman"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C175BFB"/>
    <w:multiLevelType w:val="hybridMultilevel"/>
    <w:tmpl w:val="037C2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720"/>
    <w:rsid w:val="000029D6"/>
    <w:rsid w:val="00003A87"/>
    <w:rsid w:val="00007C74"/>
    <w:rsid w:val="00007E31"/>
    <w:rsid w:val="00010765"/>
    <w:rsid w:val="000123C9"/>
    <w:rsid w:val="0001276C"/>
    <w:rsid w:val="00015438"/>
    <w:rsid w:val="00020DE9"/>
    <w:rsid w:val="00025FDA"/>
    <w:rsid w:val="000308BA"/>
    <w:rsid w:val="000321BE"/>
    <w:rsid w:val="00042757"/>
    <w:rsid w:val="00052AE9"/>
    <w:rsid w:val="0005625C"/>
    <w:rsid w:val="00056367"/>
    <w:rsid w:val="000600AD"/>
    <w:rsid w:val="00063191"/>
    <w:rsid w:val="00065D40"/>
    <w:rsid w:val="00067B4E"/>
    <w:rsid w:val="00070F1A"/>
    <w:rsid w:val="00074BD0"/>
    <w:rsid w:val="00077763"/>
    <w:rsid w:val="00077F8B"/>
    <w:rsid w:val="00082FF8"/>
    <w:rsid w:val="00085F5B"/>
    <w:rsid w:val="00094AE5"/>
    <w:rsid w:val="000973F3"/>
    <w:rsid w:val="00097CD0"/>
    <w:rsid w:val="000A3498"/>
    <w:rsid w:val="000C52AA"/>
    <w:rsid w:val="000C5884"/>
    <w:rsid w:val="000C5EBF"/>
    <w:rsid w:val="000D4045"/>
    <w:rsid w:val="000D44EB"/>
    <w:rsid w:val="000D6440"/>
    <w:rsid w:val="000E178E"/>
    <w:rsid w:val="000E68ED"/>
    <w:rsid w:val="000F0780"/>
    <w:rsid w:val="000F36CB"/>
    <w:rsid w:val="000F54F2"/>
    <w:rsid w:val="001019C7"/>
    <w:rsid w:val="00110B4E"/>
    <w:rsid w:val="00125617"/>
    <w:rsid w:val="0012770D"/>
    <w:rsid w:val="00131CB4"/>
    <w:rsid w:val="00135910"/>
    <w:rsid w:val="00135E1B"/>
    <w:rsid w:val="00143A97"/>
    <w:rsid w:val="00144567"/>
    <w:rsid w:val="0014472C"/>
    <w:rsid w:val="0016070E"/>
    <w:rsid w:val="00161D4B"/>
    <w:rsid w:val="00164BAD"/>
    <w:rsid w:val="001712EC"/>
    <w:rsid w:val="001747F8"/>
    <w:rsid w:val="00175356"/>
    <w:rsid w:val="0017790D"/>
    <w:rsid w:val="001818BE"/>
    <w:rsid w:val="001863EB"/>
    <w:rsid w:val="00194F8D"/>
    <w:rsid w:val="001A153A"/>
    <w:rsid w:val="001A50A5"/>
    <w:rsid w:val="001B0CFD"/>
    <w:rsid w:val="001B4E72"/>
    <w:rsid w:val="001C151A"/>
    <w:rsid w:val="001C55E7"/>
    <w:rsid w:val="001C6C0C"/>
    <w:rsid w:val="001D0472"/>
    <w:rsid w:val="001D273F"/>
    <w:rsid w:val="001D36F6"/>
    <w:rsid w:val="001D7171"/>
    <w:rsid w:val="001E01F9"/>
    <w:rsid w:val="001E25A0"/>
    <w:rsid w:val="001E4E67"/>
    <w:rsid w:val="001E5734"/>
    <w:rsid w:val="001F0034"/>
    <w:rsid w:val="001F66C4"/>
    <w:rsid w:val="00206C87"/>
    <w:rsid w:val="002179D9"/>
    <w:rsid w:val="00223E55"/>
    <w:rsid w:val="002249C2"/>
    <w:rsid w:val="00224C21"/>
    <w:rsid w:val="002268F9"/>
    <w:rsid w:val="002323F3"/>
    <w:rsid w:val="00252294"/>
    <w:rsid w:val="00252CE0"/>
    <w:rsid w:val="0025505A"/>
    <w:rsid w:val="00257B90"/>
    <w:rsid w:val="00265247"/>
    <w:rsid w:val="00265AC2"/>
    <w:rsid w:val="00272F5D"/>
    <w:rsid w:val="00274713"/>
    <w:rsid w:val="002804D1"/>
    <w:rsid w:val="00285470"/>
    <w:rsid w:val="00287203"/>
    <w:rsid w:val="00292BB7"/>
    <w:rsid w:val="00293919"/>
    <w:rsid w:val="00293BAE"/>
    <w:rsid w:val="0029439D"/>
    <w:rsid w:val="00295D76"/>
    <w:rsid w:val="002967EE"/>
    <w:rsid w:val="002A5116"/>
    <w:rsid w:val="002C068A"/>
    <w:rsid w:val="002C39FE"/>
    <w:rsid w:val="002C5D9F"/>
    <w:rsid w:val="002D3304"/>
    <w:rsid w:val="002E024C"/>
    <w:rsid w:val="002F1BB7"/>
    <w:rsid w:val="002F1D5B"/>
    <w:rsid w:val="002F3099"/>
    <w:rsid w:val="002F489E"/>
    <w:rsid w:val="002F5743"/>
    <w:rsid w:val="00306FED"/>
    <w:rsid w:val="00313D58"/>
    <w:rsid w:val="00316139"/>
    <w:rsid w:val="003221B2"/>
    <w:rsid w:val="003249D7"/>
    <w:rsid w:val="0033365E"/>
    <w:rsid w:val="0033529C"/>
    <w:rsid w:val="00337070"/>
    <w:rsid w:val="00346406"/>
    <w:rsid w:val="003568A1"/>
    <w:rsid w:val="00360CFF"/>
    <w:rsid w:val="00364013"/>
    <w:rsid w:val="00371AA4"/>
    <w:rsid w:val="00375DD3"/>
    <w:rsid w:val="00380E5C"/>
    <w:rsid w:val="003813BC"/>
    <w:rsid w:val="0038225C"/>
    <w:rsid w:val="00383971"/>
    <w:rsid w:val="00386C48"/>
    <w:rsid w:val="003870A8"/>
    <w:rsid w:val="003949A1"/>
    <w:rsid w:val="00394F97"/>
    <w:rsid w:val="003A2892"/>
    <w:rsid w:val="003A3089"/>
    <w:rsid w:val="003A650C"/>
    <w:rsid w:val="003B0DD9"/>
    <w:rsid w:val="003B1501"/>
    <w:rsid w:val="003B479B"/>
    <w:rsid w:val="003C043D"/>
    <w:rsid w:val="003C5E8B"/>
    <w:rsid w:val="003D6606"/>
    <w:rsid w:val="003D6794"/>
    <w:rsid w:val="003F2FCE"/>
    <w:rsid w:val="003F6E7A"/>
    <w:rsid w:val="0040042F"/>
    <w:rsid w:val="00407F2F"/>
    <w:rsid w:val="00420E39"/>
    <w:rsid w:val="00420F30"/>
    <w:rsid w:val="0042185D"/>
    <w:rsid w:val="00423376"/>
    <w:rsid w:val="004240E3"/>
    <w:rsid w:val="004265D5"/>
    <w:rsid w:val="00433C1D"/>
    <w:rsid w:val="004347C3"/>
    <w:rsid w:val="004369D4"/>
    <w:rsid w:val="00453BA7"/>
    <w:rsid w:val="00455E52"/>
    <w:rsid w:val="00455FD6"/>
    <w:rsid w:val="0046025F"/>
    <w:rsid w:val="00462278"/>
    <w:rsid w:val="00462949"/>
    <w:rsid w:val="0046613A"/>
    <w:rsid w:val="00471A0C"/>
    <w:rsid w:val="00473E9E"/>
    <w:rsid w:val="00474FF4"/>
    <w:rsid w:val="00475371"/>
    <w:rsid w:val="00475BFD"/>
    <w:rsid w:val="00485877"/>
    <w:rsid w:val="00485955"/>
    <w:rsid w:val="00486229"/>
    <w:rsid w:val="00490772"/>
    <w:rsid w:val="00493A46"/>
    <w:rsid w:val="0049434D"/>
    <w:rsid w:val="004A2A82"/>
    <w:rsid w:val="004A3BD8"/>
    <w:rsid w:val="004A445E"/>
    <w:rsid w:val="004A4FE4"/>
    <w:rsid w:val="004B0CFA"/>
    <w:rsid w:val="004C596D"/>
    <w:rsid w:val="004D0A97"/>
    <w:rsid w:val="004D538C"/>
    <w:rsid w:val="004E42A1"/>
    <w:rsid w:val="004E45A5"/>
    <w:rsid w:val="004E7C88"/>
    <w:rsid w:val="004E7F1E"/>
    <w:rsid w:val="004F0B19"/>
    <w:rsid w:val="004F548A"/>
    <w:rsid w:val="004F5A7F"/>
    <w:rsid w:val="004F6EB9"/>
    <w:rsid w:val="00503805"/>
    <w:rsid w:val="00507E09"/>
    <w:rsid w:val="00510E08"/>
    <w:rsid w:val="00523B4A"/>
    <w:rsid w:val="00526B77"/>
    <w:rsid w:val="0053036B"/>
    <w:rsid w:val="00532CE3"/>
    <w:rsid w:val="005360EB"/>
    <w:rsid w:val="005432A4"/>
    <w:rsid w:val="00547BFB"/>
    <w:rsid w:val="00550987"/>
    <w:rsid w:val="0055383D"/>
    <w:rsid w:val="00554C70"/>
    <w:rsid w:val="00556F16"/>
    <w:rsid w:val="0056171C"/>
    <w:rsid w:val="00565875"/>
    <w:rsid w:val="00572687"/>
    <w:rsid w:val="005754A8"/>
    <w:rsid w:val="00575778"/>
    <w:rsid w:val="005823D8"/>
    <w:rsid w:val="005867BF"/>
    <w:rsid w:val="005942B7"/>
    <w:rsid w:val="005A385A"/>
    <w:rsid w:val="005A5E92"/>
    <w:rsid w:val="005B25D3"/>
    <w:rsid w:val="005B4DBB"/>
    <w:rsid w:val="005C101B"/>
    <w:rsid w:val="005C1041"/>
    <w:rsid w:val="005C3F1F"/>
    <w:rsid w:val="005C4AB2"/>
    <w:rsid w:val="005C6076"/>
    <w:rsid w:val="005C67F2"/>
    <w:rsid w:val="005D05FA"/>
    <w:rsid w:val="005D3100"/>
    <w:rsid w:val="005D3FDE"/>
    <w:rsid w:val="005D5228"/>
    <w:rsid w:val="005F12E5"/>
    <w:rsid w:val="005F1749"/>
    <w:rsid w:val="005F4546"/>
    <w:rsid w:val="005F457B"/>
    <w:rsid w:val="006114D5"/>
    <w:rsid w:val="00614070"/>
    <w:rsid w:val="006250DB"/>
    <w:rsid w:val="006266DF"/>
    <w:rsid w:val="00627069"/>
    <w:rsid w:val="00630320"/>
    <w:rsid w:val="00642B34"/>
    <w:rsid w:val="0064490D"/>
    <w:rsid w:val="006452FB"/>
    <w:rsid w:val="00646967"/>
    <w:rsid w:val="00662956"/>
    <w:rsid w:val="00681F8C"/>
    <w:rsid w:val="0068347F"/>
    <w:rsid w:val="00685B96"/>
    <w:rsid w:val="00690470"/>
    <w:rsid w:val="00691125"/>
    <w:rsid w:val="00693895"/>
    <w:rsid w:val="006960F4"/>
    <w:rsid w:val="006A6CA5"/>
    <w:rsid w:val="006A6CB5"/>
    <w:rsid w:val="006C5B16"/>
    <w:rsid w:val="006D3DC0"/>
    <w:rsid w:val="006E175A"/>
    <w:rsid w:val="006E7720"/>
    <w:rsid w:val="006F0B66"/>
    <w:rsid w:val="006F2E88"/>
    <w:rsid w:val="006F3275"/>
    <w:rsid w:val="00701AFA"/>
    <w:rsid w:val="00706A37"/>
    <w:rsid w:val="0071197A"/>
    <w:rsid w:val="00713104"/>
    <w:rsid w:val="007157A3"/>
    <w:rsid w:val="007213FA"/>
    <w:rsid w:val="00721746"/>
    <w:rsid w:val="00735659"/>
    <w:rsid w:val="00736EF6"/>
    <w:rsid w:val="00740CFB"/>
    <w:rsid w:val="007437D9"/>
    <w:rsid w:val="0074401F"/>
    <w:rsid w:val="00745294"/>
    <w:rsid w:val="007455A4"/>
    <w:rsid w:val="007540AF"/>
    <w:rsid w:val="0076160B"/>
    <w:rsid w:val="00766516"/>
    <w:rsid w:val="007748A8"/>
    <w:rsid w:val="007760B5"/>
    <w:rsid w:val="00782A26"/>
    <w:rsid w:val="00784E45"/>
    <w:rsid w:val="007855AD"/>
    <w:rsid w:val="00786048"/>
    <w:rsid w:val="0079061E"/>
    <w:rsid w:val="00795F22"/>
    <w:rsid w:val="00797398"/>
    <w:rsid w:val="007B3E20"/>
    <w:rsid w:val="007B7B22"/>
    <w:rsid w:val="007C52B5"/>
    <w:rsid w:val="007E004D"/>
    <w:rsid w:val="007E04AD"/>
    <w:rsid w:val="007E29CC"/>
    <w:rsid w:val="007E5BB4"/>
    <w:rsid w:val="007E7056"/>
    <w:rsid w:val="00803700"/>
    <w:rsid w:val="00803C4D"/>
    <w:rsid w:val="00807435"/>
    <w:rsid w:val="008101D1"/>
    <w:rsid w:val="00810FC6"/>
    <w:rsid w:val="0081238A"/>
    <w:rsid w:val="008136B1"/>
    <w:rsid w:val="0081746A"/>
    <w:rsid w:val="008179D9"/>
    <w:rsid w:val="00820126"/>
    <w:rsid w:val="008310FF"/>
    <w:rsid w:val="008336DF"/>
    <w:rsid w:val="00834B9F"/>
    <w:rsid w:val="0083533C"/>
    <w:rsid w:val="00840D1B"/>
    <w:rsid w:val="008479B6"/>
    <w:rsid w:val="00851AF6"/>
    <w:rsid w:val="00862679"/>
    <w:rsid w:val="00866DD5"/>
    <w:rsid w:val="0087269F"/>
    <w:rsid w:val="00873D2B"/>
    <w:rsid w:val="00882D17"/>
    <w:rsid w:val="00882E74"/>
    <w:rsid w:val="0088344C"/>
    <w:rsid w:val="00884BE6"/>
    <w:rsid w:val="00894D91"/>
    <w:rsid w:val="00895B2E"/>
    <w:rsid w:val="008A00CE"/>
    <w:rsid w:val="008B2E2B"/>
    <w:rsid w:val="008B4D4C"/>
    <w:rsid w:val="008C23B0"/>
    <w:rsid w:val="008C4250"/>
    <w:rsid w:val="008C69B9"/>
    <w:rsid w:val="008D1C10"/>
    <w:rsid w:val="008E38B9"/>
    <w:rsid w:val="008F0C96"/>
    <w:rsid w:val="008F26E1"/>
    <w:rsid w:val="008F5705"/>
    <w:rsid w:val="008F67DD"/>
    <w:rsid w:val="0090049B"/>
    <w:rsid w:val="0090609D"/>
    <w:rsid w:val="00907640"/>
    <w:rsid w:val="009113F5"/>
    <w:rsid w:val="00911617"/>
    <w:rsid w:val="00911DBF"/>
    <w:rsid w:val="0091289F"/>
    <w:rsid w:val="00912D0C"/>
    <w:rsid w:val="00925336"/>
    <w:rsid w:val="00932645"/>
    <w:rsid w:val="0093353A"/>
    <w:rsid w:val="00935423"/>
    <w:rsid w:val="00943C72"/>
    <w:rsid w:val="0094748E"/>
    <w:rsid w:val="009502A9"/>
    <w:rsid w:val="009504B9"/>
    <w:rsid w:val="00957BAD"/>
    <w:rsid w:val="00961A23"/>
    <w:rsid w:val="00961DCF"/>
    <w:rsid w:val="00963843"/>
    <w:rsid w:val="00970F8A"/>
    <w:rsid w:val="009723E3"/>
    <w:rsid w:val="00983746"/>
    <w:rsid w:val="00986647"/>
    <w:rsid w:val="00992381"/>
    <w:rsid w:val="00993AA4"/>
    <w:rsid w:val="00995D37"/>
    <w:rsid w:val="009975F9"/>
    <w:rsid w:val="009A1CAF"/>
    <w:rsid w:val="009A2698"/>
    <w:rsid w:val="009A7018"/>
    <w:rsid w:val="009B3834"/>
    <w:rsid w:val="009C01AD"/>
    <w:rsid w:val="009C5311"/>
    <w:rsid w:val="009D132E"/>
    <w:rsid w:val="009D1FB5"/>
    <w:rsid w:val="009D31ED"/>
    <w:rsid w:val="009D33CB"/>
    <w:rsid w:val="009D5CA7"/>
    <w:rsid w:val="009D71F9"/>
    <w:rsid w:val="009D7860"/>
    <w:rsid w:val="009F2ED5"/>
    <w:rsid w:val="00A02565"/>
    <w:rsid w:val="00A069A0"/>
    <w:rsid w:val="00A120CD"/>
    <w:rsid w:val="00A21B65"/>
    <w:rsid w:val="00A232D6"/>
    <w:rsid w:val="00A30787"/>
    <w:rsid w:val="00A32346"/>
    <w:rsid w:val="00A360C1"/>
    <w:rsid w:val="00A36938"/>
    <w:rsid w:val="00A41AB2"/>
    <w:rsid w:val="00A46701"/>
    <w:rsid w:val="00A53EFC"/>
    <w:rsid w:val="00A54553"/>
    <w:rsid w:val="00A551EB"/>
    <w:rsid w:val="00A5589E"/>
    <w:rsid w:val="00A633D4"/>
    <w:rsid w:val="00A70C4B"/>
    <w:rsid w:val="00A7151A"/>
    <w:rsid w:val="00A75DE0"/>
    <w:rsid w:val="00A81165"/>
    <w:rsid w:val="00A81BF5"/>
    <w:rsid w:val="00A83778"/>
    <w:rsid w:val="00A8509A"/>
    <w:rsid w:val="00A966B8"/>
    <w:rsid w:val="00A96BDE"/>
    <w:rsid w:val="00A97065"/>
    <w:rsid w:val="00AA0AAD"/>
    <w:rsid w:val="00AA381D"/>
    <w:rsid w:val="00AA3AD8"/>
    <w:rsid w:val="00AB11E4"/>
    <w:rsid w:val="00AC2442"/>
    <w:rsid w:val="00AC472D"/>
    <w:rsid w:val="00AD4A64"/>
    <w:rsid w:val="00AD6AC7"/>
    <w:rsid w:val="00AD6B72"/>
    <w:rsid w:val="00AE07F5"/>
    <w:rsid w:val="00AE1198"/>
    <w:rsid w:val="00AE2492"/>
    <w:rsid w:val="00AE6F5F"/>
    <w:rsid w:val="00AE76E6"/>
    <w:rsid w:val="00AF009E"/>
    <w:rsid w:val="00B028C7"/>
    <w:rsid w:val="00B03063"/>
    <w:rsid w:val="00B03BF4"/>
    <w:rsid w:val="00B054E3"/>
    <w:rsid w:val="00B07E3E"/>
    <w:rsid w:val="00B15553"/>
    <w:rsid w:val="00B1712A"/>
    <w:rsid w:val="00B2283B"/>
    <w:rsid w:val="00B23F49"/>
    <w:rsid w:val="00B25097"/>
    <w:rsid w:val="00B25CB2"/>
    <w:rsid w:val="00B32116"/>
    <w:rsid w:val="00B34638"/>
    <w:rsid w:val="00B35B00"/>
    <w:rsid w:val="00B36C9A"/>
    <w:rsid w:val="00B37607"/>
    <w:rsid w:val="00B4376B"/>
    <w:rsid w:val="00B45077"/>
    <w:rsid w:val="00B4720F"/>
    <w:rsid w:val="00B5324C"/>
    <w:rsid w:val="00B53B7E"/>
    <w:rsid w:val="00B605F3"/>
    <w:rsid w:val="00B67AD4"/>
    <w:rsid w:val="00B704DF"/>
    <w:rsid w:val="00B74900"/>
    <w:rsid w:val="00B76600"/>
    <w:rsid w:val="00B76E00"/>
    <w:rsid w:val="00B77410"/>
    <w:rsid w:val="00B85263"/>
    <w:rsid w:val="00B860D1"/>
    <w:rsid w:val="00B945B6"/>
    <w:rsid w:val="00BB0DD5"/>
    <w:rsid w:val="00BB5411"/>
    <w:rsid w:val="00BD05E8"/>
    <w:rsid w:val="00BD4FCE"/>
    <w:rsid w:val="00BD5256"/>
    <w:rsid w:val="00BD5951"/>
    <w:rsid w:val="00BD759D"/>
    <w:rsid w:val="00BE01E4"/>
    <w:rsid w:val="00BE3711"/>
    <w:rsid w:val="00BF0653"/>
    <w:rsid w:val="00BF194D"/>
    <w:rsid w:val="00BF1A66"/>
    <w:rsid w:val="00BF2395"/>
    <w:rsid w:val="00BF40F0"/>
    <w:rsid w:val="00C034B5"/>
    <w:rsid w:val="00C03C0B"/>
    <w:rsid w:val="00C0449B"/>
    <w:rsid w:val="00C06193"/>
    <w:rsid w:val="00C104D1"/>
    <w:rsid w:val="00C13634"/>
    <w:rsid w:val="00C1650A"/>
    <w:rsid w:val="00C2467F"/>
    <w:rsid w:val="00C25D8B"/>
    <w:rsid w:val="00C309F2"/>
    <w:rsid w:val="00C33E45"/>
    <w:rsid w:val="00C41602"/>
    <w:rsid w:val="00C432A7"/>
    <w:rsid w:val="00C44C49"/>
    <w:rsid w:val="00C56382"/>
    <w:rsid w:val="00C60D31"/>
    <w:rsid w:val="00C62EBA"/>
    <w:rsid w:val="00C64366"/>
    <w:rsid w:val="00C650D4"/>
    <w:rsid w:val="00C66842"/>
    <w:rsid w:val="00C7079F"/>
    <w:rsid w:val="00C725C7"/>
    <w:rsid w:val="00C76182"/>
    <w:rsid w:val="00C8142D"/>
    <w:rsid w:val="00C82177"/>
    <w:rsid w:val="00C841A0"/>
    <w:rsid w:val="00C92E67"/>
    <w:rsid w:val="00C93B00"/>
    <w:rsid w:val="00C94EC2"/>
    <w:rsid w:val="00CA21A1"/>
    <w:rsid w:val="00CA413E"/>
    <w:rsid w:val="00CA44E1"/>
    <w:rsid w:val="00CA4995"/>
    <w:rsid w:val="00CA799D"/>
    <w:rsid w:val="00CB4142"/>
    <w:rsid w:val="00CB644E"/>
    <w:rsid w:val="00CB7B4C"/>
    <w:rsid w:val="00CC30EA"/>
    <w:rsid w:val="00CC5B9B"/>
    <w:rsid w:val="00CD28A1"/>
    <w:rsid w:val="00CE0C13"/>
    <w:rsid w:val="00CF36A4"/>
    <w:rsid w:val="00CF3A34"/>
    <w:rsid w:val="00D015B5"/>
    <w:rsid w:val="00D03544"/>
    <w:rsid w:val="00D03E75"/>
    <w:rsid w:val="00D060D6"/>
    <w:rsid w:val="00D06514"/>
    <w:rsid w:val="00D106BE"/>
    <w:rsid w:val="00D116F4"/>
    <w:rsid w:val="00D118F0"/>
    <w:rsid w:val="00D11A61"/>
    <w:rsid w:val="00D13C54"/>
    <w:rsid w:val="00D154FE"/>
    <w:rsid w:val="00D2653C"/>
    <w:rsid w:val="00D30E2B"/>
    <w:rsid w:val="00D319B1"/>
    <w:rsid w:val="00D319EC"/>
    <w:rsid w:val="00D4236F"/>
    <w:rsid w:val="00D42848"/>
    <w:rsid w:val="00D52712"/>
    <w:rsid w:val="00D55FDE"/>
    <w:rsid w:val="00D56772"/>
    <w:rsid w:val="00D67269"/>
    <w:rsid w:val="00D91073"/>
    <w:rsid w:val="00D95645"/>
    <w:rsid w:val="00DA1C33"/>
    <w:rsid w:val="00DA502C"/>
    <w:rsid w:val="00DC2D45"/>
    <w:rsid w:val="00DD3AB3"/>
    <w:rsid w:val="00DD599A"/>
    <w:rsid w:val="00DE1BA7"/>
    <w:rsid w:val="00DE4360"/>
    <w:rsid w:val="00DE4A31"/>
    <w:rsid w:val="00DE5ECA"/>
    <w:rsid w:val="00DE662A"/>
    <w:rsid w:val="00DE70F6"/>
    <w:rsid w:val="00DE7C0A"/>
    <w:rsid w:val="00DF1AFF"/>
    <w:rsid w:val="00DF3C17"/>
    <w:rsid w:val="00DF408A"/>
    <w:rsid w:val="00DF63A7"/>
    <w:rsid w:val="00E00B97"/>
    <w:rsid w:val="00E04730"/>
    <w:rsid w:val="00E151A5"/>
    <w:rsid w:val="00E16D2D"/>
    <w:rsid w:val="00E23B0D"/>
    <w:rsid w:val="00E267B4"/>
    <w:rsid w:val="00E278DF"/>
    <w:rsid w:val="00E35FA8"/>
    <w:rsid w:val="00E37657"/>
    <w:rsid w:val="00E4002E"/>
    <w:rsid w:val="00E42957"/>
    <w:rsid w:val="00E4419D"/>
    <w:rsid w:val="00E44946"/>
    <w:rsid w:val="00E4702A"/>
    <w:rsid w:val="00E5002C"/>
    <w:rsid w:val="00E5242E"/>
    <w:rsid w:val="00E52846"/>
    <w:rsid w:val="00E54F97"/>
    <w:rsid w:val="00E56572"/>
    <w:rsid w:val="00E56EBB"/>
    <w:rsid w:val="00E61B36"/>
    <w:rsid w:val="00E62552"/>
    <w:rsid w:val="00E67AF4"/>
    <w:rsid w:val="00E713CD"/>
    <w:rsid w:val="00E73DB2"/>
    <w:rsid w:val="00E74DCD"/>
    <w:rsid w:val="00E75CBD"/>
    <w:rsid w:val="00E82881"/>
    <w:rsid w:val="00E86F8D"/>
    <w:rsid w:val="00E93A6F"/>
    <w:rsid w:val="00E9629C"/>
    <w:rsid w:val="00EA0CA4"/>
    <w:rsid w:val="00EA1149"/>
    <w:rsid w:val="00EA3EDA"/>
    <w:rsid w:val="00EA7BC0"/>
    <w:rsid w:val="00EB00E2"/>
    <w:rsid w:val="00EB6C55"/>
    <w:rsid w:val="00EB78E8"/>
    <w:rsid w:val="00EC3C56"/>
    <w:rsid w:val="00ED2B85"/>
    <w:rsid w:val="00ED2CC6"/>
    <w:rsid w:val="00EE54D3"/>
    <w:rsid w:val="00EF2B8E"/>
    <w:rsid w:val="00EF3E92"/>
    <w:rsid w:val="00EF7B57"/>
    <w:rsid w:val="00F01D2B"/>
    <w:rsid w:val="00F12F4E"/>
    <w:rsid w:val="00F16434"/>
    <w:rsid w:val="00F30380"/>
    <w:rsid w:val="00F34E24"/>
    <w:rsid w:val="00F44F84"/>
    <w:rsid w:val="00F478BD"/>
    <w:rsid w:val="00F57DDD"/>
    <w:rsid w:val="00F65338"/>
    <w:rsid w:val="00F678C6"/>
    <w:rsid w:val="00F70D96"/>
    <w:rsid w:val="00F95F11"/>
    <w:rsid w:val="00F961E4"/>
    <w:rsid w:val="00FB5AC0"/>
    <w:rsid w:val="00FB6876"/>
    <w:rsid w:val="00FB7740"/>
    <w:rsid w:val="00FC1FA1"/>
    <w:rsid w:val="00FD3B53"/>
    <w:rsid w:val="00FD57DC"/>
    <w:rsid w:val="00FE22A5"/>
    <w:rsid w:val="00FE57CF"/>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1BD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C69B9"/>
    <w:pPr>
      <w:keepNext/>
      <w:outlineLvl w:val="0"/>
    </w:pPr>
    <w:rPr>
      <w:rFonts w:ascii="Times New Roman" w:eastAsia="Times New Roman" w:hAnsi="Times New Roman" w:cs="Times New Roman"/>
      <w:noProof/>
      <w:szCs w:val="20"/>
    </w:rPr>
  </w:style>
  <w:style w:type="paragraph" w:styleId="Heading4">
    <w:name w:val="heading 4"/>
    <w:basedOn w:val="Normal"/>
    <w:next w:val="Normal"/>
    <w:link w:val="Heading4Char"/>
    <w:qFormat/>
    <w:rsid w:val="008C69B9"/>
    <w:pPr>
      <w:keepNext/>
      <w:ind w:left="720" w:hanging="720"/>
      <w:outlineLvl w:val="3"/>
    </w:pPr>
    <w:rPr>
      <w:rFonts w:ascii="Times New Roman" w:eastAsia="Times New Roman" w:hAnsi="Times New Roman" w:cs="Times New Roman"/>
      <w:noProof/>
      <w:szCs w:val="20"/>
      <w:u w:val="single"/>
    </w:rPr>
  </w:style>
  <w:style w:type="paragraph" w:styleId="Heading5">
    <w:name w:val="heading 5"/>
    <w:basedOn w:val="Normal"/>
    <w:next w:val="Normal"/>
    <w:link w:val="Heading5Char"/>
    <w:qFormat/>
    <w:rsid w:val="008C69B9"/>
    <w:pPr>
      <w:keepNext/>
      <w:jc w:val="right"/>
      <w:outlineLvl w:val="4"/>
    </w:pPr>
    <w:rPr>
      <w:rFonts w:ascii="Times New Roman" w:eastAsia="Times New Roman" w:hAnsi="Times New Roman" w:cs="Times New Roman"/>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A385A"/>
    <w:rPr>
      <w:i/>
    </w:rPr>
  </w:style>
  <w:style w:type="paragraph" w:styleId="BodyText3">
    <w:name w:val="Body Text 3"/>
    <w:basedOn w:val="Normal"/>
    <w:link w:val="BodyText3Char"/>
    <w:rsid w:val="00B25CB2"/>
    <w:pPr>
      <w:tabs>
        <w:tab w:val="left" w:pos="2160"/>
        <w:tab w:val="right" w:pos="9340"/>
      </w:tabs>
      <w:spacing w:line="240" w:lineRule="atLeast"/>
    </w:pPr>
    <w:rPr>
      <w:rFonts w:ascii="Garamond" w:eastAsia="Times New Roman" w:hAnsi="Garamond" w:cs="Times New Roman"/>
      <w:noProof/>
      <w:szCs w:val="20"/>
    </w:rPr>
  </w:style>
  <w:style w:type="character" w:customStyle="1" w:styleId="BodyText3Char">
    <w:name w:val="Body Text 3 Char"/>
    <w:basedOn w:val="DefaultParagraphFont"/>
    <w:link w:val="BodyText3"/>
    <w:rsid w:val="00B25CB2"/>
    <w:rPr>
      <w:rFonts w:ascii="Garamond" w:eastAsia="Times New Roman" w:hAnsi="Garamond" w:cs="Times New Roman"/>
      <w:noProof/>
      <w:szCs w:val="20"/>
    </w:rPr>
  </w:style>
  <w:style w:type="character" w:customStyle="1" w:styleId="italic1">
    <w:name w:val="italic1"/>
    <w:rsid w:val="00691125"/>
    <w:rPr>
      <w:i/>
      <w:color w:val="000000"/>
    </w:rPr>
  </w:style>
  <w:style w:type="character" w:styleId="Hyperlink">
    <w:name w:val="Hyperlink"/>
    <w:basedOn w:val="DefaultParagraphFont"/>
    <w:uiPriority w:val="99"/>
    <w:unhideWhenUsed/>
    <w:rsid w:val="00063191"/>
    <w:rPr>
      <w:color w:val="0000FF" w:themeColor="hyperlink"/>
      <w:u w:val="single"/>
    </w:rPr>
  </w:style>
  <w:style w:type="paragraph" w:styleId="Footer">
    <w:name w:val="footer"/>
    <w:basedOn w:val="Normal"/>
    <w:link w:val="FooterChar"/>
    <w:unhideWhenUsed/>
    <w:rsid w:val="00E5242E"/>
    <w:pPr>
      <w:tabs>
        <w:tab w:val="center" w:pos="4320"/>
        <w:tab w:val="right" w:pos="8640"/>
      </w:tabs>
    </w:pPr>
  </w:style>
  <w:style w:type="character" w:customStyle="1" w:styleId="FooterChar">
    <w:name w:val="Footer Char"/>
    <w:basedOn w:val="DefaultParagraphFont"/>
    <w:link w:val="Footer"/>
    <w:rsid w:val="00E5242E"/>
  </w:style>
  <w:style w:type="character" w:styleId="PageNumber">
    <w:name w:val="page number"/>
    <w:basedOn w:val="DefaultParagraphFont"/>
    <w:uiPriority w:val="99"/>
    <w:semiHidden/>
    <w:unhideWhenUsed/>
    <w:rsid w:val="00E5242E"/>
  </w:style>
  <w:style w:type="paragraph" w:styleId="BodyText">
    <w:name w:val="Body Text"/>
    <w:basedOn w:val="Normal"/>
    <w:link w:val="BodyTextChar"/>
    <w:uiPriority w:val="99"/>
    <w:unhideWhenUsed/>
    <w:rsid w:val="008C69B9"/>
    <w:pPr>
      <w:spacing w:after="120"/>
    </w:pPr>
  </w:style>
  <w:style w:type="character" w:customStyle="1" w:styleId="BodyTextChar">
    <w:name w:val="Body Text Char"/>
    <w:basedOn w:val="DefaultParagraphFont"/>
    <w:link w:val="BodyText"/>
    <w:uiPriority w:val="99"/>
    <w:rsid w:val="008C69B9"/>
  </w:style>
  <w:style w:type="character" w:customStyle="1" w:styleId="Heading1Char">
    <w:name w:val="Heading 1 Char"/>
    <w:basedOn w:val="DefaultParagraphFont"/>
    <w:link w:val="Heading1"/>
    <w:rsid w:val="008C69B9"/>
    <w:rPr>
      <w:rFonts w:ascii="Times New Roman" w:eastAsia="Times New Roman" w:hAnsi="Times New Roman" w:cs="Times New Roman"/>
      <w:noProof/>
      <w:szCs w:val="20"/>
    </w:rPr>
  </w:style>
  <w:style w:type="character" w:customStyle="1" w:styleId="Heading4Char">
    <w:name w:val="Heading 4 Char"/>
    <w:basedOn w:val="DefaultParagraphFont"/>
    <w:link w:val="Heading4"/>
    <w:rsid w:val="008C69B9"/>
    <w:rPr>
      <w:rFonts w:ascii="Times New Roman" w:eastAsia="Times New Roman" w:hAnsi="Times New Roman" w:cs="Times New Roman"/>
      <w:noProof/>
      <w:szCs w:val="20"/>
      <w:u w:val="single"/>
    </w:rPr>
  </w:style>
  <w:style w:type="character" w:customStyle="1" w:styleId="Heading5Char">
    <w:name w:val="Heading 5 Char"/>
    <w:basedOn w:val="DefaultParagraphFont"/>
    <w:link w:val="Heading5"/>
    <w:rsid w:val="008C69B9"/>
    <w:rPr>
      <w:rFonts w:ascii="Times New Roman" w:eastAsia="Times New Roman" w:hAnsi="Times New Roman" w:cs="Times New Roman"/>
      <w:noProof/>
      <w:szCs w:val="20"/>
    </w:rPr>
  </w:style>
  <w:style w:type="paragraph" w:styleId="BlockText">
    <w:name w:val="Block Text"/>
    <w:basedOn w:val="Normal"/>
    <w:rsid w:val="008C69B9"/>
    <w:pPr>
      <w:spacing w:line="240" w:lineRule="atLeast"/>
      <w:ind w:left="720" w:right="720"/>
    </w:pPr>
    <w:rPr>
      <w:rFonts w:ascii="Garamond" w:eastAsia="Times New Roman" w:hAnsi="Garamond" w:cs="Times New Roman"/>
      <w:noProof/>
      <w:color w:val="000000"/>
      <w:sz w:val="22"/>
      <w:szCs w:val="20"/>
    </w:rPr>
  </w:style>
  <w:style w:type="paragraph" w:styleId="ListParagraph">
    <w:name w:val="List Paragraph"/>
    <w:basedOn w:val="Normal"/>
    <w:uiPriority w:val="34"/>
    <w:qFormat/>
    <w:rsid w:val="004E45A5"/>
    <w:pPr>
      <w:ind w:left="720"/>
      <w:contextualSpacing/>
    </w:pPr>
  </w:style>
  <w:style w:type="paragraph" w:styleId="FootnoteText">
    <w:name w:val="footnote text"/>
    <w:basedOn w:val="Normal"/>
    <w:link w:val="FootnoteTextChar"/>
    <w:rsid w:val="00486229"/>
    <w:rPr>
      <w:rFonts w:ascii="Times New Roman" w:eastAsia="Times New Roman" w:hAnsi="Times New Roman" w:cs="Times New Roman"/>
      <w:noProof/>
      <w:szCs w:val="20"/>
    </w:rPr>
  </w:style>
  <w:style w:type="character" w:customStyle="1" w:styleId="FootnoteTextChar">
    <w:name w:val="Footnote Text Char"/>
    <w:basedOn w:val="DefaultParagraphFont"/>
    <w:link w:val="FootnoteText"/>
    <w:rsid w:val="00486229"/>
    <w:rPr>
      <w:rFonts w:ascii="Times New Roman" w:eastAsia="Times New Roman" w:hAnsi="Times New Roman" w:cs="Times New Roman"/>
      <w:noProof/>
      <w:szCs w:val="20"/>
    </w:rPr>
  </w:style>
  <w:style w:type="character" w:customStyle="1" w:styleId="pslongeditbox">
    <w:name w:val="pslongeditbox"/>
    <w:basedOn w:val="DefaultParagraphFont"/>
    <w:rsid w:val="003249D7"/>
  </w:style>
  <w:style w:type="paragraph" w:styleId="BodyTextIndent">
    <w:name w:val="Body Text Indent"/>
    <w:basedOn w:val="Normal"/>
    <w:link w:val="BodyTextIndentChar"/>
    <w:uiPriority w:val="99"/>
    <w:semiHidden/>
    <w:unhideWhenUsed/>
    <w:rsid w:val="005C6076"/>
    <w:pPr>
      <w:spacing w:after="120"/>
      <w:ind w:left="360"/>
    </w:pPr>
  </w:style>
  <w:style w:type="character" w:customStyle="1" w:styleId="BodyTextIndentChar">
    <w:name w:val="Body Text Indent Char"/>
    <w:basedOn w:val="DefaultParagraphFont"/>
    <w:link w:val="BodyTextIndent"/>
    <w:uiPriority w:val="99"/>
    <w:semiHidden/>
    <w:rsid w:val="005C6076"/>
  </w:style>
  <w:style w:type="table" w:styleId="TableGrid">
    <w:name w:val="Table Grid"/>
    <w:basedOn w:val="TableNormal"/>
    <w:uiPriority w:val="59"/>
    <w:rsid w:val="00CA4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60D1"/>
    <w:pPr>
      <w:tabs>
        <w:tab w:val="center" w:pos="4320"/>
        <w:tab w:val="right" w:pos="8640"/>
      </w:tabs>
    </w:pPr>
  </w:style>
  <w:style w:type="character" w:customStyle="1" w:styleId="HeaderChar">
    <w:name w:val="Header Char"/>
    <w:basedOn w:val="DefaultParagraphFont"/>
    <w:link w:val="Header"/>
    <w:uiPriority w:val="99"/>
    <w:rsid w:val="00B860D1"/>
  </w:style>
  <w:style w:type="paragraph" w:customStyle="1" w:styleId="p1">
    <w:name w:val="p1"/>
    <w:basedOn w:val="Normal"/>
    <w:rsid w:val="006452FB"/>
    <w:rPr>
      <w:rFonts w:ascii="Times" w:eastAsiaTheme="minorHAnsi" w:hAnsi="Times" w:cs="Times New Roman"/>
      <w:sz w:val="18"/>
      <w:szCs w:val="18"/>
      <w:lang w:bidi="he-IL"/>
    </w:rPr>
  </w:style>
  <w:style w:type="character" w:customStyle="1" w:styleId="UnresolvedMention1">
    <w:name w:val="Unresolved Mention1"/>
    <w:basedOn w:val="DefaultParagraphFont"/>
    <w:uiPriority w:val="99"/>
    <w:rsid w:val="00292BB7"/>
    <w:rPr>
      <w:color w:val="808080"/>
      <w:shd w:val="clear" w:color="auto" w:fill="E6E6E6"/>
    </w:rPr>
  </w:style>
  <w:style w:type="character" w:styleId="FollowedHyperlink">
    <w:name w:val="FollowedHyperlink"/>
    <w:basedOn w:val="DefaultParagraphFont"/>
    <w:uiPriority w:val="99"/>
    <w:semiHidden/>
    <w:unhideWhenUsed/>
    <w:rsid w:val="00DA502C"/>
    <w:rPr>
      <w:color w:val="800080" w:themeColor="followedHyperlink"/>
      <w:u w:val="single"/>
    </w:rPr>
  </w:style>
  <w:style w:type="character" w:styleId="CommentReference">
    <w:name w:val="annotation reference"/>
    <w:basedOn w:val="DefaultParagraphFont"/>
    <w:uiPriority w:val="99"/>
    <w:semiHidden/>
    <w:unhideWhenUsed/>
    <w:rsid w:val="00782A26"/>
    <w:rPr>
      <w:sz w:val="18"/>
      <w:szCs w:val="18"/>
    </w:rPr>
  </w:style>
  <w:style w:type="paragraph" w:styleId="CommentText">
    <w:name w:val="annotation text"/>
    <w:basedOn w:val="Normal"/>
    <w:link w:val="CommentTextChar"/>
    <w:uiPriority w:val="99"/>
    <w:semiHidden/>
    <w:unhideWhenUsed/>
    <w:rsid w:val="00782A26"/>
  </w:style>
  <w:style w:type="character" w:customStyle="1" w:styleId="CommentTextChar">
    <w:name w:val="Comment Text Char"/>
    <w:basedOn w:val="DefaultParagraphFont"/>
    <w:link w:val="CommentText"/>
    <w:uiPriority w:val="99"/>
    <w:semiHidden/>
    <w:rsid w:val="00782A26"/>
  </w:style>
  <w:style w:type="paragraph" w:styleId="CommentSubject">
    <w:name w:val="annotation subject"/>
    <w:basedOn w:val="CommentText"/>
    <w:next w:val="CommentText"/>
    <w:link w:val="CommentSubjectChar"/>
    <w:uiPriority w:val="99"/>
    <w:semiHidden/>
    <w:unhideWhenUsed/>
    <w:rsid w:val="00782A26"/>
    <w:rPr>
      <w:b/>
      <w:bCs/>
      <w:sz w:val="20"/>
      <w:szCs w:val="20"/>
    </w:rPr>
  </w:style>
  <w:style w:type="character" w:customStyle="1" w:styleId="CommentSubjectChar">
    <w:name w:val="Comment Subject Char"/>
    <w:basedOn w:val="CommentTextChar"/>
    <w:link w:val="CommentSubject"/>
    <w:uiPriority w:val="99"/>
    <w:semiHidden/>
    <w:rsid w:val="00782A26"/>
    <w:rPr>
      <w:b/>
      <w:bCs/>
      <w:sz w:val="20"/>
      <w:szCs w:val="20"/>
    </w:rPr>
  </w:style>
  <w:style w:type="paragraph" w:styleId="BalloonText">
    <w:name w:val="Balloon Text"/>
    <w:basedOn w:val="Normal"/>
    <w:link w:val="BalloonTextChar"/>
    <w:uiPriority w:val="99"/>
    <w:semiHidden/>
    <w:unhideWhenUsed/>
    <w:rsid w:val="00782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A26"/>
    <w:rPr>
      <w:rFonts w:ascii="Times New Roman" w:hAnsi="Times New Roman" w:cs="Times New Roman"/>
      <w:sz w:val="18"/>
      <w:szCs w:val="18"/>
    </w:rPr>
  </w:style>
  <w:style w:type="paragraph" w:styleId="Revision">
    <w:name w:val="Revision"/>
    <w:hidden/>
    <w:uiPriority w:val="99"/>
    <w:semiHidden/>
    <w:rsid w:val="00A12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194314">
      <w:bodyDiv w:val="1"/>
      <w:marLeft w:val="0"/>
      <w:marRight w:val="0"/>
      <w:marTop w:val="0"/>
      <w:marBottom w:val="0"/>
      <w:divBdr>
        <w:top w:val="none" w:sz="0" w:space="0" w:color="auto"/>
        <w:left w:val="none" w:sz="0" w:space="0" w:color="auto"/>
        <w:bottom w:val="none" w:sz="0" w:space="0" w:color="auto"/>
        <w:right w:val="none" w:sz="0" w:space="0" w:color="auto"/>
      </w:divBdr>
    </w:div>
    <w:div w:id="1412044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vens.wiscweb.wisc.edu/2019/01/17/uri-ben-eliezer-april-23-25/" TargetMode="External"/><Relationship Id="rId13" Type="http://schemas.openxmlformats.org/officeDocument/2006/relationships/hyperlink" Target="https://www.insidehighered.com/advice/2015/03/27/essay-writing-academic-book-revi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oldber@ssc.wisc.edu" TargetMode="External"/><Relationship Id="rId12" Type="http://schemas.openxmlformats.org/officeDocument/2006/relationships/hyperlink" Target="http://journals.sagepub.com/pb-assets/cmscontent/ASR/review_guidelines_comparative_historic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onion.com/professor-sees-parallels-between-things-other-things-1819569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s.asa-comparative-historical.org/awards/barrington-moore-book-awar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asanet.org/asa-communities/asa-sections/current-sections/comparative-and-historical-sociology/section-comparative-and-historical-sociology-past-award-recipients" TargetMode="External"/><Relationship Id="rId4" Type="http://schemas.openxmlformats.org/officeDocument/2006/relationships/webSettings" Target="webSettings.xml"/><Relationship Id="rId9" Type="http://schemas.openxmlformats.org/officeDocument/2006/relationships/hyperlink" Target="http://journals.sagepub.com/pb-assets/cmscontent/ASR/review_guidelines_comparative_historical.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2014-08-26T19:56:00Z</cp:lastPrinted>
  <dcterms:created xsi:type="dcterms:W3CDTF">2019-01-18T23:10:00Z</dcterms:created>
  <dcterms:modified xsi:type="dcterms:W3CDTF">2019-01-21T17:24:00Z</dcterms:modified>
</cp:coreProperties>
</file>