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jc w:val="center"/>
        <w:rPr>
          <w:rFonts w:ascii="Times New Roman Bold" w:cs="Times New Roman Bold" w:hAnsi="Times New Roman Bold" w:eastAsia="Times New Roman Bold"/>
          <w:sz w:val="36"/>
          <w:szCs w:val="36"/>
        </w:rPr>
      </w:pPr>
      <w:r>
        <w:rPr>
          <w:rFonts w:ascii="Times New Roman Bold"/>
          <w:sz w:val="36"/>
          <w:szCs w:val="36"/>
          <w:rtl w:val="0"/>
          <w:lang w:val="en-US"/>
        </w:rPr>
        <w:t>STATEMENT OF WORK</w:t>
      </w:r>
    </w:p>
    <w:p>
      <w:pPr>
        <w:pStyle w:val="Normal"/>
        <w:rPr>
          <w:rFonts w:ascii="Times New Roman Bold" w:cs="Times New Roman Bold" w:hAnsi="Times New Roman Bold" w:eastAsia="Times New Roman Bold"/>
          <w:sz w:val="36"/>
          <w:szCs w:val="36"/>
        </w:rPr>
      </w:pPr>
    </w:p>
    <w:p>
      <w:pPr>
        <w:pStyle w:val="Heading 2"/>
        <w:jc w:val="center"/>
        <w:rPr>
          <w:rFonts w:ascii="Arial Bold" w:cs="Arial Bold" w:hAnsi="Arial Bold" w:eastAsia="Arial Bold"/>
          <w:b w:val="0"/>
          <w:bCs w:val="0"/>
          <w:i w:val="0"/>
          <w:iCs w:val="0"/>
        </w:rPr>
      </w:pPr>
      <w:r>
        <w:rPr>
          <w:rFonts w:ascii="Arial Bold"/>
          <w:b w:val="0"/>
          <w:bCs w:val="0"/>
          <w:i w:val="0"/>
          <w:iCs w:val="0"/>
          <w:rtl w:val="0"/>
          <w:lang w:val="en-US"/>
        </w:rPr>
        <w:t>Streaming IDX Server in Earth Systems Grid (ESG) Node</w:t>
      </w:r>
    </w:p>
    <w:p>
      <w:pPr>
        <w:pStyle w:val="Normal"/>
        <w:rPr>
          <w:rFonts w:ascii="Arial Bold" w:cs="Arial Bold" w:hAnsi="Arial Bold" w:eastAsia="Arial Bold"/>
        </w:rPr>
      </w:pPr>
    </w:p>
    <w:p>
      <w:pPr>
        <w:pStyle w:val="Heading 3"/>
        <w:rPr>
          <w:rtl w:val="0"/>
        </w:rPr>
      </w:pPr>
      <w:r>
        <w:rPr>
          <w:rFonts w:ascii="Arial Bold" w:cs="Arial Unicode MS" w:hAnsi="Arial Unicode MS" w:eastAsia="Arial Unicode MS"/>
          <w:rtl w:val="0"/>
          <w:lang w:val="en-US"/>
        </w:rPr>
        <w:t>Required Tasks</w:t>
      </w:r>
    </w:p>
    <w:p>
      <w:pPr>
        <w:pStyle w:val="Normal"/>
        <w:rPr>
          <w:rtl w:val="0"/>
        </w:rPr>
      </w:pPr>
    </w:p>
    <w:p>
      <w:pPr>
        <w:pStyle w:val="Normal"/>
        <w:rPr>
          <w:rtl w:val="0"/>
        </w:rPr>
      </w:pPr>
      <w:r>
        <w:rPr>
          <w:rFonts w:ascii="Times New Roman" w:cs="Arial Unicode MS" w:hAnsi="Arial Unicode MS" w:eastAsia="Arial Unicode MS"/>
          <w:rtl w:val="0"/>
          <w:lang w:val="en-US"/>
        </w:rPr>
        <w:t>The subcontractor shall perform the following tasks</w:t>
      </w:r>
    </w:p>
    <w:p>
      <w:pPr>
        <w:pStyle w:val="Normal"/>
        <w:rPr>
          <w:rtl w:val="0"/>
        </w:rPr>
      </w:pPr>
    </w:p>
    <w:p>
      <w:pPr>
        <w:pStyle w:val="Heading 3"/>
        <w:rPr>
          <w:rtl w:val="0"/>
        </w:rPr>
      </w:pPr>
      <w:r>
        <w:rPr>
          <w:rFonts w:ascii="Arial Bold" w:cs="Arial Unicode MS" w:hAnsi="Arial Unicode MS" w:eastAsia="Arial Unicode MS"/>
          <w:rtl w:val="0"/>
          <w:lang w:val="en-US"/>
        </w:rPr>
        <w:t>Install ViSUS IDX server with ESG Node</w:t>
      </w:r>
    </w:p>
    <w:p>
      <w:pPr>
        <w:pStyle w:val="Normal"/>
        <w:rPr>
          <w:rtl w:val="0"/>
        </w:rPr>
      </w:pPr>
      <w:r>
        <w:rPr>
          <w:rFonts w:ascii="Times New Roman" w:cs="Arial Unicode MS" w:hAnsi="Arial Unicode MS" w:eastAsia="Arial Unicode MS"/>
          <w:rtl w:val="0"/>
          <w:lang w:val="en-US"/>
        </w:rPr>
        <w:t>Built on the hierarchical streaming IDX data format, the ViSUS server and client facilitate exploratory analysis of disparately located massive datasets. This functionality can be used as a front end that will enable climate scientists to first explore a variety of analyses, interactively varying inputs and operations until a desirable combination has been discovered, after which a traditional comprehensive analysis can be carried out across all time steps using existing climate analysis tools.</w:t>
      </w:r>
    </w:p>
    <w:p>
      <w:pPr>
        <w:pStyle w:val="Normal"/>
        <w:rPr>
          <w:rtl w:val="0"/>
        </w:rPr>
      </w:pPr>
      <w:r>
        <w:rPr>
          <w:rFonts w:ascii="Times New Roman" w:cs="Arial Unicode MS" w:hAnsi="Arial Unicode MS" w:eastAsia="Arial Unicode MS"/>
          <w:rtl w:val="0"/>
          <w:lang w:val="en-US"/>
        </w:rPr>
        <w:t>The subcontractor shall install the ViSUS server in association with an ESG node. The customized IDX server will accept requests for ESG datasets and either provide them from a cache or automatically convert them to IDX before serving. The listing and querying of available datasets shall continue to be performed using existing ESG interfaces.</w:t>
      </w:r>
    </w:p>
    <w:p>
      <w:pPr>
        <w:pStyle w:val="Normal"/>
        <w:rPr>
          <w:rtl w:val="0"/>
        </w:rPr>
      </w:pPr>
    </w:p>
    <w:p>
      <w:pPr>
        <w:pStyle w:val="Heading 3"/>
        <w:rPr>
          <w:rtl w:val="0"/>
        </w:rPr>
      </w:pPr>
      <w:r>
        <w:rPr>
          <w:rFonts w:ascii="Arial Bold" w:cs="Arial Unicode MS" w:hAnsi="Arial Unicode MS" w:eastAsia="Arial Unicode MS"/>
          <w:rtl w:val="0"/>
          <w:lang w:val="en-US"/>
        </w:rPr>
        <w:t>Provide dynamic data conversion to streaming IDX</w:t>
      </w:r>
    </w:p>
    <w:p>
      <w:pPr>
        <w:pStyle w:val="Normal"/>
        <w:rPr>
          <w:rtl w:val="0"/>
        </w:rPr>
      </w:pPr>
      <w:r>
        <w:rPr>
          <w:rFonts w:ascii="Times New Roman" w:cs="Arial Unicode MS" w:hAnsi="Arial Unicode MS" w:eastAsia="Arial Unicode MS"/>
          <w:rtl w:val="0"/>
          <w:lang w:val="en-US"/>
        </w:rPr>
        <w:t xml:space="preserve">The subcontractor shall implement dynamic data conversion from HDF5 NetCDF files to streaming IDX. When a request for a given ESGF dataset is received, the IDX server should provide the data to the client, first considering the cache to see if the dataset has already been converted. If the data is not already available as IDX, the server should instantiate an automatic conversion request for the data and </w:t>
      </w:r>
      <w:r>
        <w:rPr>
          <w:rFonts w:ascii="Times New Roman" w:cs="Arial Unicode MS" w:hAnsi="Arial Unicode MS" w:eastAsia="Arial Unicode MS"/>
          <w:rtl w:val="0"/>
        </w:rPr>
        <w:t xml:space="preserve">inform the user that a conversion is in progress. Once available, if the user is still connected a notification will be sent and the request can be fulfilled. If the user is no longer connected, the client itself can periodically request the data which will be </w:t>
      </w:r>
      <w:r>
        <w:rPr>
          <w:rFonts w:ascii="Times New Roman" w:cs="Arial Unicode MS" w:hAnsi="Arial Unicode MS" w:eastAsia="Arial Unicode MS"/>
          <w:rtl w:val="0"/>
          <w:lang w:val="en-US"/>
        </w:rPr>
        <w:t xml:space="preserve">delivered when available. The subcontractor should explore the viability of maintaining (secure?) connections with the server versus periodic re-requests from the client. </w:t>
      </w:r>
    </w:p>
    <w:p>
      <w:pPr>
        <w:pStyle w:val="Normal"/>
        <w:rPr>
          <w:rtl w:val="0"/>
        </w:rPr>
      </w:pPr>
    </w:p>
    <w:p>
      <w:pPr>
        <w:pStyle w:val="Heading 3"/>
        <w:rPr>
          <w:rtl w:val="0"/>
        </w:rPr>
      </w:pPr>
      <w:r>
        <w:rPr>
          <w:rFonts w:ascii="Arial Bold" w:cs="Arial Unicode MS" w:hAnsi="Arial Unicode MS" w:eastAsia="Arial Unicode MS"/>
          <w:rtl w:val="0"/>
          <w:lang w:val="en-US"/>
        </w:rPr>
        <w:t>Rudimentary Cache Management</w:t>
      </w:r>
    </w:p>
    <w:p>
      <w:pPr>
        <w:pStyle w:val="Normal"/>
        <w:rPr>
          <w:rtl w:val="0"/>
        </w:rPr>
      </w:pPr>
      <w:r>
        <w:rPr>
          <w:rFonts w:ascii="Times New Roman" w:cs="Arial Unicode MS" w:hAnsi="Arial Unicode MS" w:eastAsia="Arial Unicode MS"/>
          <w:rtl w:val="0"/>
          <w:lang w:val="en-US"/>
        </w:rPr>
        <w:t>The amount of space to be</w:t>
      </w:r>
      <w:r>
        <w:rPr>
          <w:rFonts w:ascii="Times New Roman" w:cs="Arial Unicode MS" w:hAnsi="Arial Unicode MS" w:eastAsia="Arial Unicode MS"/>
          <w:rtl w:val="0"/>
        </w:rPr>
        <w:t xml:space="preserve"> reserved for dynamic exploratory analysis can vary from node to node.</w:t>
      </w:r>
      <w:r>
        <w:rPr>
          <w:rFonts w:ascii="Times New Roman" w:cs="Arial Unicode MS" w:hAnsi="Arial Unicode MS" w:eastAsia="Arial Unicode MS"/>
          <w:rtl w:val="0"/>
          <w:lang w:val="en-US"/>
        </w:rPr>
        <w:t xml:space="preserve"> The subcontractor will implement simple least recently used (LRU) caching for converted data.</w:t>
      </w:r>
    </w:p>
    <w:p>
      <w:pPr>
        <w:pStyle w:val="Heading 3"/>
        <w:rPr>
          <w:rtl w:val="0"/>
        </w:rPr>
      </w:pPr>
      <w:r>
        <w:rPr>
          <w:rFonts w:ascii="Arial Bold" w:cs="Arial Unicode MS" w:hAnsi="Arial Unicode MS" w:eastAsia="Arial Unicode MS"/>
          <w:rtl w:val="0"/>
          <w:lang w:val="en-US"/>
        </w:rPr>
        <w:t>Additional work (outside scope of this SOW)</w:t>
      </w:r>
    </w:p>
    <w:p>
      <w:pPr>
        <w:pStyle w:val="Normal"/>
        <w:rPr>
          <w:rtl w:val="0"/>
        </w:rPr>
      </w:pPr>
      <w:r>
        <w:rPr>
          <w:rFonts w:ascii="Times New Roman" w:cs="Arial Unicode MS" w:hAnsi="Arial Unicode MS" w:eastAsia="Arial Unicode MS"/>
          <w:rtl w:val="0"/>
          <w:lang w:val="en-US"/>
        </w:rPr>
        <w:t>There are several additional tasks that might be useful, but fall outside the scope of this project:</w:t>
      </w:r>
    </w:p>
    <w:p>
      <w:pPr>
        <w:pStyle w:val="Normal"/>
        <w:numPr>
          <w:ilvl w:val="0"/>
          <w:numId w:val="3"/>
        </w:numPr>
        <w:tabs>
          <w:tab w:val="num" w:pos="720"/>
          <w:tab w:val="clear" w:pos="0"/>
        </w:tabs>
        <w:ind w:left="720" w:hanging="360"/>
        <w:rPr>
          <w:position w:val="0"/>
          <w:sz w:val="24"/>
          <w:szCs w:val="24"/>
          <w:rtl w:val="0"/>
        </w:rPr>
      </w:pPr>
      <w:r>
        <w:rPr>
          <w:rtl w:val="0"/>
          <w:lang w:val="en-US"/>
        </w:rPr>
        <w:t>Integrate ViSUS client with UV-CDAT or other existing climate analysis tools</w:t>
      </w:r>
    </w:p>
    <w:p>
      <w:pPr>
        <w:pStyle w:val="Normal"/>
        <w:numPr>
          <w:ilvl w:val="0"/>
          <w:numId w:val="4"/>
        </w:numPr>
        <w:tabs>
          <w:tab w:val="num" w:pos="720"/>
          <w:tab w:val="clear" w:pos="0"/>
        </w:tabs>
        <w:ind w:left="720" w:hanging="360"/>
        <w:rPr>
          <w:position w:val="0"/>
          <w:sz w:val="24"/>
          <w:szCs w:val="24"/>
          <w:rtl w:val="0"/>
        </w:rPr>
      </w:pPr>
      <w:r>
        <w:rPr>
          <w:rtl w:val="0"/>
          <w:lang w:val="en-US"/>
        </w:rPr>
        <w:t>List, search, or organize ESG datasets</w:t>
      </w:r>
    </w:p>
    <w:p>
      <w:pPr>
        <w:pStyle w:val="Normal"/>
        <w:numPr>
          <w:ilvl w:val="0"/>
          <w:numId w:val="5"/>
        </w:numPr>
        <w:tabs>
          <w:tab w:val="num" w:pos="720"/>
          <w:tab w:val="clear" w:pos="0"/>
        </w:tabs>
        <w:ind w:left="720" w:hanging="360"/>
        <w:rPr>
          <w:position w:val="0"/>
          <w:sz w:val="24"/>
          <w:szCs w:val="24"/>
          <w:rtl w:val="0"/>
        </w:rPr>
      </w:pPr>
      <w:r>
        <w:rPr>
          <w:rtl w:val="0"/>
          <w:lang w:val="en-US"/>
        </w:rPr>
        <w:t>Provide a client interface to facilitate analysis</w:t>
      </w:r>
    </w:p>
    <w:p>
      <w:pPr>
        <w:pStyle w:val="Normal"/>
        <w:numPr>
          <w:ilvl w:val="0"/>
          <w:numId w:val="6"/>
        </w:numPr>
        <w:tabs>
          <w:tab w:val="num" w:pos="720"/>
          <w:tab w:val="clear" w:pos="0"/>
        </w:tabs>
        <w:ind w:left="720" w:hanging="360"/>
        <w:rPr>
          <w:position w:val="0"/>
          <w:sz w:val="24"/>
          <w:szCs w:val="24"/>
          <w:rtl w:val="0"/>
        </w:rPr>
      </w:pPr>
      <w:r>
        <w:rPr>
          <w:rtl w:val="0"/>
          <w:lang w:val="en-US"/>
        </w:rPr>
        <w:t>Explicitly determine hierarchies of datasets to be combined, e.g. by combining datasets from server A and B using server C, then combining the result with data from server D using the client.</w:t>
      </w:r>
    </w:p>
    <w:p>
      <w:pPr>
        <w:pStyle w:val="Normal"/>
        <w:numPr>
          <w:ilvl w:val="0"/>
          <w:numId w:val="7"/>
        </w:numPr>
        <w:tabs>
          <w:tab w:val="num" w:pos="720"/>
          <w:tab w:val="clear" w:pos="0"/>
        </w:tabs>
        <w:ind w:left="720" w:hanging="360"/>
        <w:rPr>
          <w:position w:val="0"/>
          <w:sz w:val="24"/>
          <w:szCs w:val="24"/>
        </w:rPr>
      </w:pPr>
      <w:r>
        <w:rPr>
          <w:rtl w:val="0"/>
          <w:lang w:val="en-US"/>
        </w:rPr>
        <w:t>Finalize (i.e. polish) integration of the ViSUS server with the ESG node installation</w:t>
      </w:r>
      <w:r>
        <w:rPr>
          <w:rtl w:val="0"/>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Bold">
    <w:charset w:val="00"/>
    <w:family w:val="roman"/>
    <w:pitch w:val="default"/>
  </w:font>
  <w:font w:name="Times New Roman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3">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4">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5">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6">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
    <w:pPr>
      <w:keepNext w:val="1"/>
      <w:keepLines w:val="0"/>
      <w:pageBreakBefore w:val="0"/>
      <w:widowControl w:val="1"/>
      <w:shd w:val="clear" w:color="auto" w:fill="auto"/>
      <w:suppressAutoHyphens w:val="0"/>
      <w:bidi w:val="0"/>
      <w:spacing w:before="240" w:after="60" w:line="240" w:lineRule="auto"/>
      <w:ind w:left="0" w:right="0" w:firstLine="0"/>
      <w:jc w:val="left"/>
      <w:outlineLvl w:val="0"/>
    </w:pPr>
    <w:rPr>
      <w:rFonts w:ascii="Arial Bold" w:cs="Arial Unicode MS" w:hAnsi="Arial Unicode MS" w:eastAsia="Arial Unicode MS"/>
      <w:b w:val="0"/>
      <w:bCs w:val="0"/>
      <w:i w:val="0"/>
      <w:iCs w:val="0"/>
      <w:caps w:val="0"/>
      <w:smallCaps w:val="0"/>
      <w:strike w:val="0"/>
      <w:dstrike w:val="0"/>
      <w:outline w:val="0"/>
      <w:color w:val="000000"/>
      <w:spacing w:val="0"/>
      <w:kern w:val="32"/>
      <w:position w:val="0"/>
      <w:sz w:val="32"/>
      <w:szCs w:val="32"/>
      <w:u w:val="none" w:color="000000"/>
      <w:vertAlign w:val="baseline"/>
      <w:lang w:val="en-US"/>
    </w:rPr>
  </w:style>
  <w:style w:type="paragraph" w:styleId="Heading 2">
    <w:name w:val="Heading 2"/>
    <w:next w:val="Normal"/>
    <w:pPr>
      <w:keepNext w:val="1"/>
      <w:keepLines w:val="0"/>
      <w:pageBreakBefore w:val="0"/>
      <w:widowControl w:val="1"/>
      <w:shd w:val="clear" w:color="auto" w:fill="auto"/>
      <w:suppressAutoHyphens w:val="0"/>
      <w:bidi w:val="0"/>
      <w:spacing w:before="240" w:after="60" w:line="240" w:lineRule="auto"/>
      <w:ind w:left="0" w:right="0" w:firstLine="0"/>
      <w:jc w:val="left"/>
      <w:outlineLvl w:val="1"/>
    </w:pPr>
    <w:rPr>
      <w:rFonts w:ascii="Arial" w:cs="Arial Unicode MS" w:hAnsi="Arial Unicode MS" w:eastAsia="Arial Unicode MS"/>
      <w:b w:val="1"/>
      <w:bCs w:val="1"/>
      <w:i w:val="1"/>
      <w:iCs w:val="1"/>
      <w:caps w:val="0"/>
      <w:smallCaps w:val="0"/>
      <w:strike w:val="0"/>
      <w:dstrike w:val="0"/>
      <w:outline w:val="0"/>
      <w:color w:val="000000"/>
      <w:spacing w:val="0"/>
      <w:kern w:val="0"/>
      <w:position w:val="0"/>
      <w:sz w:val="28"/>
      <w:szCs w:val="28"/>
      <w:u w:val="none" w:color="000000"/>
      <w:vertAlign w:val="baseline"/>
      <w:lang w:val="en-US"/>
    </w:rPr>
  </w:style>
  <w:style w:type="paragraph" w:styleId="Heading 3">
    <w:name w:val="Heading 3"/>
    <w:next w:val="Normal"/>
    <w:pPr>
      <w:keepNext w:val="1"/>
      <w:keepLines w:val="0"/>
      <w:pageBreakBefore w:val="0"/>
      <w:widowControl w:val="1"/>
      <w:shd w:val="clear" w:color="auto" w:fill="auto"/>
      <w:suppressAutoHyphens w:val="0"/>
      <w:bidi w:val="0"/>
      <w:spacing w:before="240" w:after="60" w:line="240" w:lineRule="auto"/>
      <w:ind w:left="0" w:right="0" w:firstLine="0"/>
      <w:jc w:val="left"/>
      <w:outlineLvl w:val="2"/>
    </w:pPr>
    <w:rPr>
      <w:rFonts w:ascii="Arial Bold"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color="000000"/>
      <w:vertAlign w:val="baseline"/>
      <w:lang w:val="en-US"/>
    </w:rPr>
  </w:style>
  <w:style w:type="numbering" w:styleId="List 0">
    <w:name w:val="List 0"/>
    <w:basedOn w:val="Imported Style 7"/>
    <w:next w:val="List 0"/>
    <w:pPr>
      <w:numPr>
        <w:numId w:val="1"/>
      </w:numPr>
    </w:pPr>
  </w:style>
  <w:style w:type="numbering" w:styleId="Imported Style 7">
    <w:name w:val="Imported Style 7"/>
    <w:next w:val="Imported Style 7"/>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