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16511" w14:textId="73016B26" w:rsidR="00CE3A15" w:rsidRPr="00CE3A15" w:rsidRDefault="004B0918" w:rsidP="00CE3A15">
      <w:pPr>
        <w:jc w:val="center"/>
        <w:rPr>
          <w:b/>
          <w:sz w:val="32"/>
        </w:rPr>
      </w:pPr>
      <w:r w:rsidRPr="004B0918">
        <w:rPr>
          <w:b/>
          <w:sz w:val="32"/>
          <w:szCs w:val="24"/>
        </w:rPr>
        <w:t xml:space="preserve">Smart </w:t>
      </w:r>
      <w:r w:rsidR="00D03A48">
        <w:rPr>
          <w:b/>
          <w:sz w:val="32"/>
          <w:szCs w:val="24"/>
        </w:rPr>
        <w:t>Contracts for Data Accountability a</w:t>
      </w:r>
      <w:r w:rsidR="00D03A48" w:rsidRPr="004B0918">
        <w:rPr>
          <w:b/>
          <w:sz w:val="32"/>
          <w:szCs w:val="24"/>
        </w:rPr>
        <w:t>nd Provenance Tracking</w:t>
      </w:r>
    </w:p>
    <w:p w14:paraId="69A8CB19" w14:textId="083A9ABC" w:rsidR="000B4C3C" w:rsidRPr="00BA50B9" w:rsidRDefault="000B4C3C" w:rsidP="00106AF6">
      <w:pPr>
        <w:jc w:val="center"/>
        <w:outlineLvl w:val="0"/>
      </w:pPr>
      <w:r w:rsidRPr="0098615E">
        <w:rPr>
          <w:b/>
          <w:szCs w:val="24"/>
          <w:u w:val="single"/>
          <w:lang w:val="en-US"/>
        </w:rPr>
        <w:t xml:space="preserve">Section 1 </w:t>
      </w:r>
      <w:r>
        <w:rPr>
          <w:b/>
          <w:szCs w:val="24"/>
          <w:u w:val="single"/>
          <w:lang w:val="en-US"/>
        </w:rPr>
        <w:t>Summary</w:t>
      </w: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32"/>
        <w:gridCol w:w="3189"/>
        <w:gridCol w:w="2126"/>
        <w:gridCol w:w="2126"/>
      </w:tblGrid>
      <w:tr w:rsidR="00841903" w:rsidRPr="00BC2010" w14:paraId="71D42BE2" w14:textId="77777777" w:rsidTr="004F3248">
        <w:tc>
          <w:tcPr>
            <w:tcW w:w="9773" w:type="dxa"/>
            <w:gridSpan w:val="4"/>
            <w:tcBorders>
              <w:top w:val="single" w:sz="6" w:space="0" w:color="auto"/>
              <w:left w:val="single" w:sz="6" w:space="0" w:color="auto"/>
              <w:bottom w:val="single" w:sz="6" w:space="0" w:color="auto"/>
              <w:right w:val="single" w:sz="6" w:space="0" w:color="auto"/>
            </w:tcBorders>
            <w:shd w:val="pct15" w:color="auto" w:fill="FFFFFF"/>
            <w:hideMark/>
          </w:tcPr>
          <w:p w14:paraId="0B84699C" w14:textId="77FC75F6" w:rsidR="006F75D5" w:rsidRPr="00BC2010" w:rsidRDefault="006F75D5" w:rsidP="00CE3A15">
            <w:pPr>
              <w:pStyle w:val="FigureTitle"/>
              <w:keepLines w:val="0"/>
              <w:spacing w:before="0" w:after="0"/>
              <w:rPr>
                <w:sz w:val="24"/>
                <w:szCs w:val="24"/>
              </w:rPr>
            </w:pPr>
            <w:r w:rsidRPr="00BC2010">
              <w:rPr>
                <w:sz w:val="24"/>
                <w:szCs w:val="24"/>
              </w:rPr>
              <w:t xml:space="preserve">Use Case </w:t>
            </w:r>
            <w:r w:rsidR="00CE3A15">
              <w:rPr>
                <w:sz w:val="24"/>
                <w:szCs w:val="24"/>
              </w:rPr>
              <w:t>Summary</w:t>
            </w:r>
          </w:p>
        </w:tc>
      </w:tr>
      <w:tr w:rsidR="001273E3" w:rsidRPr="00BC2010" w14:paraId="797F3CD6"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hideMark/>
          </w:tcPr>
          <w:p w14:paraId="73A46F5D" w14:textId="77777777" w:rsidR="008518CF" w:rsidRPr="00BC2010" w:rsidRDefault="00AF4C28" w:rsidP="00BC2010">
            <w:pPr>
              <w:pStyle w:val="FigureTitle"/>
              <w:keepLines w:val="0"/>
              <w:spacing w:before="0" w:after="0"/>
              <w:jc w:val="left"/>
              <w:rPr>
                <w:sz w:val="24"/>
                <w:szCs w:val="24"/>
              </w:rPr>
            </w:pPr>
            <w:r w:rsidRPr="00BC2010">
              <w:rPr>
                <w:sz w:val="24"/>
                <w:szCs w:val="24"/>
              </w:rPr>
              <w:t>Use Case</w:t>
            </w:r>
            <w:r w:rsidR="001273E3" w:rsidRPr="00BC2010">
              <w:rPr>
                <w:sz w:val="24"/>
                <w:szCs w:val="24"/>
              </w:rPr>
              <w:t xml:space="preserve"> </w:t>
            </w:r>
            <w:r w:rsidRPr="00BC2010">
              <w:rPr>
                <w:sz w:val="24"/>
                <w:szCs w:val="24"/>
              </w:rPr>
              <w:t>ID:</w:t>
            </w:r>
          </w:p>
        </w:tc>
        <w:tc>
          <w:tcPr>
            <w:tcW w:w="3189" w:type="dxa"/>
            <w:tcBorders>
              <w:top w:val="single" w:sz="6" w:space="0" w:color="auto"/>
              <w:left w:val="single" w:sz="6" w:space="0" w:color="auto"/>
              <w:bottom w:val="single" w:sz="6" w:space="0" w:color="auto"/>
              <w:right w:val="single" w:sz="6" w:space="0" w:color="auto"/>
            </w:tcBorders>
            <w:hideMark/>
          </w:tcPr>
          <w:p w14:paraId="06514324" w14:textId="0E6C68DD" w:rsidR="00BC2010" w:rsidRPr="00BC2010" w:rsidRDefault="004B0918" w:rsidP="00BC2010">
            <w:pPr>
              <w:pStyle w:val="BodyText"/>
              <w:rPr>
                <w:lang w:val="en-US"/>
              </w:rPr>
            </w:pPr>
            <w:r>
              <w:rPr>
                <w:lang w:val="en-US"/>
              </w:rPr>
              <w:t>DTM-001</w:t>
            </w:r>
          </w:p>
        </w:tc>
        <w:tc>
          <w:tcPr>
            <w:tcW w:w="2126" w:type="dxa"/>
            <w:tcBorders>
              <w:top w:val="single" w:sz="6" w:space="0" w:color="auto"/>
              <w:left w:val="single" w:sz="6" w:space="0" w:color="auto"/>
              <w:bottom w:val="single" w:sz="6" w:space="0" w:color="auto"/>
              <w:right w:val="single" w:sz="6" w:space="0" w:color="auto"/>
            </w:tcBorders>
            <w:shd w:val="pct15" w:color="auto" w:fill="FFFFFF"/>
            <w:hideMark/>
          </w:tcPr>
          <w:p w14:paraId="76897565" w14:textId="77777777" w:rsidR="006F75D5" w:rsidRPr="00BC2010" w:rsidRDefault="00AF4C28" w:rsidP="00BC2010">
            <w:pPr>
              <w:pStyle w:val="FigureTitle"/>
              <w:keepLines w:val="0"/>
              <w:spacing w:before="0" w:after="0"/>
              <w:jc w:val="left"/>
              <w:rPr>
                <w:sz w:val="24"/>
                <w:szCs w:val="24"/>
              </w:rPr>
            </w:pPr>
            <w:r w:rsidRPr="00BC2010">
              <w:rPr>
                <w:sz w:val="24"/>
                <w:szCs w:val="24"/>
              </w:rPr>
              <w:t>Use Case Type</w:t>
            </w:r>
            <w:r w:rsidR="00841903" w:rsidRPr="00BC2010">
              <w:rPr>
                <w:sz w:val="24"/>
                <w:szCs w:val="24"/>
              </w:rPr>
              <w:t>:</w:t>
            </w:r>
          </w:p>
        </w:tc>
        <w:tc>
          <w:tcPr>
            <w:tcW w:w="2126" w:type="dxa"/>
            <w:tcBorders>
              <w:top w:val="single" w:sz="6" w:space="0" w:color="auto"/>
              <w:left w:val="single" w:sz="6" w:space="0" w:color="auto"/>
              <w:bottom w:val="single" w:sz="6" w:space="0" w:color="auto"/>
              <w:right w:val="single" w:sz="6" w:space="0" w:color="auto"/>
            </w:tcBorders>
          </w:tcPr>
          <w:p w14:paraId="1269A22C" w14:textId="21402399" w:rsidR="006F75D5" w:rsidRPr="00864230" w:rsidRDefault="001273E3" w:rsidP="00BC2010">
            <w:pPr>
              <w:pStyle w:val="FigureTitle"/>
              <w:keepLines w:val="0"/>
              <w:spacing w:before="0" w:after="0"/>
              <w:jc w:val="left"/>
              <w:rPr>
                <w:rFonts w:eastAsia="MS Mincho"/>
                <w:b w:val="0"/>
                <w:i/>
                <w:sz w:val="24"/>
                <w:lang w:val="en-GB"/>
              </w:rPr>
            </w:pPr>
            <w:r w:rsidRPr="00864230">
              <w:rPr>
                <w:rFonts w:eastAsia="MS Mincho"/>
                <w:b w:val="0"/>
                <w:i/>
                <w:sz w:val="24"/>
                <w:lang w:val="en-GB"/>
              </w:rPr>
              <w:t>Horizontal</w:t>
            </w:r>
          </w:p>
        </w:tc>
      </w:tr>
      <w:tr w:rsidR="009A48A1" w:rsidRPr="00BC2010" w14:paraId="71C8EE92" w14:textId="77777777" w:rsidTr="00F926AC">
        <w:tc>
          <w:tcPr>
            <w:tcW w:w="233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9EBDF4" w14:textId="246BC376" w:rsidR="009A48A1" w:rsidRPr="00A60C72" w:rsidRDefault="009A48A1" w:rsidP="009A48A1">
            <w:pPr>
              <w:pStyle w:val="FigureTitle"/>
              <w:keepLines w:val="0"/>
              <w:tabs>
                <w:tab w:val="left" w:pos="1944"/>
              </w:tabs>
              <w:spacing w:before="0" w:after="0"/>
              <w:jc w:val="left"/>
              <w:rPr>
                <w:sz w:val="24"/>
                <w:szCs w:val="24"/>
              </w:rPr>
            </w:pPr>
            <w:r>
              <w:rPr>
                <w:sz w:val="24"/>
                <w:szCs w:val="24"/>
              </w:rPr>
              <w:t>Submission Date</w:t>
            </w:r>
            <w:r w:rsidRPr="00A60C72">
              <w:rPr>
                <w:sz w:val="24"/>
                <w:szCs w:val="24"/>
              </w:rPr>
              <w:t>:</w:t>
            </w:r>
            <w:r>
              <w:rPr>
                <w:sz w:val="24"/>
                <w:szCs w:val="24"/>
              </w:rPr>
              <w:tab/>
            </w:r>
          </w:p>
        </w:tc>
        <w:tc>
          <w:tcPr>
            <w:tcW w:w="3189" w:type="dxa"/>
            <w:tcBorders>
              <w:top w:val="single" w:sz="6" w:space="0" w:color="auto"/>
              <w:left w:val="single" w:sz="6" w:space="0" w:color="auto"/>
              <w:bottom w:val="single" w:sz="6" w:space="0" w:color="auto"/>
              <w:right w:val="single" w:sz="6" w:space="0" w:color="auto"/>
            </w:tcBorders>
            <w:shd w:val="clear" w:color="auto" w:fill="auto"/>
          </w:tcPr>
          <w:p w14:paraId="058239B2" w14:textId="34CED193" w:rsidR="009A48A1" w:rsidRPr="00106AF6" w:rsidRDefault="00417BDB" w:rsidP="00417BDB">
            <w:pPr>
              <w:pStyle w:val="FigureTitle"/>
              <w:keepLines w:val="0"/>
              <w:spacing w:before="0" w:after="0"/>
              <w:jc w:val="left"/>
              <w:rPr>
                <w:rFonts w:eastAsia="MS Mincho"/>
                <w:b w:val="0"/>
                <w:sz w:val="24"/>
                <w:lang w:val="en-GB"/>
              </w:rPr>
            </w:pPr>
            <w:r w:rsidRPr="00106AF6">
              <w:rPr>
                <w:rFonts w:eastAsia="MS Mincho"/>
                <w:b w:val="0"/>
                <w:sz w:val="24"/>
                <w:lang w:val="en-GB"/>
              </w:rPr>
              <w:t>December 14</w:t>
            </w:r>
            <w:r w:rsidR="00106AF6" w:rsidRPr="00106AF6">
              <w:rPr>
                <w:rFonts w:eastAsia="MS Mincho"/>
                <w:b w:val="0"/>
                <w:sz w:val="24"/>
                <w:lang w:val="en-GB"/>
              </w:rPr>
              <w:t>,</w:t>
            </w:r>
            <w:r w:rsidRPr="00106AF6">
              <w:rPr>
                <w:rFonts w:eastAsia="MS Mincho"/>
                <w:b w:val="0"/>
                <w:sz w:val="24"/>
                <w:lang w:val="en-GB"/>
              </w:rPr>
              <w:t xml:space="preserve"> </w:t>
            </w:r>
            <w:r w:rsidR="002359DD" w:rsidRPr="00106AF6">
              <w:rPr>
                <w:rFonts w:eastAsia="MS Mincho"/>
                <w:b w:val="0"/>
                <w:sz w:val="24"/>
                <w:lang w:val="en-GB"/>
              </w:rPr>
              <w:t>2018</w:t>
            </w:r>
          </w:p>
        </w:tc>
        <w:tc>
          <w:tcPr>
            <w:tcW w:w="2126" w:type="dxa"/>
            <w:tcBorders>
              <w:top w:val="single" w:sz="6" w:space="0" w:color="auto"/>
              <w:left w:val="single" w:sz="6" w:space="0" w:color="auto"/>
              <w:bottom w:val="single" w:sz="6" w:space="0" w:color="auto"/>
              <w:right w:val="single" w:sz="6" w:space="0" w:color="auto"/>
            </w:tcBorders>
            <w:shd w:val="pct15" w:color="auto" w:fill="FFFFFF"/>
          </w:tcPr>
          <w:p w14:paraId="6FEC1643" w14:textId="1E23D395" w:rsidR="009A48A1" w:rsidRPr="00BC2010" w:rsidRDefault="009A48A1" w:rsidP="00BC2010">
            <w:pPr>
              <w:pStyle w:val="FigureTitle"/>
              <w:keepLines w:val="0"/>
              <w:spacing w:before="0" w:after="0"/>
              <w:jc w:val="left"/>
              <w:rPr>
                <w:sz w:val="24"/>
                <w:szCs w:val="24"/>
              </w:rPr>
            </w:pPr>
            <w:r>
              <w:rPr>
                <w:sz w:val="24"/>
                <w:szCs w:val="24"/>
              </w:rPr>
              <w:t>Is Use Case supporting SDGs</w:t>
            </w:r>
          </w:p>
        </w:tc>
        <w:tc>
          <w:tcPr>
            <w:tcW w:w="2126" w:type="dxa"/>
            <w:tcBorders>
              <w:top w:val="single" w:sz="6" w:space="0" w:color="auto"/>
              <w:left w:val="single" w:sz="6" w:space="0" w:color="auto"/>
              <w:bottom w:val="single" w:sz="6" w:space="0" w:color="auto"/>
              <w:right w:val="single" w:sz="6" w:space="0" w:color="auto"/>
            </w:tcBorders>
          </w:tcPr>
          <w:p w14:paraId="4F1EF5CF" w14:textId="40BF66FE" w:rsidR="009A48A1" w:rsidRPr="00864230" w:rsidRDefault="002359DD" w:rsidP="002359DD">
            <w:pPr>
              <w:pStyle w:val="FigureTitle"/>
              <w:keepLines w:val="0"/>
              <w:spacing w:before="0" w:after="0"/>
              <w:jc w:val="left"/>
              <w:rPr>
                <w:rFonts w:eastAsia="MS Mincho"/>
                <w:b w:val="0"/>
                <w:i/>
                <w:sz w:val="24"/>
                <w:lang w:val="en-GB"/>
              </w:rPr>
            </w:pPr>
            <w:r w:rsidRPr="00864230">
              <w:rPr>
                <w:rFonts w:eastAsia="MS Mincho"/>
                <w:b w:val="0"/>
                <w:i/>
                <w:sz w:val="24"/>
                <w:lang w:val="en-GB"/>
              </w:rPr>
              <w:t>Yes</w:t>
            </w:r>
          </w:p>
        </w:tc>
      </w:tr>
      <w:tr w:rsidR="00BC2010" w:rsidRPr="00BC2010" w14:paraId="648A4F91"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214DC931" w14:textId="77777777" w:rsidR="00AF4C28" w:rsidRPr="00BC2010" w:rsidRDefault="001273E3" w:rsidP="00BC2010">
            <w:pPr>
              <w:pStyle w:val="FigureTitle"/>
              <w:keepLines w:val="0"/>
              <w:spacing w:before="0" w:after="0"/>
              <w:jc w:val="left"/>
              <w:rPr>
                <w:sz w:val="24"/>
                <w:szCs w:val="24"/>
              </w:rPr>
            </w:pPr>
            <w:r w:rsidRPr="00BC2010">
              <w:rPr>
                <w:sz w:val="24"/>
                <w:szCs w:val="24"/>
              </w:rPr>
              <w:t>Use Case Title:</w:t>
            </w:r>
          </w:p>
        </w:tc>
        <w:tc>
          <w:tcPr>
            <w:tcW w:w="3189" w:type="dxa"/>
            <w:tcBorders>
              <w:top w:val="single" w:sz="6" w:space="0" w:color="auto"/>
              <w:left w:val="single" w:sz="6" w:space="0" w:color="auto"/>
              <w:bottom w:val="single" w:sz="6" w:space="0" w:color="auto"/>
              <w:right w:val="single" w:sz="6" w:space="0" w:color="auto"/>
            </w:tcBorders>
          </w:tcPr>
          <w:p w14:paraId="7836A5E8" w14:textId="2D13C5A2" w:rsidR="00BC2010" w:rsidRPr="00E5288A" w:rsidRDefault="002359DD" w:rsidP="00864230">
            <w:pPr>
              <w:pStyle w:val="FigureTitle"/>
              <w:keepLines w:val="0"/>
              <w:spacing w:before="0" w:after="0"/>
              <w:jc w:val="left"/>
              <w:rPr>
                <w:rFonts w:eastAsia="MS Mincho"/>
                <w:b w:val="0"/>
                <w:sz w:val="24"/>
                <w:lang w:val="en-GB"/>
              </w:rPr>
            </w:pPr>
            <w:bookmarkStart w:id="0" w:name="_GoBack"/>
            <w:r w:rsidRPr="00E5288A">
              <w:rPr>
                <w:rFonts w:eastAsia="MS Mincho"/>
                <w:b w:val="0"/>
                <w:sz w:val="24"/>
                <w:lang w:val="en-GB"/>
              </w:rPr>
              <w:t>Smart contracts for data accountability and provenance tracking</w:t>
            </w:r>
            <w:bookmarkEnd w:id="0"/>
          </w:p>
        </w:tc>
        <w:tc>
          <w:tcPr>
            <w:tcW w:w="2126" w:type="dxa"/>
            <w:tcBorders>
              <w:top w:val="single" w:sz="6" w:space="0" w:color="auto"/>
              <w:left w:val="single" w:sz="6" w:space="0" w:color="auto"/>
              <w:bottom w:val="single" w:sz="6" w:space="0" w:color="auto"/>
              <w:right w:val="single" w:sz="6" w:space="0" w:color="auto"/>
            </w:tcBorders>
            <w:shd w:val="pct15" w:color="auto" w:fill="FFFFFF"/>
          </w:tcPr>
          <w:p w14:paraId="6387ACF1" w14:textId="77777777" w:rsidR="00AF4C28" w:rsidRPr="00BC2010" w:rsidRDefault="001273E3" w:rsidP="00BC2010">
            <w:pPr>
              <w:pStyle w:val="FigureTitle"/>
              <w:keepLines w:val="0"/>
              <w:spacing w:before="0" w:after="0"/>
              <w:jc w:val="left"/>
              <w:rPr>
                <w:sz w:val="24"/>
                <w:szCs w:val="24"/>
              </w:rPr>
            </w:pPr>
            <w:r w:rsidRPr="00BC2010">
              <w:rPr>
                <w:sz w:val="24"/>
                <w:szCs w:val="24"/>
              </w:rPr>
              <w:t>Domain</w:t>
            </w:r>
            <w:r w:rsidR="00841903" w:rsidRPr="00BC2010">
              <w:rPr>
                <w:sz w:val="24"/>
                <w:szCs w:val="24"/>
              </w:rPr>
              <w:t>:</w:t>
            </w:r>
          </w:p>
        </w:tc>
        <w:tc>
          <w:tcPr>
            <w:tcW w:w="2126" w:type="dxa"/>
            <w:tcBorders>
              <w:top w:val="single" w:sz="6" w:space="0" w:color="auto"/>
              <w:left w:val="single" w:sz="6" w:space="0" w:color="auto"/>
              <w:bottom w:val="single" w:sz="6" w:space="0" w:color="auto"/>
              <w:right w:val="single" w:sz="6" w:space="0" w:color="auto"/>
            </w:tcBorders>
          </w:tcPr>
          <w:p w14:paraId="67027689" w14:textId="59ACB2DD" w:rsidR="00AF4C28" w:rsidRPr="00864230" w:rsidRDefault="002359DD" w:rsidP="00BC2010">
            <w:pPr>
              <w:pStyle w:val="FigureTitle"/>
              <w:keepLines w:val="0"/>
              <w:spacing w:before="0" w:after="0"/>
              <w:jc w:val="left"/>
              <w:rPr>
                <w:rFonts w:eastAsia="MS Mincho"/>
                <w:b w:val="0"/>
                <w:i/>
                <w:sz w:val="24"/>
                <w:lang w:val="en-GB"/>
              </w:rPr>
            </w:pPr>
            <w:r w:rsidRPr="00864230">
              <w:rPr>
                <w:rFonts w:eastAsia="MS Mincho"/>
                <w:b w:val="0"/>
                <w:i/>
                <w:sz w:val="24"/>
                <w:lang w:val="en-GB"/>
              </w:rPr>
              <w:t>Data processing, storage and management</w:t>
            </w:r>
          </w:p>
        </w:tc>
      </w:tr>
      <w:tr w:rsidR="004F3248" w:rsidRPr="00BC2010" w14:paraId="4CB931E4"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16CB34E7" w14:textId="73B94979" w:rsidR="004F3248" w:rsidRPr="00BC2010" w:rsidRDefault="004F3248" w:rsidP="00BC2010">
            <w:pPr>
              <w:pStyle w:val="FigureTitle"/>
              <w:keepLines w:val="0"/>
              <w:spacing w:before="0" w:after="0"/>
              <w:jc w:val="left"/>
              <w:rPr>
                <w:sz w:val="24"/>
                <w:szCs w:val="24"/>
              </w:rPr>
            </w:pPr>
            <w:r>
              <w:rPr>
                <w:sz w:val="24"/>
                <w:szCs w:val="24"/>
              </w:rPr>
              <w:t>Status of Case</w:t>
            </w:r>
          </w:p>
        </w:tc>
        <w:tc>
          <w:tcPr>
            <w:tcW w:w="3189" w:type="dxa"/>
            <w:tcBorders>
              <w:top w:val="single" w:sz="6" w:space="0" w:color="auto"/>
              <w:left w:val="single" w:sz="6" w:space="0" w:color="auto"/>
              <w:bottom w:val="single" w:sz="6" w:space="0" w:color="auto"/>
              <w:right w:val="single" w:sz="6" w:space="0" w:color="auto"/>
            </w:tcBorders>
          </w:tcPr>
          <w:p w14:paraId="0CB94E46" w14:textId="7C36682D" w:rsidR="004F3248" w:rsidRPr="00864230" w:rsidRDefault="002359DD" w:rsidP="00864230">
            <w:pPr>
              <w:pStyle w:val="FigureTitle"/>
              <w:keepLines w:val="0"/>
              <w:spacing w:before="0" w:after="0"/>
              <w:jc w:val="left"/>
              <w:rPr>
                <w:rFonts w:eastAsia="MS Mincho"/>
                <w:b w:val="0"/>
                <w:i/>
                <w:sz w:val="24"/>
                <w:lang w:val="en-GB"/>
              </w:rPr>
            </w:pPr>
            <w:r w:rsidRPr="00864230">
              <w:rPr>
                <w:rFonts w:eastAsia="MS Mincho"/>
                <w:b w:val="0"/>
                <w:i/>
                <w:sz w:val="24"/>
                <w:lang w:val="en-GB"/>
              </w:rPr>
              <w:t>Proof-of-concept</w:t>
            </w:r>
          </w:p>
        </w:tc>
        <w:tc>
          <w:tcPr>
            <w:tcW w:w="2126" w:type="dxa"/>
            <w:tcBorders>
              <w:top w:val="single" w:sz="6" w:space="0" w:color="auto"/>
              <w:left w:val="single" w:sz="6" w:space="0" w:color="auto"/>
              <w:bottom w:val="single" w:sz="6" w:space="0" w:color="auto"/>
              <w:right w:val="single" w:sz="6" w:space="0" w:color="auto"/>
            </w:tcBorders>
            <w:shd w:val="pct15" w:color="auto" w:fill="FFFFFF"/>
          </w:tcPr>
          <w:p w14:paraId="3BFC8A6D" w14:textId="4475BBFA" w:rsidR="004F3248" w:rsidRPr="00BC2010" w:rsidRDefault="004F3248" w:rsidP="00BC2010">
            <w:pPr>
              <w:pStyle w:val="FigureTitle"/>
              <w:keepLines w:val="0"/>
              <w:spacing w:before="0" w:after="0"/>
              <w:jc w:val="left"/>
              <w:rPr>
                <w:sz w:val="24"/>
                <w:szCs w:val="24"/>
              </w:rPr>
            </w:pPr>
            <w:r>
              <w:rPr>
                <w:sz w:val="24"/>
                <w:szCs w:val="24"/>
              </w:rPr>
              <w:t>Sub-Domain</w:t>
            </w:r>
          </w:p>
        </w:tc>
        <w:tc>
          <w:tcPr>
            <w:tcW w:w="2126" w:type="dxa"/>
            <w:tcBorders>
              <w:top w:val="single" w:sz="6" w:space="0" w:color="auto"/>
              <w:left w:val="single" w:sz="6" w:space="0" w:color="auto"/>
              <w:bottom w:val="single" w:sz="6" w:space="0" w:color="auto"/>
              <w:right w:val="single" w:sz="6" w:space="0" w:color="auto"/>
            </w:tcBorders>
          </w:tcPr>
          <w:p w14:paraId="62575DDF" w14:textId="728B1C5A" w:rsidR="004F3248" w:rsidRPr="00BC2010" w:rsidRDefault="004F3248" w:rsidP="00BC2010">
            <w:pPr>
              <w:pStyle w:val="FigureTitle"/>
              <w:keepLines w:val="0"/>
              <w:spacing w:before="0" w:after="0"/>
              <w:jc w:val="left"/>
              <w:rPr>
                <w:b w:val="0"/>
                <w:i/>
                <w:sz w:val="24"/>
                <w:szCs w:val="24"/>
              </w:rPr>
            </w:pPr>
          </w:p>
        </w:tc>
      </w:tr>
      <w:tr w:rsidR="004F3248" w:rsidRPr="00BC2010" w14:paraId="42546B1B"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30A4B943" w14:textId="77777777" w:rsidR="004F3248" w:rsidRDefault="004F3248" w:rsidP="004F3248">
            <w:pPr>
              <w:pStyle w:val="FigureTitle"/>
              <w:keepLines w:val="0"/>
              <w:spacing w:before="0" w:after="0"/>
              <w:jc w:val="left"/>
              <w:rPr>
                <w:rFonts w:cstheme="minorHAnsi"/>
                <w:color w:val="000000"/>
                <w:sz w:val="24"/>
                <w:szCs w:val="24"/>
                <w:lang w:val="en-GB"/>
              </w:rPr>
            </w:pPr>
            <w:r w:rsidRPr="0025568D">
              <w:rPr>
                <w:rFonts w:cstheme="minorHAnsi"/>
                <w:color w:val="000000"/>
                <w:sz w:val="24"/>
                <w:szCs w:val="24"/>
                <w:lang w:val="en-GB"/>
              </w:rPr>
              <w:t>Contact information of pe</w:t>
            </w:r>
            <w:r>
              <w:rPr>
                <w:rFonts w:cstheme="minorHAnsi"/>
                <w:color w:val="000000"/>
                <w:sz w:val="24"/>
                <w:szCs w:val="24"/>
                <w:lang w:val="en-GB"/>
              </w:rPr>
              <w:t>rson submitting/</w:t>
            </w:r>
          </w:p>
          <w:p w14:paraId="5DAA0F1C" w14:textId="6EA7A653" w:rsidR="004F3248" w:rsidRPr="00BC2010" w:rsidRDefault="004F3248" w:rsidP="004F3248">
            <w:pPr>
              <w:pStyle w:val="FigureTitle"/>
              <w:keepLines w:val="0"/>
              <w:spacing w:before="0" w:after="0"/>
              <w:jc w:val="left"/>
              <w:rPr>
                <w:sz w:val="24"/>
                <w:szCs w:val="24"/>
              </w:rPr>
            </w:pPr>
            <w:r>
              <w:rPr>
                <w:rFonts w:cstheme="minorHAnsi"/>
                <w:color w:val="000000"/>
                <w:sz w:val="24"/>
                <w:szCs w:val="24"/>
                <w:lang w:val="en-GB"/>
              </w:rPr>
              <w:t>managing the use-case</w:t>
            </w:r>
          </w:p>
        </w:tc>
        <w:tc>
          <w:tcPr>
            <w:tcW w:w="7441" w:type="dxa"/>
            <w:gridSpan w:val="3"/>
            <w:tcBorders>
              <w:top w:val="single" w:sz="6" w:space="0" w:color="auto"/>
              <w:left w:val="single" w:sz="6" w:space="0" w:color="auto"/>
              <w:bottom w:val="single" w:sz="6" w:space="0" w:color="auto"/>
              <w:right w:val="single" w:sz="6" w:space="0" w:color="auto"/>
            </w:tcBorders>
          </w:tcPr>
          <w:p w14:paraId="7F76F7E2" w14:textId="33E72036" w:rsidR="002359DD" w:rsidRPr="002359DD" w:rsidRDefault="004F3248" w:rsidP="004F3248">
            <w:pPr>
              <w:rPr>
                <w:rFonts w:cstheme="minorHAnsi"/>
                <w:i/>
                <w:color w:val="000000"/>
                <w:szCs w:val="24"/>
              </w:rPr>
            </w:pPr>
            <w:r w:rsidRPr="00FE1151">
              <w:rPr>
                <w:rFonts w:cstheme="minorHAnsi"/>
                <w:i/>
                <w:color w:val="000000"/>
                <w:szCs w:val="24"/>
              </w:rPr>
              <w:t>Full Name</w:t>
            </w:r>
            <w:r w:rsidR="002359DD">
              <w:rPr>
                <w:rFonts w:cstheme="minorHAnsi"/>
                <w:i/>
                <w:color w:val="000000"/>
                <w:szCs w:val="24"/>
              </w:rPr>
              <w:t xml:space="preserve">: </w:t>
            </w:r>
            <w:r w:rsidR="002359DD" w:rsidRPr="002359DD">
              <w:rPr>
                <w:rFonts w:cstheme="minorHAnsi"/>
                <w:i/>
                <w:color w:val="000000"/>
                <w:szCs w:val="24"/>
              </w:rPr>
              <w:t>Ricardo Neisse</w:t>
            </w:r>
          </w:p>
          <w:p w14:paraId="7F651948" w14:textId="0FA6E393" w:rsidR="004F3248" w:rsidRPr="00FE1151" w:rsidRDefault="004F3248" w:rsidP="004F3248">
            <w:pPr>
              <w:rPr>
                <w:rFonts w:cstheme="minorHAnsi"/>
                <w:i/>
                <w:color w:val="000000"/>
                <w:szCs w:val="24"/>
              </w:rPr>
            </w:pPr>
            <w:r w:rsidRPr="00FE1151">
              <w:rPr>
                <w:rFonts w:cstheme="minorHAnsi"/>
                <w:i/>
                <w:color w:val="000000"/>
                <w:szCs w:val="24"/>
              </w:rPr>
              <w:t>Job Title</w:t>
            </w:r>
            <w:r w:rsidR="002359DD">
              <w:rPr>
                <w:rFonts w:cstheme="minorHAnsi"/>
                <w:i/>
                <w:color w:val="000000"/>
                <w:szCs w:val="24"/>
              </w:rPr>
              <w:t>: Scientific Project Officer</w:t>
            </w:r>
          </w:p>
          <w:p w14:paraId="58759178" w14:textId="77777777" w:rsidR="002359DD" w:rsidRDefault="004F3248" w:rsidP="004F3248">
            <w:pPr>
              <w:rPr>
                <w:rFonts w:cstheme="minorHAnsi"/>
                <w:i/>
                <w:color w:val="000000"/>
                <w:szCs w:val="24"/>
              </w:rPr>
            </w:pPr>
            <w:r w:rsidRPr="00FE1151">
              <w:rPr>
                <w:rFonts w:cstheme="minorHAnsi"/>
                <w:i/>
                <w:color w:val="000000"/>
                <w:szCs w:val="24"/>
              </w:rPr>
              <w:t>E-mail address:</w:t>
            </w:r>
            <w:r w:rsidR="002359DD">
              <w:rPr>
                <w:rFonts w:cstheme="minorHAnsi"/>
                <w:i/>
                <w:color w:val="000000"/>
                <w:szCs w:val="24"/>
              </w:rPr>
              <w:t xml:space="preserve"> ricardo.neisse@ec.europa.eu</w:t>
            </w:r>
          </w:p>
          <w:p w14:paraId="6487CF66" w14:textId="1967EA0B" w:rsidR="004F3248" w:rsidRPr="00FE1151" w:rsidRDefault="004F3248" w:rsidP="004F3248">
            <w:pPr>
              <w:rPr>
                <w:rFonts w:cstheme="minorHAnsi"/>
                <w:i/>
                <w:color w:val="000000"/>
                <w:szCs w:val="24"/>
              </w:rPr>
            </w:pPr>
            <w:r w:rsidRPr="00FE1151">
              <w:rPr>
                <w:rFonts w:cstheme="minorHAnsi"/>
                <w:i/>
                <w:color w:val="000000"/>
                <w:szCs w:val="24"/>
              </w:rPr>
              <w:t>Telephone number:</w:t>
            </w:r>
            <w:r w:rsidR="002359DD">
              <w:rPr>
                <w:rFonts w:cstheme="minorHAnsi"/>
                <w:i/>
                <w:color w:val="000000"/>
                <w:szCs w:val="24"/>
              </w:rPr>
              <w:t xml:space="preserve"> +39 </w:t>
            </w:r>
            <w:r w:rsidR="002359DD">
              <w:t xml:space="preserve"> </w:t>
            </w:r>
            <w:r w:rsidR="002359DD" w:rsidRPr="002359DD">
              <w:rPr>
                <w:rFonts w:cstheme="minorHAnsi"/>
                <w:i/>
                <w:color w:val="000000"/>
                <w:szCs w:val="24"/>
              </w:rPr>
              <w:t>0332 78</w:t>
            </w:r>
            <w:r w:rsidR="002359DD">
              <w:rPr>
                <w:rFonts w:cstheme="minorHAnsi"/>
                <w:i/>
                <w:color w:val="000000"/>
                <w:szCs w:val="24"/>
              </w:rPr>
              <w:t xml:space="preserve"> 9592</w:t>
            </w:r>
          </w:p>
          <w:p w14:paraId="36042894" w14:textId="03B10D99" w:rsidR="002359DD" w:rsidRDefault="004F3248" w:rsidP="004F3248">
            <w:pPr>
              <w:pStyle w:val="BodyText"/>
              <w:rPr>
                <w:rFonts w:cstheme="minorHAnsi"/>
                <w:i/>
                <w:color w:val="000000"/>
                <w:szCs w:val="24"/>
              </w:rPr>
            </w:pPr>
            <w:r w:rsidRPr="00FE1151">
              <w:rPr>
                <w:rFonts w:cstheme="minorHAnsi"/>
                <w:i/>
                <w:color w:val="000000"/>
                <w:szCs w:val="24"/>
              </w:rPr>
              <w:t>Social media:</w:t>
            </w:r>
            <w:r w:rsidR="002359DD">
              <w:t xml:space="preserve"> </w:t>
            </w:r>
            <w:r w:rsidR="002359DD" w:rsidRPr="002359DD">
              <w:rPr>
                <w:rFonts w:cstheme="minorHAnsi"/>
                <w:i/>
                <w:color w:val="000000"/>
                <w:szCs w:val="24"/>
              </w:rPr>
              <w:t>https://twitter.com/EU_ScienceHub</w:t>
            </w:r>
          </w:p>
          <w:p w14:paraId="60128A67" w14:textId="20CFA8A9" w:rsidR="004F3248" w:rsidRPr="00FE1151" w:rsidRDefault="004F3248" w:rsidP="002359DD">
            <w:pPr>
              <w:pStyle w:val="BodyText"/>
              <w:rPr>
                <w:i/>
                <w:lang w:val="en-US"/>
              </w:rPr>
            </w:pPr>
            <w:r w:rsidRPr="00FE1151">
              <w:rPr>
                <w:rFonts w:cstheme="minorHAnsi"/>
                <w:i/>
                <w:color w:val="000000"/>
                <w:szCs w:val="24"/>
              </w:rPr>
              <w:t xml:space="preserve">Web site: </w:t>
            </w:r>
            <w:r w:rsidR="002359DD">
              <w:t xml:space="preserve">  </w:t>
            </w:r>
            <w:hyperlink r:id="rId11" w:history="1">
              <w:r w:rsidR="002359DD" w:rsidRPr="002D3EC6">
                <w:rPr>
                  <w:rStyle w:val="Hyperlink"/>
                </w:rPr>
                <w:t>https://ec.europa.eu/jrc/en</w:t>
              </w:r>
            </w:hyperlink>
          </w:p>
        </w:tc>
      </w:tr>
      <w:tr w:rsidR="004F3248" w:rsidRPr="00BC2010" w14:paraId="24740CEE"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06B8E495" w14:textId="0680E88B" w:rsidR="004F3248" w:rsidRPr="00BC2010" w:rsidRDefault="004F3248" w:rsidP="004F3248">
            <w:pPr>
              <w:pStyle w:val="FigureTitle"/>
              <w:keepLines w:val="0"/>
              <w:spacing w:before="0" w:after="0"/>
              <w:jc w:val="left"/>
              <w:rPr>
                <w:sz w:val="24"/>
                <w:szCs w:val="24"/>
              </w:rPr>
            </w:pPr>
            <w:r w:rsidRPr="0025568D">
              <w:rPr>
                <w:rFonts w:cstheme="minorHAnsi"/>
                <w:color w:val="000000"/>
                <w:sz w:val="24"/>
                <w:szCs w:val="24"/>
                <w:lang w:val="en-GB"/>
              </w:rPr>
              <w:t>Proposing Organization</w:t>
            </w:r>
          </w:p>
        </w:tc>
        <w:tc>
          <w:tcPr>
            <w:tcW w:w="7441" w:type="dxa"/>
            <w:gridSpan w:val="3"/>
            <w:tcBorders>
              <w:top w:val="single" w:sz="6" w:space="0" w:color="auto"/>
              <w:left w:val="single" w:sz="6" w:space="0" w:color="auto"/>
              <w:bottom w:val="single" w:sz="6" w:space="0" w:color="auto"/>
              <w:right w:val="single" w:sz="6" w:space="0" w:color="auto"/>
            </w:tcBorders>
          </w:tcPr>
          <w:p w14:paraId="78F685B3" w14:textId="36272552" w:rsidR="004F3248" w:rsidRPr="00FE1151" w:rsidRDefault="002359DD" w:rsidP="002359DD">
            <w:pPr>
              <w:pStyle w:val="FigureTitle"/>
              <w:keepLines w:val="0"/>
              <w:spacing w:before="0" w:after="0"/>
              <w:jc w:val="left"/>
              <w:rPr>
                <w:b w:val="0"/>
                <w:sz w:val="24"/>
                <w:szCs w:val="24"/>
              </w:rPr>
            </w:pPr>
            <w:r>
              <w:rPr>
                <w:rFonts w:cstheme="minorHAnsi"/>
                <w:b w:val="0"/>
                <w:i/>
                <w:color w:val="000000"/>
                <w:sz w:val="24"/>
                <w:szCs w:val="24"/>
                <w:lang w:val="en-GB"/>
              </w:rPr>
              <w:t>European Commission Joint Research Center, Ispra, Italy</w:t>
            </w:r>
          </w:p>
        </w:tc>
      </w:tr>
      <w:tr w:rsidR="004F3248" w:rsidRPr="00BC2010" w14:paraId="0A2C7E31"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22FD0771" w14:textId="52DA4FC4" w:rsidR="004F3248" w:rsidRPr="00BC2010" w:rsidRDefault="004F3248" w:rsidP="004F3248">
            <w:pPr>
              <w:pStyle w:val="FigureTitle"/>
              <w:keepLines w:val="0"/>
              <w:spacing w:before="0" w:after="0"/>
              <w:jc w:val="left"/>
              <w:rPr>
                <w:sz w:val="24"/>
                <w:szCs w:val="24"/>
              </w:rPr>
            </w:pPr>
            <w:r w:rsidRPr="0025568D">
              <w:rPr>
                <w:rFonts w:cstheme="minorHAnsi"/>
                <w:color w:val="000000"/>
                <w:sz w:val="24"/>
                <w:szCs w:val="24"/>
                <w:lang w:val="en-GB"/>
              </w:rPr>
              <w:t>Short Description</w:t>
            </w:r>
          </w:p>
        </w:tc>
        <w:tc>
          <w:tcPr>
            <w:tcW w:w="7441" w:type="dxa"/>
            <w:gridSpan w:val="3"/>
            <w:tcBorders>
              <w:top w:val="single" w:sz="6" w:space="0" w:color="auto"/>
              <w:left w:val="single" w:sz="6" w:space="0" w:color="auto"/>
              <w:bottom w:val="single" w:sz="6" w:space="0" w:color="auto"/>
              <w:right w:val="single" w:sz="6" w:space="0" w:color="auto"/>
            </w:tcBorders>
          </w:tcPr>
          <w:p w14:paraId="44C30F3D" w14:textId="58895CE3" w:rsidR="004F3248" w:rsidRPr="00FE1151" w:rsidRDefault="002359DD" w:rsidP="004F3248">
            <w:pPr>
              <w:pStyle w:val="FigureTitle"/>
              <w:keepLines w:val="0"/>
              <w:spacing w:before="0" w:after="0"/>
              <w:jc w:val="left"/>
              <w:rPr>
                <w:b w:val="0"/>
                <w:sz w:val="24"/>
                <w:szCs w:val="24"/>
              </w:rPr>
            </w:pPr>
            <w:r w:rsidRPr="00864230">
              <w:rPr>
                <w:rFonts w:eastAsia="MS Mincho"/>
                <w:b w:val="0"/>
                <w:i/>
                <w:sz w:val="24"/>
                <w:lang w:val="en-GB"/>
              </w:rPr>
              <w:t>Smart contracts can be used to track data provenance and encode usage control policies regulating the access and usage (e.g., redistribution) of subject’s data by controller and processors.</w:t>
            </w:r>
          </w:p>
        </w:tc>
      </w:tr>
      <w:tr w:rsidR="004F3248" w:rsidRPr="00BC2010" w14:paraId="7014BD74"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3B4FF984" w14:textId="36065FE1" w:rsidR="004F3248" w:rsidRPr="00BC2010" w:rsidRDefault="004F3248" w:rsidP="004F3248">
            <w:pPr>
              <w:pStyle w:val="FigureTitle"/>
              <w:keepLines w:val="0"/>
              <w:spacing w:before="0" w:after="0"/>
              <w:jc w:val="left"/>
              <w:rPr>
                <w:sz w:val="24"/>
                <w:szCs w:val="24"/>
              </w:rPr>
            </w:pPr>
            <w:r w:rsidRPr="0025568D">
              <w:rPr>
                <w:rFonts w:cstheme="minorHAnsi"/>
                <w:color w:val="000000"/>
                <w:sz w:val="24"/>
                <w:szCs w:val="24"/>
                <w:lang w:val="en-GB"/>
              </w:rPr>
              <w:t>Long description</w:t>
            </w:r>
          </w:p>
        </w:tc>
        <w:tc>
          <w:tcPr>
            <w:tcW w:w="7441" w:type="dxa"/>
            <w:gridSpan w:val="3"/>
            <w:tcBorders>
              <w:top w:val="single" w:sz="6" w:space="0" w:color="auto"/>
              <w:left w:val="single" w:sz="6" w:space="0" w:color="auto"/>
              <w:bottom w:val="single" w:sz="6" w:space="0" w:color="auto"/>
              <w:right w:val="single" w:sz="6" w:space="0" w:color="auto"/>
            </w:tcBorders>
          </w:tcPr>
          <w:p w14:paraId="0A72C5A3" w14:textId="40805D72" w:rsidR="004F3248" w:rsidRPr="00FE1151" w:rsidRDefault="002359DD" w:rsidP="004F3248">
            <w:pPr>
              <w:pStyle w:val="FigureTitle"/>
              <w:keepLines w:val="0"/>
              <w:spacing w:before="0" w:after="0"/>
              <w:jc w:val="left"/>
              <w:rPr>
                <w:b w:val="0"/>
                <w:sz w:val="24"/>
                <w:szCs w:val="24"/>
              </w:rPr>
            </w:pPr>
            <w:r w:rsidRPr="00864230">
              <w:rPr>
                <w:rFonts w:eastAsia="MS Mincho"/>
                <w:b w:val="0"/>
                <w:i/>
                <w:sz w:val="24"/>
                <w:lang w:val="en-GB"/>
              </w:rPr>
              <w:t>The recent approval of the General Data Protection Regulation (GDPR) imposes new data protection requirements on data controllers and processors with respect to the processing of European Union (EU) residents’ data. These requirements consist of a single set of rules that have binding legal status and should be enforced in all EU member states. In light of these requirements, this use case propose the use of a blockchain-based approach to support data accountability and provenance tracking. This approach relies on the use of publicly auditable smart contracts deployed in a blockchain that increase the transparency with respect to the access and usage of data. Smart contracts can be used to encode data usage policies and provenance tracking information in a privacy-friendly way.</w:t>
            </w:r>
          </w:p>
        </w:tc>
      </w:tr>
      <w:tr w:rsidR="004F3248" w:rsidRPr="00BC2010" w14:paraId="26F9666A"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7397E623" w14:textId="64CCE654" w:rsidR="004F3248" w:rsidRPr="0025568D" w:rsidRDefault="004F3248" w:rsidP="004F3248">
            <w:pPr>
              <w:pStyle w:val="FigureTitle"/>
              <w:keepLines w:val="0"/>
              <w:spacing w:before="0" w:after="0"/>
              <w:jc w:val="left"/>
              <w:rPr>
                <w:rFonts w:cstheme="minorHAnsi"/>
                <w:color w:val="000000"/>
                <w:sz w:val="24"/>
                <w:szCs w:val="24"/>
                <w:lang w:val="en-GB"/>
              </w:rPr>
            </w:pPr>
            <w:r w:rsidRPr="0025568D">
              <w:rPr>
                <w:rFonts w:cstheme="minorHAnsi"/>
                <w:color w:val="000000"/>
                <w:sz w:val="24"/>
                <w:szCs w:val="24"/>
                <w:lang w:val="en-GB"/>
              </w:rPr>
              <w:t>SDG in Focus</w:t>
            </w:r>
            <w:r>
              <w:rPr>
                <w:rFonts w:cstheme="minorHAnsi"/>
                <w:color w:val="000000"/>
                <w:sz w:val="24"/>
                <w:szCs w:val="24"/>
                <w:lang w:val="en-GB"/>
              </w:rPr>
              <w:t xml:space="preserve"> (when applicable)</w:t>
            </w:r>
          </w:p>
        </w:tc>
        <w:tc>
          <w:tcPr>
            <w:tcW w:w="7441" w:type="dxa"/>
            <w:gridSpan w:val="3"/>
            <w:tcBorders>
              <w:top w:val="single" w:sz="6" w:space="0" w:color="auto"/>
              <w:left w:val="single" w:sz="6" w:space="0" w:color="auto"/>
              <w:bottom w:val="single" w:sz="6" w:space="0" w:color="auto"/>
              <w:right w:val="single" w:sz="6" w:space="0" w:color="auto"/>
            </w:tcBorders>
          </w:tcPr>
          <w:p w14:paraId="2564CC2B" w14:textId="43C63E07" w:rsidR="008D070B" w:rsidRPr="00864230" w:rsidRDefault="002359DD" w:rsidP="00864230">
            <w:pPr>
              <w:pStyle w:val="FigureTitle"/>
              <w:keepLines w:val="0"/>
              <w:spacing w:before="0" w:after="0"/>
              <w:jc w:val="left"/>
              <w:rPr>
                <w:rFonts w:cstheme="minorHAnsi"/>
                <w:b w:val="0"/>
                <w:i/>
                <w:color w:val="000000"/>
                <w:sz w:val="24"/>
                <w:szCs w:val="24"/>
                <w:lang w:val="en-GB"/>
              </w:rPr>
            </w:pPr>
            <w:r w:rsidRPr="002359DD">
              <w:rPr>
                <w:rFonts w:cstheme="minorHAnsi"/>
                <w:b w:val="0"/>
                <w:i/>
                <w:color w:val="000000"/>
                <w:sz w:val="24"/>
                <w:szCs w:val="24"/>
                <w:lang w:val="en-GB"/>
              </w:rPr>
              <w:t>Goal 16: Promote just, peaceful and inclusive societies</w:t>
            </w:r>
          </w:p>
        </w:tc>
      </w:tr>
      <w:tr w:rsidR="004F3248" w:rsidRPr="00BC2010" w14:paraId="152F9879"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hideMark/>
          </w:tcPr>
          <w:p w14:paraId="3A1D32A7" w14:textId="77777777" w:rsidR="004F3248" w:rsidRPr="00BC2010" w:rsidRDefault="004F3248" w:rsidP="004F3248">
            <w:pPr>
              <w:pStyle w:val="FigureTitle"/>
              <w:keepLines w:val="0"/>
              <w:spacing w:before="0" w:after="0"/>
              <w:jc w:val="left"/>
              <w:rPr>
                <w:sz w:val="24"/>
                <w:szCs w:val="24"/>
              </w:rPr>
            </w:pPr>
            <w:r w:rsidRPr="00BC2010">
              <w:rPr>
                <w:sz w:val="24"/>
                <w:szCs w:val="24"/>
              </w:rPr>
              <w:t>Value Transfer:</w:t>
            </w:r>
          </w:p>
        </w:tc>
        <w:tc>
          <w:tcPr>
            <w:tcW w:w="3189" w:type="dxa"/>
            <w:tcBorders>
              <w:top w:val="single" w:sz="6" w:space="0" w:color="auto"/>
              <w:left w:val="single" w:sz="6" w:space="0" w:color="auto"/>
              <w:bottom w:val="single" w:sz="6" w:space="0" w:color="auto"/>
              <w:right w:val="single" w:sz="6" w:space="0" w:color="auto"/>
            </w:tcBorders>
          </w:tcPr>
          <w:p w14:paraId="0D2D1380" w14:textId="24CFF6A7" w:rsidR="004F3248" w:rsidRPr="00147CE0" w:rsidRDefault="00864230" w:rsidP="004F3248">
            <w:pPr>
              <w:pStyle w:val="FigureTitle"/>
              <w:keepLines w:val="0"/>
              <w:spacing w:before="0" w:after="0"/>
              <w:jc w:val="left"/>
              <w:rPr>
                <w:b w:val="0"/>
                <w:i/>
              </w:rPr>
            </w:pPr>
            <w:r>
              <w:rPr>
                <w:b w:val="0"/>
                <w:i/>
                <w:sz w:val="24"/>
                <w:szCs w:val="24"/>
              </w:rPr>
              <w:t>Fingerprints of digital identity and personal data items</w:t>
            </w:r>
          </w:p>
        </w:tc>
        <w:tc>
          <w:tcPr>
            <w:tcW w:w="2126" w:type="dxa"/>
            <w:tcBorders>
              <w:top w:val="single" w:sz="6" w:space="0" w:color="auto"/>
              <w:left w:val="single" w:sz="6" w:space="0" w:color="auto"/>
              <w:bottom w:val="single" w:sz="6" w:space="0" w:color="auto"/>
              <w:right w:val="single" w:sz="6" w:space="0" w:color="auto"/>
            </w:tcBorders>
            <w:shd w:val="pct15" w:color="auto" w:fill="FFFFFF"/>
            <w:hideMark/>
          </w:tcPr>
          <w:p w14:paraId="1551DF62" w14:textId="11A32BAE" w:rsidR="004F3248" w:rsidRPr="00BC2010" w:rsidRDefault="004F3248" w:rsidP="004F3248">
            <w:pPr>
              <w:pStyle w:val="FigureTitle"/>
              <w:keepLines w:val="0"/>
              <w:spacing w:before="0" w:after="0"/>
              <w:jc w:val="left"/>
              <w:rPr>
                <w:sz w:val="24"/>
                <w:szCs w:val="24"/>
              </w:rPr>
            </w:pPr>
            <w:r w:rsidRPr="00BC2010">
              <w:rPr>
                <w:sz w:val="24"/>
                <w:szCs w:val="24"/>
              </w:rPr>
              <w:t>N</w:t>
            </w:r>
            <w:r>
              <w:rPr>
                <w:sz w:val="24"/>
                <w:szCs w:val="24"/>
              </w:rPr>
              <w:t>umber</w:t>
            </w:r>
            <w:r w:rsidRPr="00BC2010">
              <w:rPr>
                <w:sz w:val="24"/>
                <w:szCs w:val="24"/>
              </w:rPr>
              <w:t xml:space="preserve"> of </w:t>
            </w:r>
            <w:r>
              <w:rPr>
                <w:sz w:val="24"/>
                <w:szCs w:val="24"/>
              </w:rPr>
              <w:t>Users</w:t>
            </w:r>
            <w:r w:rsidRPr="00BC2010">
              <w:rPr>
                <w:sz w:val="24"/>
                <w:szCs w:val="24"/>
              </w:rPr>
              <w:t>:</w:t>
            </w:r>
          </w:p>
        </w:tc>
        <w:tc>
          <w:tcPr>
            <w:tcW w:w="2126" w:type="dxa"/>
            <w:tcBorders>
              <w:top w:val="single" w:sz="6" w:space="0" w:color="auto"/>
              <w:left w:val="single" w:sz="6" w:space="0" w:color="auto"/>
              <w:bottom w:val="single" w:sz="6" w:space="0" w:color="auto"/>
              <w:right w:val="single" w:sz="6" w:space="0" w:color="auto"/>
            </w:tcBorders>
          </w:tcPr>
          <w:p w14:paraId="00F369D4" w14:textId="09E6A6E3" w:rsidR="004F3248" w:rsidRPr="00120AF0" w:rsidRDefault="00864230" w:rsidP="004F3248">
            <w:pPr>
              <w:pStyle w:val="FigureTitle"/>
              <w:keepLines w:val="0"/>
              <w:spacing w:before="0" w:after="0"/>
              <w:jc w:val="left"/>
              <w:rPr>
                <w:b w:val="0"/>
                <w:i/>
                <w:sz w:val="24"/>
                <w:szCs w:val="24"/>
              </w:rPr>
            </w:pPr>
            <w:r>
              <w:rPr>
                <w:b w:val="0"/>
                <w:i/>
                <w:sz w:val="24"/>
                <w:szCs w:val="24"/>
              </w:rPr>
              <w:t>Large scale including citizens of many EU countries</w:t>
            </w:r>
          </w:p>
        </w:tc>
      </w:tr>
      <w:tr w:rsidR="004F3248" w:rsidRPr="00BC2010" w14:paraId="29427A3E"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36704520" w14:textId="02BAB8D8" w:rsidR="004F3248" w:rsidRPr="00BC2010" w:rsidRDefault="004F3248" w:rsidP="004F3248">
            <w:pPr>
              <w:pStyle w:val="FigureTitle"/>
              <w:keepLines w:val="0"/>
              <w:spacing w:before="0" w:after="0"/>
              <w:jc w:val="left"/>
              <w:rPr>
                <w:sz w:val="24"/>
                <w:szCs w:val="24"/>
              </w:rPr>
            </w:pPr>
            <w:r>
              <w:rPr>
                <w:sz w:val="24"/>
                <w:szCs w:val="24"/>
              </w:rPr>
              <w:t xml:space="preserve">Types of </w:t>
            </w:r>
            <w:r w:rsidRPr="00BC2010">
              <w:rPr>
                <w:sz w:val="24"/>
                <w:szCs w:val="24"/>
              </w:rPr>
              <w:t>Users:</w:t>
            </w:r>
          </w:p>
        </w:tc>
        <w:tc>
          <w:tcPr>
            <w:tcW w:w="7441" w:type="dxa"/>
            <w:gridSpan w:val="3"/>
            <w:tcBorders>
              <w:top w:val="single" w:sz="6" w:space="0" w:color="auto"/>
              <w:left w:val="single" w:sz="6" w:space="0" w:color="auto"/>
              <w:bottom w:val="single" w:sz="6" w:space="0" w:color="auto"/>
              <w:right w:val="single" w:sz="6" w:space="0" w:color="auto"/>
            </w:tcBorders>
          </w:tcPr>
          <w:p w14:paraId="0C18AA1B" w14:textId="4EE07E35" w:rsidR="004F3248" w:rsidRPr="00FE1151" w:rsidRDefault="00864230" w:rsidP="004F3248">
            <w:pPr>
              <w:pStyle w:val="BodyText"/>
              <w:rPr>
                <w:i/>
                <w:lang w:val="en-US"/>
              </w:rPr>
            </w:pPr>
            <w:r w:rsidRPr="00864230">
              <w:rPr>
                <w:i/>
                <w:lang w:val="en-US"/>
              </w:rPr>
              <w:t>Data Subjects,  Data Controllers, and  Data Processors</w:t>
            </w:r>
          </w:p>
        </w:tc>
      </w:tr>
      <w:tr w:rsidR="004F3248" w:rsidRPr="000B4C3C" w14:paraId="64C5AD87"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0A241CB5" w14:textId="0E9EF467" w:rsidR="004F3248" w:rsidRDefault="004F3248" w:rsidP="004F3248">
            <w:pPr>
              <w:pStyle w:val="FigureTitle"/>
              <w:keepLines w:val="0"/>
              <w:spacing w:before="0" w:after="0"/>
              <w:jc w:val="left"/>
              <w:rPr>
                <w:sz w:val="24"/>
                <w:szCs w:val="24"/>
              </w:rPr>
            </w:pPr>
            <w:r>
              <w:rPr>
                <w:sz w:val="24"/>
                <w:szCs w:val="24"/>
              </w:rPr>
              <w:t>Stakeholders</w:t>
            </w:r>
          </w:p>
        </w:tc>
        <w:tc>
          <w:tcPr>
            <w:tcW w:w="7441" w:type="dxa"/>
            <w:gridSpan w:val="3"/>
            <w:tcBorders>
              <w:top w:val="single" w:sz="6" w:space="0" w:color="auto"/>
              <w:left w:val="single" w:sz="6" w:space="0" w:color="auto"/>
              <w:bottom w:val="single" w:sz="6" w:space="0" w:color="auto"/>
              <w:right w:val="single" w:sz="6" w:space="0" w:color="auto"/>
            </w:tcBorders>
          </w:tcPr>
          <w:p w14:paraId="266DFE68" w14:textId="1A1E8E58" w:rsidR="004F3248" w:rsidRPr="000B4C3C" w:rsidRDefault="00864230" w:rsidP="00864230">
            <w:pPr>
              <w:pStyle w:val="BodyText"/>
              <w:rPr>
                <w:i/>
                <w:lang w:val="en-US"/>
              </w:rPr>
            </w:pPr>
            <w:r>
              <w:rPr>
                <w:i/>
                <w:lang w:val="en-US"/>
              </w:rPr>
              <w:t>Citizens, enterprises handling digital identity and personal data items, government institutions auditing privacy practices of enterprises.</w:t>
            </w:r>
          </w:p>
        </w:tc>
      </w:tr>
      <w:tr w:rsidR="004F3248" w:rsidRPr="000B4C3C" w14:paraId="62D52D0C"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2140CF1D" w14:textId="4CCD65A9" w:rsidR="004F3248" w:rsidRDefault="004F3248" w:rsidP="004F3248">
            <w:pPr>
              <w:pStyle w:val="FigureTitle"/>
              <w:keepLines w:val="0"/>
              <w:spacing w:before="0" w:after="0"/>
              <w:jc w:val="left"/>
              <w:rPr>
                <w:sz w:val="24"/>
                <w:szCs w:val="24"/>
              </w:rPr>
            </w:pPr>
            <w:r w:rsidRPr="00BC2010">
              <w:rPr>
                <w:sz w:val="24"/>
                <w:szCs w:val="24"/>
              </w:rPr>
              <w:lastRenderedPageBreak/>
              <w:t>Data:</w:t>
            </w:r>
          </w:p>
        </w:tc>
        <w:tc>
          <w:tcPr>
            <w:tcW w:w="7441" w:type="dxa"/>
            <w:gridSpan w:val="3"/>
            <w:tcBorders>
              <w:top w:val="single" w:sz="6" w:space="0" w:color="auto"/>
              <w:left w:val="single" w:sz="6" w:space="0" w:color="auto"/>
              <w:bottom w:val="single" w:sz="6" w:space="0" w:color="auto"/>
              <w:right w:val="single" w:sz="6" w:space="0" w:color="auto"/>
            </w:tcBorders>
          </w:tcPr>
          <w:p w14:paraId="4E566107" w14:textId="014B38BC" w:rsidR="00276737" w:rsidRPr="000B4C3C" w:rsidRDefault="00864230" w:rsidP="00276737">
            <w:pPr>
              <w:jc w:val="both"/>
              <w:rPr>
                <w:i/>
                <w:lang w:val="en-US"/>
              </w:rPr>
            </w:pPr>
            <w:r>
              <w:rPr>
                <w:i/>
              </w:rPr>
              <w:t xml:space="preserve">Fingerprints of pairs of data type and values exchanged between a data subject and data controller, including an obfuscated usage control policy regulating how the data should be used by the controller/processor. </w:t>
            </w:r>
          </w:p>
        </w:tc>
      </w:tr>
      <w:tr w:rsidR="004F3248" w:rsidRPr="000B4C3C" w14:paraId="5EA0570A"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76586B58" w14:textId="77777777" w:rsidR="004F3248" w:rsidRPr="00BC2010" w:rsidRDefault="004F3248" w:rsidP="004F3248">
            <w:pPr>
              <w:pStyle w:val="FigureTitle"/>
              <w:keepLines w:val="0"/>
              <w:spacing w:before="0" w:after="0"/>
              <w:jc w:val="left"/>
              <w:rPr>
                <w:sz w:val="24"/>
                <w:szCs w:val="24"/>
              </w:rPr>
            </w:pPr>
            <w:r>
              <w:rPr>
                <w:sz w:val="24"/>
                <w:szCs w:val="24"/>
              </w:rPr>
              <w:t>Identification:</w:t>
            </w:r>
          </w:p>
        </w:tc>
        <w:tc>
          <w:tcPr>
            <w:tcW w:w="7441" w:type="dxa"/>
            <w:gridSpan w:val="3"/>
            <w:tcBorders>
              <w:top w:val="single" w:sz="6" w:space="0" w:color="auto"/>
              <w:left w:val="single" w:sz="6" w:space="0" w:color="auto"/>
              <w:bottom w:val="single" w:sz="6" w:space="0" w:color="auto"/>
              <w:right w:val="single" w:sz="6" w:space="0" w:color="auto"/>
            </w:tcBorders>
          </w:tcPr>
          <w:p w14:paraId="391B1278" w14:textId="04878057" w:rsidR="004F3248" w:rsidRPr="00276737" w:rsidRDefault="00276737" w:rsidP="00276737">
            <w:pPr>
              <w:pStyle w:val="Heading3"/>
              <w:ind w:left="0" w:firstLine="0"/>
              <w:rPr>
                <w:b w:val="0"/>
              </w:rPr>
            </w:pPr>
            <w:r w:rsidRPr="00276737">
              <w:rPr>
                <w:b w:val="0"/>
                <w:i/>
              </w:rPr>
              <w:t>The use case proposes a priva</w:t>
            </w:r>
            <w:r>
              <w:rPr>
                <w:b w:val="0"/>
                <w:i/>
              </w:rPr>
              <w:t xml:space="preserve">cy-friendly way of encoding identities, </w:t>
            </w:r>
            <w:r w:rsidRPr="00276737">
              <w:rPr>
                <w:b w:val="0"/>
                <w:i/>
              </w:rPr>
              <w:t>data and policies in a way that is still meaningful for auditability purposes. The only thing that can be learned is the structure of the policy specified by data subjects and no details about the data or restricted activities that can be performed by data processors and controllers.</w:t>
            </w:r>
          </w:p>
        </w:tc>
      </w:tr>
      <w:tr w:rsidR="004F3248" w:rsidRPr="00BC2010" w14:paraId="64F7BA0E"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4838057B" w14:textId="77777777" w:rsidR="004F3248" w:rsidRPr="00BC2010" w:rsidRDefault="004F3248" w:rsidP="004F3248">
            <w:pPr>
              <w:pStyle w:val="FigureTitle"/>
              <w:keepLines w:val="0"/>
              <w:spacing w:before="0" w:after="0"/>
              <w:jc w:val="left"/>
              <w:rPr>
                <w:sz w:val="24"/>
                <w:szCs w:val="24"/>
              </w:rPr>
            </w:pPr>
            <w:r>
              <w:rPr>
                <w:sz w:val="24"/>
                <w:szCs w:val="24"/>
              </w:rPr>
              <w:t>Predicted Outcomes:</w:t>
            </w:r>
          </w:p>
        </w:tc>
        <w:tc>
          <w:tcPr>
            <w:tcW w:w="7441" w:type="dxa"/>
            <w:gridSpan w:val="3"/>
            <w:tcBorders>
              <w:top w:val="single" w:sz="6" w:space="0" w:color="auto"/>
              <w:left w:val="single" w:sz="6" w:space="0" w:color="auto"/>
              <w:bottom w:val="single" w:sz="6" w:space="0" w:color="auto"/>
              <w:right w:val="single" w:sz="6" w:space="0" w:color="auto"/>
            </w:tcBorders>
          </w:tcPr>
          <w:p w14:paraId="28371A46" w14:textId="77777777" w:rsidR="004F3248" w:rsidRPr="00BC2010" w:rsidRDefault="004F3248" w:rsidP="004F3248">
            <w:pPr>
              <w:pStyle w:val="BodyText"/>
              <w:rPr>
                <w:lang w:val="en-US"/>
              </w:rPr>
            </w:pPr>
          </w:p>
        </w:tc>
      </w:tr>
    </w:tbl>
    <w:p w14:paraId="0EA9A7FF" w14:textId="77777777" w:rsidR="00BB79EF" w:rsidRDefault="00BB79EF" w:rsidP="006F75D5">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BC2010" w14:paraId="669D78C9"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1D9E8D3F" w14:textId="77777777" w:rsidR="0098615E" w:rsidRPr="00BC2010" w:rsidRDefault="0098615E" w:rsidP="006675B5">
            <w:pPr>
              <w:pStyle w:val="FigureTitle"/>
              <w:keepLines w:val="0"/>
              <w:spacing w:before="0" w:after="0"/>
              <w:jc w:val="left"/>
              <w:rPr>
                <w:sz w:val="24"/>
                <w:szCs w:val="24"/>
              </w:rPr>
            </w:pPr>
            <w:r w:rsidRPr="00BC2010">
              <w:rPr>
                <w:sz w:val="24"/>
                <w:szCs w:val="24"/>
              </w:rPr>
              <w:t>Overview of the Business Problem or Opportunity</w:t>
            </w:r>
          </w:p>
        </w:tc>
      </w:tr>
      <w:tr w:rsidR="0098615E" w:rsidRPr="00BC2010" w14:paraId="375EE7E0"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57404E76" w14:textId="77777777" w:rsidR="000831A0" w:rsidRPr="00276737" w:rsidRDefault="000831A0" w:rsidP="000831A0">
            <w:pPr>
              <w:rPr>
                <w:i/>
              </w:rPr>
            </w:pPr>
            <w:r w:rsidRPr="00276737">
              <w:rPr>
                <w:i/>
              </w:rPr>
              <w:t>Subjects provide data to controllers and processors and have no auditable way of verifying how their data is being processed, stored, and redistributed. In case of privacy violations reported by subjects controllers and processors should be able to prove the data is stored and processed according to the subjects’ privacy requirements.</w:t>
            </w:r>
          </w:p>
          <w:p w14:paraId="422F9B20" w14:textId="1729DFB2" w:rsidR="000831A0" w:rsidRPr="00276737" w:rsidRDefault="000831A0" w:rsidP="002B7FBD">
            <w:pPr>
              <w:jc w:val="both"/>
              <w:rPr>
                <w:i/>
              </w:rPr>
            </w:pPr>
            <w:r w:rsidRPr="00276737">
              <w:rPr>
                <w:i/>
              </w:rPr>
              <w:t>Smart contracts can be used as an auditable way of encoding data provenance information and privacy requirements to enable subjects to evaluate who has accessed their data and the conditions for storage, processing, and redistribution of the data. In case subjects believe their privacy requirements are not being fulfilled they can revoke data access and usage rights using the blockchain. This provides a mechanism for legal compliance in the face of the new EU General Data Protection Regulation (GDPR). Since in public blockchains the smart contracts are readable by anyone the data provenance and accountability information should be encoded in a privacy friendly way.</w:t>
            </w:r>
          </w:p>
        </w:tc>
      </w:tr>
      <w:tr w:rsidR="0098615E" w:rsidRPr="00BC2010" w14:paraId="4371DBAD"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4EF260A1" w14:textId="77777777" w:rsidR="0098615E" w:rsidRPr="00BC2010" w:rsidRDefault="0098615E" w:rsidP="006675B5">
            <w:pPr>
              <w:pStyle w:val="FigureTitle"/>
              <w:keepLines w:val="0"/>
              <w:spacing w:before="0" w:after="0"/>
              <w:jc w:val="left"/>
              <w:rPr>
                <w:sz w:val="24"/>
                <w:szCs w:val="24"/>
              </w:rPr>
            </w:pPr>
            <w:r w:rsidRPr="00BC2010">
              <w:rPr>
                <w:sz w:val="24"/>
                <w:szCs w:val="24"/>
              </w:rPr>
              <w:t>Why Distributed Ledger Technology?</w:t>
            </w:r>
          </w:p>
        </w:tc>
      </w:tr>
      <w:tr w:rsidR="0098615E" w:rsidRPr="00BC2010" w14:paraId="22086EDC"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020557DD" w14:textId="0C2F9974" w:rsidR="00276737" w:rsidRPr="00276737" w:rsidRDefault="00276737" w:rsidP="002B7FBD">
            <w:pPr>
              <w:rPr>
                <w:i/>
              </w:rPr>
            </w:pPr>
            <w:r w:rsidRPr="00276737">
              <w:rPr>
                <w:i/>
              </w:rPr>
              <w:t>In traditional centralized ledgers data subjects have no way of auditing and verifying (1) the set of data accessed by data controllers and processors and (2) how the provided data is being used.</w:t>
            </w:r>
            <w:r w:rsidR="002B7FBD">
              <w:rPr>
                <w:i/>
              </w:rPr>
              <w:t xml:space="preserve"> </w:t>
            </w:r>
            <w:r>
              <w:rPr>
                <w:i/>
              </w:rPr>
              <w:t>The use case relies on the immutability, verifiability, and transparency of DLT.</w:t>
            </w:r>
          </w:p>
        </w:tc>
      </w:tr>
    </w:tbl>
    <w:p w14:paraId="3891C2E5" w14:textId="77777777" w:rsidR="0098615E" w:rsidRDefault="0098615E">
      <w:pPr>
        <w:tabs>
          <w:tab w:val="clear" w:pos="794"/>
          <w:tab w:val="clear" w:pos="1191"/>
          <w:tab w:val="clear" w:pos="1588"/>
          <w:tab w:val="clear" w:pos="1985"/>
        </w:tabs>
        <w:overflowPunct/>
        <w:autoSpaceDE/>
        <w:autoSpaceDN/>
        <w:adjustRightInd/>
        <w:spacing w:before="0"/>
        <w:textAlignment w:val="auto"/>
        <w:rPr>
          <w:b/>
          <w:szCs w:val="24"/>
          <w:lang w:val="en-US"/>
        </w:rPr>
      </w:pPr>
    </w:p>
    <w:p w14:paraId="3DD3F162" w14:textId="77777777" w:rsidR="0098615E" w:rsidRPr="0098615E" w:rsidRDefault="000B4C3C" w:rsidP="00631AFC">
      <w:pPr>
        <w:jc w:val="center"/>
        <w:outlineLvl w:val="0"/>
        <w:rPr>
          <w:b/>
          <w:szCs w:val="24"/>
          <w:u w:val="single"/>
          <w:lang w:val="en-US"/>
        </w:rPr>
      </w:pPr>
      <w:r>
        <w:rPr>
          <w:b/>
          <w:szCs w:val="24"/>
          <w:u w:val="single"/>
          <w:lang w:val="en-US"/>
        </w:rPr>
        <w:t>Section 2</w:t>
      </w:r>
      <w:r w:rsidR="0098615E" w:rsidRPr="0098615E">
        <w:rPr>
          <w:b/>
          <w:szCs w:val="24"/>
          <w:u w:val="single"/>
          <w:lang w:val="en-US"/>
        </w:rPr>
        <w:t xml:space="preserve"> Current process</w:t>
      </w:r>
    </w:p>
    <w:p w14:paraId="06E019AB" w14:textId="77777777" w:rsidR="0098615E" w:rsidRDefault="0098615E" w:rsidP="006F75D5">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BC2010" w14:paraId="257A61E6"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5E455929" w14:textId="77777777" w:rsidR="0098615E" w:rsidRPr="00BC2010" w:rsidRDefault="0098615E" w:rsidP="006675B5">
            <w:pPr>
              <w:pStyle w:val="FigureTitle"/>
              <w:keepLines w:val="0"/>
              <w:spacing w:before="0" w:after="0"/>
              <w:jc w:val="left"/>
              <w:rPr>
                <w:sz w:val="24"/>
                <w:szCs w:val="24"/>
              </w:rPr>
            </w:pPr>
            <w:r w:rsidRPr="00BC2010">
              <w:rPr>
                <w:sz w:val="24"/>
                <w:szCs w:val="24"/>
              </w:rPr>
              <w:t>Current Solutions</w:t>
            </w:r>
          </w:p>
        </w:tc>
      </w:tr>
      <w:tr w:rsidR="0098615E" w:rsidRPr="00BC2010" w14:paraId="21F244D2"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630A6C86" w14:textId="426002EC" w:rsidR="0098615E" w:rsidRPr="00147CE0" w:rsidRDefault="00276737" w:rsidP="006675B5">
            <w:pPr>
              <w:jc w:val="both"/>
              <w:rPr>
                <w:i/>
              </w:rPr>
            </w:pPr>
            <w:r>
              <w:rPr>
                <w:i/>
              </w:rPr>
              <w:t>Not available.</w:t>
            </w:r>
          </w:p>
        </w:tc>
      </w:tr>
    </w:tbl>
    <w:p w14:paraId="6646F498" w14:textId="77777777" w:rsidR="0098615E" w:rsidRPr="00BC2010" w:rsidRDefault="0098615E" w:rsidP="006F75D5">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26"/>
        <w:gridCol w:w="3240"/>
        <w:gridCol w:w="5615"/>
      </w:tblGrid>
      <w:tr w:rsidR="006F75D5" w:rsidRPr="00BC2010" w14:paraId="7E60EF5E" w14:textId="77777777" w:rsidTr="00BC2010">
        <w:trPr>
          <w:cantSplit/>
          <w:trHeight w:val="280"/>
          <w:tblHeader/>
        </w:trPr>
        <w:tc>
          <w:tcPr>
            <w:tcW w:w="9781" w:type="dxa"/>
            <w:gridSpan w:val="3"/>
            <w:tcBorders>
              <w:top w:val="single" w:sz="6" w:space="0" w:color="auto"/>
              <w:left w:val="single" w:sz="6" w:space="0" w:color="auto"/>
              <w:bottom w:val="nil"/>
              <w:right w:val="single" w:sz="6" w:space="0" w:color="auto"/>
            </w:tcBorders>
            <w:shd w:val="pct15" w:color="auto" w:fill="FFFFFF"/>
            <w:hideMark/>
          </w:tcPr>
          <w:p w14:paraId="4B224FEC" w14:textId="77777777" w:rsidR="006F75D5" w:rsidRPr="00BC2010" w:rsidRDefault="005E461B" w:rsidP="00BC2010">
            <w:pPr>
              <w:pStyle w:val="FigureTitle"/>
              <w:keepLines w:val="0"/>
              <w:spacing w:before="0" w:after="0"/>
              <w:jc w:val="left"/>
              <w:rPr>
                <w:b w:val="0"/>
                <w:sz w:val="24"/>
                <w:szCs w:val="24"/>
              </w:rPr>
            </w:pPr>
            <w:r w:rsidRPr="00BC2010">
              <w:rPr>
                <w:sz w:val="24"/>
                <w:szCs w:val="24"/>
              </w:rPr>
              <w:t>Existing</w:t>
            </w:r>
            <w:r w:rsidR="001273E3" w:rsidRPr="00BC2010">
              <w:rPr>
                <w:sz w:val="24"/>
                <w:szCs w:val="24"/>
              </w:rPr>
              <w:t xml:space="preserve"> Flow</w:t>
            </w:r>
            <w:r w:rsidR="008518CF">
              <w:rPr>
                <w:sz w:val="24"/>
                <w:szCs w:val="24"/>
              </w:rPr>
              <w:t xml:space="preserve"> (as-is)</w:t>
            </w:r>
          </w:p>
        </w:tc>
      </w:tr>
      <w:tr w:rsidR="006F75D5" w:rsidRPr="00BC2010" w14:paraId="3477A11C" w14:textId="77777777" w:rsidTr="00BC2010">
        <w:trPr>
          <w:cantSplit/>
          <w:trHeight w:val="280"/>
          <w:tblHeader/>
        </w:trPr>
        <w:tc>
          <w:tcPr>
            <w:tcW w:w="926" w:type="dxa"/>
            <w:tcBorders>
              <w:top w:val="single" w:sz="6" w:space="0" w:color="auto"/>
              <w:left w:val="single" w:sz="6" w:space="0" w:color="auto"/>
              <w:bottom w:val="nil"/>
              <w:right w:val="single" w:sz="6" w:space="0" w:color="auto"/>
            </w:tcBorders>
            <w:shd w:val="pct15" w:color="auto" w:fill="FFFFFF"/>
            <w:hideMark/>
          </w:tcPr>
          <w:p w14:paraId="67CBD2CC" w14:textId="77777777" w:rsidR="006F75D5" w:rsidRPr="00BC2010" w:rsidRDefault="006F75D5" w:rsidP="00BC2010">
            <w:pPr>
              <w:pStyle w:val="FigureTitle"/>
              <w:keepLines w:val="0"/>
              <w:spacing w:before="0" w:after="0"/>
              <w:rPr>
                <w:sz w:val="24"/>
                <w:szCs w:val="24"/>
              </w:rPr>
            </w:pPr>
            <w:r w:rsidRPr="00BC2010">
              <w:rPr>
                <w:sz w:val="24"/>
                <w:szCs w:val="24"/>
              </w:rPr>
              <w:t>Step</w:t>
            </w:r>
          </w:p>
        </w:tc>
        <w:tc>
          <w:tcPr>
            <w:tcW w:w="3240" w:type="dxa"/>
            <w:tcBorders>
              <w:top w:val="single" w:sz="6" w:space="0" w:color="auto"/>
              <w:left w:val="single" w:sz="6" w:space="0" w:color="auto"/>
              <w:bottom w:val="nil"/>
              <w:right w:val="single" w:sz="6" w:space="0" w:color="auto"/>
            </w:tcBorders>
            <w:shd w:val="pct15" w:color="auto" w:fill="FFFFFF"/>
            <w:hideMark/>
          </w:tcPr>
          <w:p w14:paraId="1162BA72" w14:textId="77777777" w:rsidR="006F75D5" w:rsidRPr="00BC2010" w:rsidRDefault="006F75D5" w:rsidP="00BC2010">
            <w:pPr>
              <w:pStyle w:val="FigureTitle"/>
              <w:keepLines w:val="0"/>
              <w:spacing w:before="0" w:after="0"/>
              <w:rPr>
                <w:sz w:val="24"/>
                <w:szCs w:val="24"/>
              </w:rPr>
            </w:pPr>
            <w:r w:rsidRPr="00BC2010">
              <w:rPr>
                <w:sz w:val="24"/>
                <w:szCs w:val="24"/>
              </w:rPr>
              <w:t>User Actions</w:t>
            </w:r>
          </w:p>
        </w:tc>
        <w:tc>
          <w:tcPr>
            <w:tcW w:w="5615" w:type="dxa"/>
            <w:tcBorders>
              <w:top w:val="single" w:sz="6" w:space="0" w:color="auto"/>
              <w:left w:val="single" w:sz="6" w:space="0" w:color="auto"/>
              <w:bottom w:val="single" w:sz="6" w:space="0" w:color="auto"/>
              <w:right w:val="single" w:sz="6" w:space="0" w:color="auto"/>
            </w:tcBorders>
            <w:shd w:val="pct15" w:color="auto" w:fill="FFFFFF"/>
            <w:hideMark/>
          </w:tcPr>
          <w:p w14:paraId="13977531" w14:textId="77777777" w:rsidR="006F75D5" w:rsidRPr="00BC2010" w:rsidRDefault="006F75D5" w:rsidP="00BC2010">
            <w:pPr>
              <w:pStyle w:val="FigureTitle"/>
              <w:keepLines w:val="0"/>
              <w:spacing w:before="0" w:after="0"/>
              <w:rPr>
                <w:sz w:val="24"/>
                <w:szCs w:val="24"/>
              </w:rPr>
            </w:pPr>
            <w:r w:rsidRPr="00BC2010">
              <w:rPr>
                <w:sz w:val="24"/>
                <w:szCs w:val="24"/>
              </w:rPr>
              <w:t>System Actions</w:t>
            </w:r>
          </w:p>
        </w:tc>
      </w:tr>
      <w:tr w:rsidR="006F75D5" w:rsidRPr="00BC2010" w14:paraId="166B261E" w14:textId="77777777" w:rsidTr="002B7FBD">
        <w:trPr>
          <w:cantSplit/>
          <w:trHeight w:val="540"/>
        </w:trPr>
        <w:tc>
          <w:tcPr>
            <w:tcW w:w="926" w:type="dxa"/>
            <w:tcBorders>
              <w:top w:val="single" w:sz="6" w:space="0" w:color="auto"/>
              <w:left w:val="single" w:sz="6" w:space="0" w:color="auto"/>
              <w:bottom w:val="single" w:sz="6" w:space="0" w:color="auto"/>
              <w:right w:val="single" w:sz="6" w:space="0" w:color="auto"/>
            </w:tcBorders>
          </w:tcPr>
          <w:p w14:paraId="6C6C6D83" w14:textId="66F0810F" w:rsidR="006F75D5" w:rsidRPr="00A707B2" w:rsidRDefault="006F75D5">
            <w:pPr>
              <w:rPr>
                <w:szCs w:val="24"/>
              </w:rPr>
            </w:pPr>
          </w:p>
        </w:tc>
        <w:tc>
          <w:tcPr>
            <w:tcW w:w="3240" w:type="dxa"/>
            <w:tcBorders>
              <w:top w:val="single" w:sz="6" w:space="0" w:color="auto"/>
              <w:left w:val="single" w:sz="6" w:space="0" w:color="auto"/>
              <w:bottom w:val="single" w:sz="6" w:space="0" w:color="auto"/>
              <w:right w:val="single" w:sz="6" w:space="0" w:color="auto"/>
            </w:tcBorders>
          </w:tcPr>
          <w:p w14:paraId="16B2193A" w14:textId="7EF3B841" w:rsidR="006F75D5" w:rsidRPr="00A707B2" w:rsidRDefault="006F75D5">
            <w:pPr>
              <w:pStyle w:val="NormalComment"/>
              <w:rPr>
                <w:color w:val="auto"/>
                <w:szCs w:val="24"/>
              </w:rPr>
            </w:pPr>
          </w:p>
        </w:tc>
        <w:tc>
          <w:tcPr>
            <w:tcW w:w="5615" w:type="dxa"/>
            <w:tcBorders>
              <w:top w:val="single" w:sz="6" w:space="0" w:color="auto"/>
              <w:left w:val="single" w:sz="6" w:space="0" w:color="auto"/>
              <w:bottom w:val="single" w:sz="6" w:space="0" w:color="auto"/>
              <w:right w:val="single" w:sz="6" w:space="0" w:color="auto"/>
            </w:tcBorders>
          </w:tcPr>
          <w:p w14:paraId="497E896E" w14:textId="037A1E94" w:rsidR="006F75D5" w:rsidRPr="00A707B2" w:rsidRDefault="006F75D5" w:rsidP="00276737">
            <w:pPr>
              <w:pStyle w:val="NormalComment"/>
              <w:rPr>
                <w:color w:val="auto"/>
                <w:szCs w:val="24"/>
              </w:rPr>
            </w:pPr>
          </w:p>
        </w:tc>
      </w:tr>
      <w:tr w:rsidR="006F75D5" w:rsidRPr="00BC2010" w14:paraId="668CB3C7" w14:textId="77777777" w:rsidTr="002B7FBD">
        <w:trPr>
          <w:cantSplit/>
          <w:trHeight w:val="540"/>
        </w:trPr>
        <w:tc>
          <w:tcPr>
            <w:tcW w:w="926" w:type="dxa"/>
            <w:tcBorders>
              <w:top w:val="single" w:sz="6" w:space="0" w:color="auto"/>
              <w:left w:val="single" w:sz="6" w:space="0" w:color="auto"/>
              <w:bottom w:val="single" w:sz="6" w:space="0" w:color="auto"/>
              <w:right w:val="single" w:sz="6" w:space="0" w:color="auto"/>
            </w:tcBorders>
          </w:tcPr>
          <w:p w14:paraId="27A2089E" w14:textId="60287C4C" w:rsidR="006F75D5" w:rsidRPr="00A707B2" w:rsidRDefault="006F75D5">
            <w:pPr>
              <w:rPr>
                <w:szCs w:val="24"/>
              </w:rPr>
            </w:pPr>
          </w:p>
        </w:tc>
        <w:tc>
          <w:tcPr>
            <w:tcW w:w="3240" w:type="dxa"/>
            <w:tcBorders>
              <w:top w:val="single" w:sz="6" w:space="0" w:color="auto"/>
              <w:left w:val="single" w:sz="6" w:space="0" w:color="auto"/>
              <w:bottom w:val="single" w:sz="6" w:space="0" w:color="auto"/>
              <w:right w:val="single" w:sz="6" w:space="0" w:color="auto"/>
            </w:tcBorders>
          </w:tcPr>
          <w:p w14:paraId="0E316653" w14:textId="5119A700" w:rsidR="006F75D5" w:rsidRPr="00A707B2" w:rsidRDefault="006F75D5">
            <w:pPr>
              <w:pStyle w:val="NormalComment"/>
              <w:rPr>
                <w:color w:val="auto"/>
                <w:szCs w:val="24"/>
              </w:rPr>
            </w:pPr>
          </w:p>
        </w:tc>
        <w:tc>
          <w:tcPr>
            <w:tcW w:w="5615" w:type="dxa"/>
            <w:tcBorders>
              <w:top w:val="single" w:sz="6" w:space="0" w:color="auto"/>
              <w:left w:val="single" w:sz="6" w:space="0" w:color="auto"/>
              <w:bottom w:val="single" w:sz="6" w:space="0" w:color="auto"/>
              <w:right w:val="single" w:sz="6" w:space="0" w:color="auto"/>
            </w:tcBorders>
          </w:tcPr>
          <w:p w14:paraId="182F3839" w14:textId="33940892" w:rsidR="006F75D5" w:rsidRPr="00A707B2" w:rsidRDefault="006F75D5" w:rsidP="00276737">
            <w:pPr>
              <w:pStyle w:val="NormalComment"/>
              <w:rPr>
                <w:color w:val="auto"/>
                <w:szCs w:val="24"/>
              </w:rPr>
            </w:pPr>
          </w:p>
        </w:tc>
      </w:tr>
      <w:tr w:rsidR="00276737" w:rsidRPr="00BC2010" w14:paraId="6ADE2A49" w14:textId="77777777" w:rsidTr="00BC2010">
        <w:trPr>
          <w:cantSplit/>
          <w:trHeight w:val="540"/>
        </w:trPr>
        <w:tc>
          <w:tcPr>
            <w:tcW w:w="926" w:type="dxa"/>
            <w:tcBorders>
              <w:top w:val="single" w:sz="6" w:space="0" w:color="auto"/>
              <w:left w:val="single" w:sz="6" w:space="0" w:color="auto"/>
              <w:bottom w:val="single" w:sz="6" w:space="0" w:color="auto"/>
              <w:right w:val="single" w:sz="6" w:space="0" w:color="auto"/>
            </w:tcBorders>
          </w:tcPr>
          <w:p w14:paraId="3E303C06" w14:textId="77F914AE" w:rsidR="00276737" w:rsidRPr="00A707B2" w:rsidRDefault="00276737">
            <w:pPr>
              <w:rPr>
                <w:szCs w:val="24"/>
              </w:rPr>
            </w:pPr>
          </w:p>
        </w:tc>
        <w:tc>
          <w:tcPr>
            <w:tcW w:w="3240" w:type="dxa"/>
            <w:tcBorders>
              <w:top w:val="single" w:sz="6" w:space="0" w:color="auto"/>
              <w:left w:val="single" w:sz="6" w:space="0" w:color="auto"/>
              <w:bottom w:val="single" w:sz="6" w:space="0" w:color="auto"/>
              <w:right w:val="single" w:sz="6" w:space="0" w:color="auto"/>
            </w:tcBorders>
          </w:tcPr>
          <w:p w14:paraId="5B7B9289" w14:textId="73C56D25" w:rsidR="00276737" w:rsidRDefault="00276737">
            <w:pPr>
              <w:pStyle w:val="NormalComment"/>
              <w:rPr>
                <w:color w:val="auto"/>
                <w:szCs w:val="24"/>
              </w:rPr>
            </w:pPr>
          </w:p>
        </w:tc>
        <w:tc>
          <w:tcPr>
            <w:tcW w:w="5615" w:type="dxa"/>
            <w:tcBorders>
              <w:top w:val="single" w:sz="6" w:space="0" w:color="auto"/>
              <w:left w:val="single" w:sz="6" w:space="0" w:color="auto"/>
              <w:bottom w:val="single" w:sz="6" w:space="0" w:color="auto"/>
              <w:right w:val="single" w:sz="6" w:space="0" w:color="auto"/>
            </w:tcBorders>
          </w:tcPr>
          <w:p w14:paraId="2EB1823D" w14:textId="0C354C86" w:rsidR="00276737" w:rsidRDefault="00276737" w:rsidP="00276737">
            <w:pPr>
              <w:pStyle w:val="NormalComment"/>
              <w:rPr>
                <w:color w:val="auto"/>
                <w:szCs w:val="24"/>
              </w:rPr>
            </w:pPr>
          </w:p>
        </w:tc>
      </w:tr>
      <w:tr w:rsidR="00276737" w:rsidRPr="00BC2010" w14:paraId="65FD6AD8" w14:textId="77777777" w:rsidTr="00BC2010">
        <w:trPr>
          <w:cantSplit/>
          <w:trHeight w:val="540"/>
        </w:trPr>
        <w:tc>
          <w:tcPr>
            <w:tcW w:w="926" w:type="dxa"/>
            <w:tcBorders>
              <w:top w:val="single" w:sz="6" w:space="0" w:color="auto"/>
              <w:left w:val="single" w:sz="6" w:space="0" w:color="auto"/>
              <w:bottom w:val="single" w:sz="6" w:space="0" w:color="auto"/>
              <w:right w:val="single" w:sz="6" w:space="0" w:color="auto"/>
            </w:tcBorders>
          </w:tcPr>
          <w:p w14:paraId="5CAC680B" w14:textId="60BBD349" w:rsidR="00276737" w:rsidRDefault="00276737">
            <w:pPr>
              <w:rPr>
                <w:szCs w:val="24"/>
              </w:rPr>
            </w:pPr>
          </w:p>
        </w:tc>
        <w:tc>
          <w:tcPr>
            <w:tcW w:w="3240" w:type="dxa"/>
            <w:tcBorders>
              <w:top w:val="single" w:sz="6" w:space="0" w:color="auto"/>
              <w:left w:val="single" w:sz="6" w:space="0" w:color="auto"/>
              <w:bottom w:val="single" w:sz="6" w:space="0" w:color="auto"/>
              <w:right w:val="single" w:sz="6" w:space="0" w:color="auto"/>
            </w:tcBorders>
          </w:tcPr>
          <w:p w14:paraId="5D205D1D" w14:textId="480AC888" w:rsidR="00276737" w:rsidRDefault="00276737">
            <w:pPr>
              <w:pStyle w:val="NormalComment"/>
              <w:rPr>
                <w:color w:val="auto"/>
                <w:szCs w:val="24"/>
              </w:rPr>
            </w:pPr>
          </w:p>
        </w:tc>
        <w:tc>
          <w:tcPr>
            <w:tcW w:w="5615" w:type="dxa"/>
            <w:tcBorders>
              <w:top w:val="single" w:sz="6" w:space="0" w:color="auto"/>
              <w:left w:val="single" w:sz="6" w:space="0" w:color="auto"/>
              <w:bottom w:val="single" w:sz="6" w:space="0" w:color="auto"/>
              <w:right w:val="single" w:sz="6" w:space="0" w:color="auto"/>
            </w:tcBorders>
          </w:tcPr>
          <w:p w14:paraId="3DA109B0" w14:textId="299B5B50" w:rsidR="00276737" w:rsidRDefault="00276737" w:rsidP="00276737">
            <w:pPr>
              <w:pStyle w:val="NormalComment"/>
              <w:rPr>
                <w:color w:val="auto"/>
                <w:szCs w:val="24"/>
              </w:rPr>
            </w:pPr>
          </w:p>
        </w:tc>
      </w:tr>
    </w:tbl>
    <w:p w14:paraId="3ED9C7AA" w14:textId="77777777" w:rsidR="006F75D5" w:rsidRDefault="006F75D5"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631D2F" w:rsidRPr="00BC2010" w14:paraId="3FBDA29C" w14:textId="77777777" w:rsidTr="006675B5">
        <w:trPr>
          <w:cantSplit/>
          <w:trHeight w:val="280"/>
          <w:tblHeader/>
        </w:trPr>
        <w:tc>
          <w:tcPr>
            <w:tcW w:w="9773" w:type="dxa"/>
            <w:tcBorders>
              <w:top w:val="single" w:sz="6" w:space="0" w:color="auto"/>
              <w:left w:val="single" w:sz="6" w:space="0" w:color="auto"/>
              <w:bottom w:val="nil"/>
              <w:right w:val="single" w:sz="6" w:space="0" w:color="auto"/>
            </w:tcBorders>
            <w:shd w:val="pct15" w:color="auto" w:fill="FFFFFF"/>
            <w:hideMark/>
          </w:tcPr>
          <w:p w14:paraId="43CD8D97" w14:textId="77777777" w:rsidR="00631D2F" w:rsidRPr="00BC2010" w:rsidRDefault="00631D2F" w:rsidP="00631D2F">
            <w:pPr>
              <w:pStyle w:val="FigureTitle"/>
              <w:keepLines w:val="0"/>
              <w:spacing w:before="0" w:after="0"/>
              <w:jc w:val="left"/>
              <w:rPr>
                <w:sz w:val="24"/>
                <w:szCs w:val="24"/>
              </w:rPr>
            </w:pPr>
            <w:r>
              <w:rPr>
                <w:sz w:val="24"/>
                <w:szCs w:val="24"/>
              </w:rPr>
              <w:t>Process scheme</w:t>
            </w:r>
            <w:r w:rsidRPr="00BC2010">
              <w:rPr>
                <w:sz w:val="24"/>
                <w:szCs w:val="24"/>
              </w:rPr>
              <w:t xml:space="preserve"> </w:t>
            </w:r>
            <w:r>
              <w:rPr>
                <w:sz w:val="24"/>
                <w:szCs w:val="24"/>
              </w:rPr>
              <w:t>(as-is)</w:t>
            </w:r>
          </w:p>
        </w:tc>
      </w:tr>
      <w:tr w:rsidR="00631D2F" w:rsidRPr="00BC2010" w14:paraId="4488BE8F" w14:textId="77777777" w:rsidTr="0016145F">
        <w:trPr>
          <w:cantSplit/>
          <w:trHeight w:val="540"/>
        </w:trPr>
        <w:tc>
          <w:tcPr>
            <w:tcW w:w="9773" w:type="dxa"/>
            <w:tcBorders>
              <w:top w:val="single" w:sz="6" w:space="0" w:color="auto"/>
              <w:left w:val="single" w:sz="6" w:space="0" w:color="auto"/>
              <w:bottom w:val="single" w:sz="6" w:space="0" w:color="auto"/>
              <w:right w:val="single" w:sz="6" w:space="0" w:color="auto"/>
            </w:tcBorders>
          </w:tcPr>
          <w:p w14:paraId="691422D2" w14:textId="24004E2A" w:rsidR="00631D2F" w:rsidRPr="00A707B2" w:rsidRDefault="00631D2F" w:rsidP="00276737">
            <w:pPr>
              <w:jc w:val="center"/>
              <w:rPr>
                <w:szCs w:val="24"/>
              </w:rPr>
            </w:pPr>
          </w:p>
        </w:tc>
      </w:tr>
    </w:tbl>
    <w:p w14:paraId="4D035FD8" w14:textId="77777777" w:rsidR="00631D2F" w:rsidRDefault="00631D2F"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BC2010" w14:paraId="09DA7221"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1580D0E4" w14:textId="77777777" w:rsidR="0098615E" w:rsidRPr="00BC2010" w:rsidRDefault="0098615E" w:rsidP="006675B5">
            <w:pPr>
              <w:pStyle w:val="FigureTitle"/>
              <w:keepLines w:val="0"/>
              <w:spacing w:before="0" w:after="0"/>
              <w:jc w:val="left"/>
              <w:rPr>
                <w:sz w:val="24"/>
                <w:szCs w:val="24"/>
              </w:rPr>
            </w:pPr>
            <w:r>
              <w:rPr>
                <w:sz w:val="24"/>
                <w:szCs w:val="24"/>
              </w:rPr>
              <w:t>Data and information (as-is)</w:t>
            </w:r>
          </w:p>
        </w:tc>
      </w:tr>
      <w:tr w:rsidR="0098615E" w:rsidRPr="00BC2010" w14:paraId="20D4A633"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1C59116A" w14:textId="77777777" w:rsidR="0098615E" w:rsidRPr="00BC2010" w:rsidRDefault="0098615E" w:rsidP="006675B5">
            <w:pPr>
              <w:pStyle w:val="FigureTitle"/>
              <w:keepLines w:val="0"/>
              <w:spacing w:before="0" w:after="0"/>
              <w:jc w:val="left"/>
              <w:rPr>
                <w:sz w:val="24"/>
                <w:szCs w:val="24"/>
              </w:rPr>
            </w:pPr>
            <w:r>
              <w:rPr>
                <w:sz w:val="24"/>
                <w:szCs w:val="24"/>
              </w:rPr>
              <w:t>Data</w:t>
            </w:r>
          </w:p>
        </w:tc>
        <w:tc>
          <w:tcPr>
            <w:tcW w:w="2476" w:type="dxa"/>
            <w:tcBorders>
              <w:top w:val="single" w:sz="6" w:space="0" w:color="auto"/>
              <w:left w:val="single" w:sz="6" w:space="0" w:color="auto"/>
              <w:bottom w:val="nil"/>
              <w:right w:val="single" w:sz="6" w:space="0" w:color="auto"/>
            </w:tcBorders>
            <w:shd w:val="pct15" w:color="auto" w:fill="FFFFFF"/>
            <w:hideMark/>
          </w:tcPr>
          <w:p w14:paraId="1FFDD68B" w14:textId="77777777" w:rsidR="0098615E" w:rsidRPr="00BC2010" w:rsidRDefault="0098615E" w:rsidP="006675B5">
            <w:pPr>
              <w:pStyle w:val="FigureTitle"/>
              <w:keepLines w:val="0"/>
              <w:spacing w:before="0" w:after="0"/>
              <w:jc w:val="left"/>
              <w:rPr>
                <w:sz w:val="24"/>
                <w:szCs w:val="24"/>
              </w:rPr>
            </w:pPr>
            <w:r>
              <w:rPr>
                <w:sz w:val="24"/>
                <w:szCs w:val="24"/>
              </w:rPr>
              <w:t>Type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81C4D76" w14:textId="77777777" w:rsidR="0098615E" w:rsidRPr="00BC2010" w:rsidRDefault="0098615E" w:rsidP="006675B5">
            <w:pPr>
              <w:pStyle w:val="FigureTitle"/>
              <w:keepLines w:val="0"/>
              <w:spacing w:before="0" w:after="0"/>
              <w:jc w:val="left"/>
              <w:rPr>
                <w:sz w:val="24"/>
                <w:szCs w:val="24"/>
              </w:rPr>
            </w:pPr>
            <w:r w:rsidRPr="00BC2010">
              <w:rPr>
                <w:sz w:val="24"/>
                <w:szCs w:val="24"/>
              </w:rPr>
              <w:t>Description</w:t>
            </w:r>
          </w:p>
        </w:tc>
      </w:tr>
      <w:tr w:rsidR="0098615E" w:rsidRPr="00BC2010" w14:paraId="131BBB2C" w14:textId="77777777" w:rsidTr="00F60398">
        <w:trPr>
          <w:cantSplit/>
          <w:trHeight w:val="540"/>
        </w:trPr>
        <w:tc>
          <w:tcPr>
            <w:tcW w:w="918" w:type="dxa"/>
            <w:tcBorders>
              <w:top w:val="single" w:sz="6" w:space="0" w:color="auto"/>
              <w:left w:val="single" w:sz="6" w:space="0" w:color="auto"/>
              <w:bottom w:val="single" w:sz="6" w:space="0" w:color="auto"/>
              <w:right w:val="single" w:sz="6" w:space="0" w:color="auto"/>
            </w:tcBorders>
          </w:tcPr>
          <w:p w14:paraId="18F8AF72" w14:textId="73BDBD29" w:rsidR="0098615E" w:rsidRPr="00BC2010" w:rsidRDefault="0098615E" w:rsidP="006675B5">
            <w:pPr>
              <w:rPr>
                <w:b/>
                <w:szCs w:val="24"/>
              </w:rPr>
            </w:pPr>
          </w:p>
        </w:tc>
        <w:tc>
          <w:tcPr>
            <w:tcW w:w="2476" w:type="dxa"/>
            <w:tcBorders>
              <w:top w:val="single" w:sz="6" w:space="0" w:color="auto"/>
              <w:left w:val="single" w:sz="6" w:space="0" w:color="auto"/>
              <w:bottom w:val="single" w:sz="6" w:space="0" w:color="auto"/>
              <w:right w:val="single" w:sz="6" w:space="0" w:color="auto"/>
            </w:tcBorders>
          </w:tcPr>
          <w:p w14:paraId="176F75BE" w14:textId="2FB9534F" w:rsidR="0098615E" w:rsidRPr="00BC2010" w:rsidRDefault="0098615E" w:rsidP="006675B5">
            <w:pPr>
              <w:rPr>
                <w:i/>
                <w:szCs w:val="24"/>
              </w:rPr>
            </w:pPr>
          </w:p>
        </w:tc>
        <w:tc>
          <w:tcPr>
            <w:tcW w:w="6379" w:type="dxa"/>
            <w:tcBorders>
              <w:top w:val="single" w:sz="6" w:space="0" w:color="auto"/>
              <w:left w:val="single" w:sz="6" w:space="0" w:color="auto"/>
              <w:bottom w:val="single" w:sz="6" w:space="0" w:color="auto"/>
              <w:right w:val="single" w:sz="6" w:space="0" w:color="auto"/>
            </w:tcBorders>
          </w:tcPr>
          <w:p w14:paraId="2A04BEE2" w14:textId="77777777" w:rsidR="0098615E" w:rsidRPr="00BC2010" w:rsidRDefault="0098615E" w:rsidP="006675B5">
            <w:pPr>
              <w:rPr>
                <w:szCs w:val="24"/>
              </w:rPr>
            </w:pPr>
          </w:p>
        </w:tc>
      </w:tr>
    </w:tbl>
    <w:p w14:paraId="418E1D94" w14:textId="77777777" w:rsidR="0098615E" w:rsidRDefault="0098615E"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BC2010" w14:paraId="33102306"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4119F12" w14:textId="77777777" w:rsidR="0098615E" w:rsidRPr="00BC2010" w:rsidRDefault="0098615E" w:rsidP="006675B5">
            <w:pPr>
              <w:pStyle w:val="FigureTitle"/>
              <w:keepLines w:val="0"/>
              <w:spacing w:before="0" w:after="0"/>
              <w:jc w:val="left"/>
              <w:rPr>
                <w:sz w:val="24"/>
                <w:szCs w:val="24"/>
              </w:rPr>
            </w:pPr>
            <w:r w:rsidRPr="00BC2010">
              <w:rPr>
                <w:sz w:val="24"/>
                <w:szCs w:val="24"/>
              </w:rPr>
              <w:t>Participants and their roles</w:t>
            </w:r>
            <w:r>
              <w:rPr>
                <w:sz w:val="24"/>
                <w:szCs w:val="24"/>
              </w:rPr>
              <w:t xml:space="preserve"> (as-is)</w:t>
            </w:r>
          </w:p>
        </w:tc>
      </w:tr>
      <w:tr w:rsidR="0098615E" w:rsidRPr="00BC2010" w14:paraId="41431972"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0D1C5A79" w14:textId="77777777" w:rsidR="0098615E" w:rsidRPr="00BC2010" w:rsidRDefault="0098615E" w:rsidP="006675B5">
            <w:pPr>
              <w:pStyle w:val="FigureTitle"/>
              <w:keepLines w:val="0"/>
              <w:spacing w:before="0" w:after="0"/>
              <w:jc w:val="left"/>
              <w:rPr>
                <w:sz w:val="24"/>
                <w:szCs w:val="24"/>
              </w:rPr>
            </w:pPr>
            <w:r w:rsidRPr="00BC2010">
              <w:rPr>
                <w:sz w:val="24"/>
                <w:szCs w:val="24"/>
              </w:rPr>
              <w:t>Actor</w:t>
            </w:r>
          </w:p>
        </w:tc>
        <w:tc>
          <w:tcPr>
            <w:tcW w:w="2476" w:type="dxa"/>
            <w:tcBorders>
              <w:top w:val="single" w:sz="6" w:space="0" w:color="auto"/>
              <w:left w:val="single" w:sz="6" w:space="0" w:color="auto"/>
              <w:bottom w:val="nil"/>
              <w:right w:val="single" w:sz="6" w:space="0" w:color="auto"/>
            </w:tcBorders>
            <w:shd w:val="pct15" w:color="auto" w:fill="FFFFFF"/>
            <w:hideMark/>
          </w:tcPr>
          <w:p w14:paraId="13C79DC4" w14:textId="77777777" w:rsidR="0098615E" w:rsidRPr="00BC2010" w:rsidRDefault="0098615E" w:rsidP="006675B5">
            <w:pPr>
              <w:pStyle w:val="FigureTitle"/>
              <w:keepLines w:val="0"/>
              <w:spacing w:before="0" w:after="0"/>
              <w:jc w:val="left"/>
              <w:rPr>
                <w:sz w:val="24"/>
                <w:szCs w:val="24"/>
              </w:rPr>
            </w:pPr>
            <w:r w:rsidRPr="00BC2010">
              <w:rPr>
                <w:sz w:val="24"/>
                <w:szCs w:val="24"/>
              </w:rPr>
              <w:t>Type/Role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BFC1874" w14:textId="77777777" w:rsidR="0098615E" w:rsidRPr="00BC2010" w:rsidRDefault="0098615E" w:rsidP="006675B5">
            <w:pPr>
              <w:pStyle w:val="FigureTitle"/>
              <w:keepLines w:val="0"/>
              <w:spacing w:before="0" w:after="0"/>
              <w:jc w:val="left"/>
              <w:rPr>
                <w:sz w:val="24"/>
                <w:szCs w:val="24"/>
              </w:rPr>
            </w:pPr>
            <w:r w:rsidRPr="00BC2010">
              <w:rPr>
                <w:sz w:val="24"/>
                <w:szCs w:val="24"/>
              </w:rPr>
              <w:t>Description</w:t>
            </w:r>
          </w:p>
        </w:tc>
      </w:tr>
      <w:tr w:rsidR="0098615E" w:rsidRPr="00BC2010" w14:paraId="52787051" w14:textId="77777777" w:rsidTr="00F60398">
        <w:trPr>
          <w:cantSplit/>
          <w:trHeight w:val="540"/>
        </w:trPr>
        <w:tc>
          <w:tcPr>
            <w:tcW w:w="918" w:type="dxa"/>
            <w:tcBorders>
              <w:top w:val="single" w:sz="6" w:space="0" w:color="auto"/>
              <w:left w:val="single" w:sz="6" w:space="0" w:color="auto"/>
              <w:bottom w:val="single" w:sz="6" w:space="0" w:color="auto"/>
              <w:right w:val="single" w:sz="6" w:space="0" w:color="auto"/>
            </w:tcBorders>
          </w:tcPr>
          <w:p w14:paraId="4633F544" w14:textId="75150CBA" w:rsidR="0098615E" w:rsidRPr="00BC2010" w:rsidRDefault="0098615E" w:rsidP="006675B5">
            <w:pPr>
              <w:rPr>
                <w:b/>
                <w:szCs w:val="24"/>
              </w:rPr>
            </w:pPr>
          </w:p>
        </w:tc>
        <w:tc>
          <w:tcPr>
            <w:tcW w:w="2476" w:type="dxa"/>
            <w:tcBorders>
              <w:top w:val="single" w:sz="6" w:space="0" w:color="auto"/>
              <w:left w:val="single" w:sz="6" w:space="0" w:color="auto"/>
              <w:bottom w:val="single" w:sz="6" w:space="0" w:color="auto"/>
              <w:right w:val="single" w:sz="6" w:space="0" w:color="auto"/>
            </w:tcBorders>
          </w:tcPr>
          <w:p w14:paraId="52551D26" w14:textId="6FA7026D" w:rsidR="0098615E" w:rsidRPr="00BC2010" w:rsidRDefault="0098615E" w:rsidP="006675B5">
            <w:pPr>
              <w:rPr>
                <w:i/>
                <w:szCs w:val="24"/>
              </w:rPr>
            </w:pPr>
          </w:p>
        </w:tc>
        <w:tc>
          <w:tcPr>
            <w:tcW w:w="6379" w:type="dxa"/>
            <w:tcBorders>
              <w:top w:val="single" w:sz="6" w:space="0" w:color="auto"/>
              <w:left w:val="single" w:sz="6" w:space="0" w:color="auto"/>
              <w:bottom w:val="single" w:sz="6" w:space="0" w:color="auto"/>
              <w:right w:val="single" w:sz="6" w:space="0" w:color="auto"/>
            </w:tcBorders>
          </w:tcPr>
          <w:p w14:paraId="264C26C7" w14:textId="056E32FF" w:rsidR="0098615E" w:rsidRPr="00BC2010" w:rsidRDefault="0098615E" w:rsidP="006675B5">
            <w:pPr>
              <w:rPr>
                <w:szCs w:val="24"/>
              </w:rPr>
            </w:pPr>
          </w:p>
        </w:tc>
      </w:tr>
    </w:tbl>
    <w:p w14:paraId="25EA9585" w14:textId="77777777" w:rsidR="0098615E" w:rsidRDefault="0098615E"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4F4C21" w:rsidRPr="00BC2010" w14:paraId="72BEE201"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3376E1BD" w14:textId="77777777" w:rsidR="004F4C21" w:rsidRPr="00BC2010" w:rsidRDefault="004F4C21" w:rsidP="006675B5">
            <w:pPr>
              <w:pStyle w:val="HeadingBase"/>
              <w:spacing w:before="0" w:after="0"/>
              <w:rPr>
                <w:sz w:val="24"/>
                <w:szCs w:val="24"/>
              </w:rPr>
            </w:pPr>
            <w:r w:rsidRPr="00BC2010">
              <w:rPr>
                <w:sz w:val="24"/>
                <w:szCs w:val="24"/>
              </w:rPr>
              <w:t>O</w:t>
            </w:r>
            <w:r>
              <w:rPr>
                <w:sz w:val="24"/>
                <w:szCs w:val="24"/>
              </w:rPr>
              <w:t>ther Notes</w:t>
            </w:r>
          </w:p>
        </w:tc>
      </w:tr>
      <w:tr w:rsidR="004F4C21" w:rsidRPr="00BC2010" w14:paraId="031C0576" w14:textId="77777777" w:rsidTr="006675B5">
        <w:tc>
          <w:tcPr>
            <w:tcW w:w="9773" w:type="dxa"/>
            <w:tcBorders>
              <w:top w:val="single" w:sz="6" w:space="0" w:color="auto"/>
              <w:left w:val="single" w:sz="6" w:space="0" w:color="auto"/>
              <w:bottom w:val="single" w:sz="6" w:space="0" w:color="auto"/>
              <w:right w:val="single" w:sz="6" w:space="0" w:color="auto"/>
            </w:tcBorders>
          </w:tcPr>
          <w:p w14:paraId="1FF1321B" w14:textId="25C11951" w:rsidR="004F4C21" w:rsidRPr="00276737" w:rsidRDefault="004F4C21" w:rsidP="00276737">
            <w:pPr>
              <w:keepNext/>
              <w:jc w:val="center"/>
            </w:pPr>
          </w:p>
        </w:tc>
      </w:tr>
    </w:tbl>
    <w:p w14:paraId="650A3690" w14:textId="77777777" w:rsidR="004F4C21" w:rsidRDefault="004F4C21" w:rsidP="006F75D5">
      <w:pPr>
        <w:rPr>
          <w:b/>
          <w:szCs w:val="24"/>
          <w:lang w:val="en-US"/>
        </w:rPr>
      </w:pPr>
    </w:p>
    <w:p w14:paraId="53DC2315" w14:textId="77777777" w:rsidR="00662904" w:rsidRDefault="00662904">
      <w:pPr>
        <w:tabs>
          <w:tab w:val="clear" w:pos="794"/>
          <w:tab w:val="clear" w:pos="1191"/>
          <w:tab w:val="clear" w:pos="1588"/>
          <w:tab w:val="clear" w:pos="1985"/>
        </w:tabs>
        <w:overflowPunct/>
        <w:autoSpaceDE/>
        <w:autoSpaceDN/>
        <w:adjustRightInd/>
        <w:spacing w:before="0"/>
        <w:textAlignment w:val="auto"/>
        <w:rPr>
          <w:b/>
          <w:szCs w:val="24"/>
          <w:lang w:val="en-US"/>
        </w:rPr>
      </w:pPr>
      <w:r>
        <w:rPr>
          <w:b/>
          <w:szCs w:val="24"/>
          <w:lang w:val="en-US"/>
        </w:rPr>
        <w:br w:type="page"/>
      </w:r>
    </w:p>
    <w:p w14:paraId="3F3AB545" w14:textId="77777777" w:rsidR="0098615E" w:rsidRDefault="0098615E" w:rsidP="00631AFC">
      <w:pPr>
        <w:jc w:val="center"/>
        <w:outlineLvl w:val="0"/>
        <w:rPr>
          <w:b/>
          <w:u w:val="single"/>
        </w:rPr>
      </w:pPr>
      <w:r w:rsidRPr="0098615E">
        <w:rPr>
          <w:b/>
          <w:u w:val="single"/>
        </w:rPr>
        <w:lastRenderedPageBreak/>
        <w:t xml:space="preserve">Section </w:t>
      </w:r>
      <w:r w:rsidR="000B4C3C">
        <w:rPr>
          <w:b/>
          <w:u w:val="single"/>
        </w:rPr>
        <w:t>3</w:t>
      </w:r>
      <w:r w:rsidRPr="0098615E">
        <w:rPr>
          <w:b/>
          <w:u w:val="single"/>
        </w:rPr>
        <w:t xml:space="preserve"> Expected process</w:t>
      </w:r>
    </w:p>
    <w:p w14:paraId="4A48ED56" w14:textId="77777777" w:rsidR="0098615E" w:rsidRDefault="0098615E" w:rsidP="0098615E">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3240"/>
        <w:gridCol w:w="5615"/>
      </w:tblGrid>
      <w:tr w:rsidR="0098615E" w:rsidRPr="00BC2010" w14:paraId="410388B3"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6AC5CAD7" w14:textId="77777777" w:rsidR="0098615E" w:rsidRPr="00BC2010" w:rsidRDefault="0098615E" w:rsidP="006675B5">
            <w:pPr>
              <w:pStyle w:val="FigureTitle"/>
              <w:keepLines w:val="0"/>
              <w:spacing w:before="0" w:after="0"/>
              <w:jc w:val="left"/>
              <w:rPr>
                <w:sz w:val="24"/>
                <w:szCs w:val="24"/>
              </w:rPr>
            </w:pPr>
            <w:r w:rsidRPr="00BC2010">
              <w:rPr>
                <w:sz w:val="24"/>
                <w:szCs w:val="24"/>
              </w:rPr>
              <w:t xml:space="preserve">Expected Flow </w:t>
            </w:r>
            <w:r>
              <w:rPr>
                <w:sz w:val="24"/>
                <w:szCs w:val="24"/>
              </w:rPr>
              <w:t>(to-be)</w:t>
            </w:r>
          </w:p>
        </w:tc>
      </w:tr>
      <w:tr w:rsidR="0098615E" w:rsidRPr="00BC2010" w14:paraId="6B155E8D"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3FA018C3" w14:textId="77777777" w:rsidR="0098615E" w:rsidRPr="00BC2010" w:rsidRDefault="0098615E" w:rsidP="006675B5">
            <w:pPr>
              <w:pStyle w:val="FigureTitle"/>
              <w:keepLines w:val="0"/>
              <w:spacing w:before="0" w:after="0"/>
              <w:rPr>
                <w:sz w:val="24"/>
                <w:szCs w:val="24"/>
              </w:rPr>
            </w:pPr>
            <w:r w:rsidRPr="00BC2010">
              <w:rPr>
                <w:sz w:val="24"/>
                <w:szCs w:val="24"/>
              </w:rPr>
              <w:t>Step</w:t>
            </w:r>
          </w:p>
        </w:tc>
        <w:tc>
          <w:tcPr>
            <w:tcW w:w="3240" w:type="dxa"/>
            <w:tcBorders>
              <w:top w:val="single" w:sz="6" w:space="0" w:color="auto"/>
              <w:left w:val="single" w:sz="6" w:space="0" w:color="auto"/>
              <w:bottom w:val="nil"/>
              <w:right w:val="single" w:sz="6" w:space="0" w:color="auto"/>
            </w:tcBorders>
            <w:shd w:val="pct15" w:color="auto" w:fill="FFFFFF"/>
            <w:hideMark/>
          </w:tcPr>
          <w:p w14:paraId="7BE2D398" w14:textId="77777777" w:rsidR="0098615E" w:rsidRPr="00BC2010" w:rsidRDefault="0098615E" w:rsidP="006675B5">
            <w:pPr>
              <w:pStyle w:val="FigureTitle"/>
              <w:keepLines w:val="0"/>
              <w:spacing w:before="0" w:after="0"/>
              <w:rPr>
                <w:sz w:val="24"/>
                <w:szCs w:val="24"/>
              </w:rPr>
            </w:pPr>
            <w:r w:rsidRPr="00BC2010">
              <w:rPr>
                <w:sz w:val="24"/>
                <w:szCs w:val="24"/>
              </w:rPr>
              <w:t>User Actions</w:t>
            </w:r>
          </w:p>
        </w:tc>
        <w:tc>
          <w:tcPr>
            <w:tcW w:w="5615" w:type="dxa"/>
            <w:tcBorders>
              <w:top w:val="single" w:sz="6" w:space="0" w:color="auto"/>
              <w:left w:val="single" w:sz="6" w:space="0" w:color="auto"/>
              <w:bottom w:val="single" w:sz="6" w:space="0" w:color="auto"/>
              <w:right w:val="single" w:sz="6" w:space="0" w:color="auto"/>
            </w:tcBorders>
            <w:shd w:val="pct15" w:color="auto" w:fill="FFFFFF"/>
            <w:hideMark/>
          </w:tcPr>
          <w:p w14:paraId="47DC577E" w14:textId="77777777" w:rsidR="0098615E" w:rsidRPr="00BC2010" w:rsidRDefault="0098615E" w:rsidP="006675B5">
            <w:pPr>
              <w:pStyle w:val="FigureTitle"/>
              <w:keepLines w:val="0"/>
              <w:spacing w:before="0" w:after="0"/>
              <w:rPr>
                <w:sz w:val="24"/>
                <w:szCs w:val="24"/>
              </w:rPr>
            </w:pPr>
            <w:r w:rsidRPr="00BC2010">
              <w:rPr>
                <w:sz w:val="24"/>
                <w:szCs w:val="24"/>
              </w:rPr>
              <w:t>System Actions</w:t>
            </w:r>
          </w:p>
        </w:tc>
      </w:tr>
      <w:tr w:rsidR="002B7FBD" w:rsidRPr="00E83153" w14:paraId="3B525CFD" w14:textId="77777777" w:rsidTr="002B7FBD">
        <w:trPr>
          <w:cantSplit/>
          <w:trHeight w:val="540"/>
        </w:trPr>
        <w:tc>
          <w:tcPr>
            <w:tcW w:w="918" w:type="dxa"/>
            <w:tcBorders>
              <w:top w:val="single" w:sz="6" w:space="0" w:color="auto"/>
              <w:left w:val="single" w:sz="6" w:space="0" w:color="auto"/>
              <w:bottom w:val="single" w:sz="6" w:space="0" w:color="auto"/>
              <w:right w:val="single" w:sz="6" w:space="0" w:color="auto"/>
            </w:tcBorders>
          </w:tcPr>
          <w:p w14:paraId="2DD94900" w14:textId="08AF5131" w:rsidR="002B7FBD" w:rsidRPr="00E83153" w:rsidRDefault="002B7FBD" w:rsidP="002B7FBD">
            <w:pPr>
              <w:rPr>
                <w:szCs w:val="24"/>
              </w:rPr>
            </w:pPr>
            <w:r w:rsidRPr="00A707B2">
              <w:rPr>
                <w:szCs w:val="24"/>
              </w:rPr>
              <w:t>1.</w:t>
            </w:r>
          </w:p>
        </w:tc>
        <w:tc>
          <w:tcPr>
            <w:tcW w:w="3240" w:type="dxa"/>
            <w:tcBorders>
              <w:top w:val="single" w:sz="6" w:space="0" w:color="auto"/>
              <w:left w:val="single" w:sz="6" w:space="0" w:color="auto"/>
              <w:bottom w:val="single" w:sz="6" w:space="0" w:color="auto"/>
              <w:right w:val="single" w:sz="6" w:space="0" w:color="auto"/>
            </w:tcBorders>
          </w:tcPr>
          <w:p w14:paraId="03D24F8F" w14:textId="48CA707C" w:rsidR="002B7FBD" w:rsidRPr="00E83153" w:rsidRDefault="002B7FBD" w:rsidP="002B7FBD">
            <w:pPr>
              <w:rPr>
                <w:szCs w:val="24"/>
              </w:rPr>
            </w:pPr>
            <w:r>
              <w:rPr>
                <w:szCs w:val="24"/>
              </w:rPr>
              <w:t>The data subject subscribes with the data controller and provides the list of data types/values that are exchanged together with an usage control policy.</w:t>
            </w:r>
          </w:p>
        </w:tc>
        <w:tc>
          <w:tcPr>
            <w:tcW w:w="5615" w:type="dxa"/>
            <w:tcBorders>
              <w:top w:val="single" w:sz="6" w:space="0" w:color="auto"/>
              <w:left w:val="single" w:sz="6" w:space="0" w:color="auto"/>
              <w:bottom w:val="single" w:sz="6" w:space="0" w:color="auto"/>
              <w:right w:val="single" w:sz="6" w:space="0" w:color="auto"/>
            </w:tcBorders>
          </w:tcPr>
          <w:p w14:paraId="3642CA29" w14:textId="194A1AEB" w:rsidR="002B7FBD" w:rsidRPr="00E83153" w:rsidRDefault="002B7FBD" w:rsidP="002B7FBD">
            <w:pPr>
              <w:rPr>
                <w:szCs w:val="24"/>
              </w:rPr>
            </w:pPr>
            <w:r>
              <w:rPr>
                <w:szCs w:val="24"/>
              </w:rPr>
              <w:t>A data usage contract is created in the blockchain using a random nonce and fingerprints for the identities, data items (types/values) and usage control policies associated to the data items.</w:t>
            </w:r>
          </w:p>
        </w:tc>
      </w:tr>
      <w:tr w:rsidR="002B7FBD" w:rsidRPr="00E83153" w14:paraId="7D96DBBB" w14:textId="77777777" w:rsidTr="002B7FBD">
        <w:trPr>
          <w:cantSplit/>
          <w:trHeight w:val="540"/>
        </w:trPr>
        <w:tc>
          <w:tcPr>
            <w:tcW w:w="918" w:type="dxa"/>
            <w:tcBorders>
              <w:top w:val="single" w:sz="6" w:space="0" w:color="auto"/>
              <w:left w:val="single" w:sz="6" w:space="0" w:color="auto"/>
              <w:bottom w:val="single" w:sz="6" w:space="0" w:color="auto"/>
              <w:right w:val="single" w:sz="6" w:space="0" w:color="auto"/>
            </w:tcBorders>
          </w:tcPr>
          <w:p w14:paraId="61C6246F" w14:textId="4AF762FE" w:rsidR="002B7FBD" w:rsidRPr="00E83153" w:rsidRDefault="002B7FBD" w:rsidP="002B7FBD">
            <w:pPr>
              <w:rPr>
                <w:szCs w:val="24"/>
              </w:rPr>
            </w:pPr>
            <w:r w:rsidRPr="00A707B2">
              <w:rPr>
                <w:szCs w:val="24"/>
              </w:rPr>
              <w:t>2.</w:t>
            </w:r>
          </w:p>
        </w:tc>
        <w:tc>
          <w:tcPr>
            <w:tcW w:w="3240" w:type="dxa"/>
            <w:tcBorders>
              <w:top w:val="single" w:sz="6" w:space="0" w:color="auto"/>
              <w:left w:val="single" w:sz="6" w:space="0" w:color="auto"/>
              <w:bottom w:val="single" w:sz="6" w:space="0" w:color="auto"/>
              <w:right w:val="single" w:sz="6" w:space="0" w:color="auto"/>
            </w:tcBorders>
          </w:tcPr>
          <w:p w14:paraId="09709DF4" w14:textId="0F9D77E7" w:rsidR="002B7FBD" w:rsidRPr="00E83153" w:rsidRDefault="002B7FBD" w:rsidP="002B7FBD">
            <w:pPr>
              <w:pStyle w:val="NormalComment"/>
              <w:rPr>
                <w:color w:val="auto"/>
                <w:szCs w:val="24"/>
              </w:rPr>
            </w:pPr>
            <w:r>
              <w:rPr>
                <w:color w:val="auto"/>
                <w:szCs w:val="24"/>
              </w:rPr>
              <w:t>The data subject transfer data to the data controller.</w:t>
            </w:r>
          </w:p>
        </w:tc>
        <w:tc>
          <w:tcPr>
            <w:tcW w:w="5615" w:type="dxa"/>
            <w:tcBorders>
              <w:top w:val="single" w:sz="6" w:space="0" w:color="auto"/>
              <w:left w:val="single" w:sz="6" w:space="0" w:color="auto"/>
              <w:bottom w:val="single" w:sz="6" w:space="0" w:color="auto"/>
              <w:right w:val="single" w:sz="6" w:space="0" w:color="auto"/>
            </w:tcBorders>
          </w:tcPr>
          <w:p w14:paraId="40685522" w14:textId="270D934A" w:rsidR="002B7FBD" w:rsidRPr="00E83153" w:rsidRDefault="002B7FBD" w:rsidP="002B7FBD">
            <w:pPr>
              <w:pStyle w:val="NormalComment"/>
              <w:rPr>
                <w:color w:val="auto"/>
                <w:szCs w:val="24"/>
              </w:rPr>
            </w:pPr>
            <w:r>
              <w:rPr>
                <w:color w:val="auto"/>
                <w:szCs w:val="24"/>
              </w:rPr>
              <w:t>The data controller stores the data and a reference to the smart contract.</w:t>
            </w:r>
          </w:p>
        </w:tc>
      </w:tr>
      <w:tr w:rsidR="002B7FBD" w:rsidRPr="00E83153" w14:paraId="3447C5D2"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tcPr>
          <w:p w14:paraId="0A3935C2" w14:textId="4ED84477" w:rsidR="002B7FBD" w:rsidRPr="00BC2010" w:rsidRDefault="002B7FBD" w:rsidP="002B7FBD">
            <w:pPr>
              <w:rPr>
                <w:b/>
                <w:szCs w:val="24"/>
              </w:rPr>
            </w:pPr>
            <w:r>
              <w:rPr>
                <w:szCs w:val="24"/>
              </w:rPr>
              <w:t>3.</w:t>
            </w:r>
          </w:p>
        </w:tc>
        <w:tc>
          <w:tcPr>
            <w:tcW w:w="3240" w:type="dxa"/>
            <w:tcBorders>
              <w:top w:val="single" w:sz="6" w:space="0" w:color="auto"/>
              <w:left w:val="single" w:sz="6" w:space="0" w:color="auto"/>
              <w:bottom w:val="single" w:sz="6" w:space="0" w:color="auto"/>
              <w:right w:val="single" w:sz="6" w:space="0" w:color="auto"/>
            </w:tcBorders>
          </w:tcPr>
          <w:p w14:paraId="4FD01676" w14:textId="59C7671D" w:rsidR="002B7FBD" w:rsidRDefault="002B7FBD" w:rsidP="002B7FBD">
            <w:pPr>
              <w:pStyle w:val="NormalComment"/>
              <w:rPr>
                <w:i/>
                <w:color w:val="auto"/>
                <w:szCs w:val="24"/>
              </w:rPr>
            </w:pPr>
            <w:r>
              <w:rPr>
                <w:color w:val="auto"/>
                <w:szCs w:val="24"/>
              </w:rPr>
              <w:t>The data controller is about to use the data for any internal activity.</w:t>
            </w:r>
          </w:p>
        </w:tc>
        <w:tc>
          <w:tcPr>
            <w:tcW w:w="5615" w:type="dxa"/>
            <w:tcBorders>
              <w:top w:val="single" w:sz="6" w:space="0" w:color="auto"/>
              <w:left w:val="single" w:sz="6" w:space="0" w:color="auto"/>
              <w:bottom w:val="single" w:sz="6" w:space="0" w:color="auto"/>
              <w:right w:val="single" w:sz="6" w:space="0" w:color="auto"/>
            </w:tcBorders>
          </w:tcPr>
          <w:p w14:paraId="7CFA958A" w14:textId="51CBB43A" w:rsidR="002B7FBD" w:rsidRDefault="002B7FBD" w:rsidP="002B7FBD">
            <w:pPr>
              <w:pStyle w:val="NormalComment"/>
              <w:rPr>
                <w:color w:val="auto"/>
                <w:szCs w:val="24"/>
              </w:rPr>
            </w:pPr>
            <w:r>
              <w:rPr>
                <w:color w:val="auto"/>
                <w:szCs w:val="24"/>
              </w:rPr>
              <w:t>The data usage contract is consulted to verify if the activity is allowed to be performed with the data item and an answer is returned (allow/deny/modify/delay data usage).</w:t>
            </w:r>
          </w:p>
        </w:tc>
      </w:tr>
      <w:tr w:rsidR="002B7FBD" w:rsidRPr="00E83153" w14:paraId="62E1BBD3"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tcPr>
          <w:p w14:paraId="1582019F" w14:textId="08EF8637" w:rsidR="002B7FBD" w:rsidRDefault="002B7FBD" w:rsidP="002B7FBD">
            <w:pPr>
              <w:rPr>
                <w:szCs w:val="24"/>
              </w:rPr>
            </w:pPr>
            <w:r>
              <w:rPr>
                <w:szCs w:val="24"/>
              </w:rPr>
              <w:t>4.</w:t>
            </w:r>
          </w:p>
        </w:tc>
        <w:tc>
          <w:tcPr>
            <w:tcW w:w="3240" w:type="dxa"/>
            <w:tcBorders>
              <w:top w:val="single" w:sz="6" w:space="0" w:color="auto"/>
              <w:left w:val="single" w:sz="6" w:space="0" w:color="auto"/>
              <w:bottom w:val="single" w:sz="6" w:space="0" w:color="auto"/>
              <w:right w:val="single" w:sz="6" w:space="0" w:color="auto"/>
            </w:tcBorders>
          </w:tcPr>
          <w:p w14:paraId="3784DD58" w14:textId="67FCA96B" w:rsidR="002B7FBD" w:rsidRDefault="002B7FBD" w:rsidP="002B7FBD">
            <w:pPr>
              <w:pStyle w:val="NormalComment"/>
              <w:rPr>
                <w:color w:val="auto"/>
                <w:szCs w:val="24"/>
              </w:rPr>
            </w:pPr>
            <w:r>
              <w:rPr>
                <w:color w:val="auto"/>
                <w:szCs w:val="24"/>
              </w:rPr>
              <w:t>The data is about to be transferred to a data processor.</w:t>
            </w:r>
          </w:p>
        </w:tc>
        <w:tc>
          <w:tcPr>
            <w:tcW w:w="5615" w:type="dxa"/>
            <w:tcBorders>
              <w:top w:val="single" w:sz="6" w:space="0" w:color="auto"/>
              <w:left w:val="single" w:sz="6" w:space="0" w:color="auto"/>
              <w:bottom w:val="single" w:sz="6" w:space="0" w:color="auto"/>
              <w:right w:val="single" w:sz="6" w:space="0" w:color="auto"/>
            </w:tcBorders>
          </w:tcPr>
          <w:p w14:paraId="7F2C55BA" w14:textId="62FC6BF9" w:rsidR="002B7FBD" w:rsidRDefault="002B7FBD" w:rsidP="002B7FBD">
            <w:pPr>
              <w:pStyle w:val="NormalComment"/>
              <w:rPr>
                <w:color w:val="auto"/>
                <w:szCs w:val="24"/>
              </w:rPr>
            </w:pPr>
            <w:r>
              <w:rPr>
                <w:color w:val="auto"/>
                <w:szCs w:val="24"/>
              </w:rPr>
              <w:t>The data usage contract is verified and if the transfer is allowed a new contract is created for the specific data processor. The cycle repeats the same for each data processor starting with step 1.</w:t>
            </w:r>
          </w:p>
        </w:tc>
      </w:tr>
    </w:tbl>
    <w:p w14:paraId="1F7881BB" w14:textId="77777777" w:rsidR="0098615E" w:rsidRPr="00E83153" w:rsidRDefault="0098615E" w:rsidP="0098615E">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E83153" w:rsidRPr="00E83153" w14:paraId="747C5AAB" w14:textId="77777777" w:rsidTr="006675B5">
        <w:trPr>
          <w:cantSplit/>
          <w:trHeight w:val="280"/>
          <w:tblHeader/>
        </w:trPr>
        <w:tc>
          <w:tcPr>
            <w:tcW w:w="9773" w:type="dxa"/>
            <w:tcBorders>
              <w:top w:val="single" w:sz="6" w:space="0" w:color="auto"/>
              <w:left w:val="single" w:sz="6" w:space="0" w:color="auto"/>
              <w:bottom w:val="nil"/>
              <w:right w:val="single" w:sz="6" w:space="0" w:color="auto"/>
            </w:tcBorders>
            <w:shd w:val="pct15" w:color="auto" w:fill="FFFFFF"/>
            <w:hideMark/>
          </w:tcPr>
          <w:p w14:paraId="6D15B2E1" w14:textId="77777777" w:rsidR="00631D2F" w:rsidRPr="00E83153" w:rsidRDefault="00631D2F" w:rsidP="006675B5">
            <w:pPr>
              <w:pStyle w:val="FigureTitle"/>
              <w:keepLines w:val="0"/>
              <w:spacing w:before="0" w:after="0"/>
              <w:jc w:val="left"/>
              <w:rPr>
                <w:sz w:val="24"/>
                <w:szCs w:val="24"/>
              </w:rPr>
            </w:pPr>
            <w:r w:rsidRPr="00E83153">
              <w:rPr>
                <w:sz w:val="24"/>
                <w:szCs w:val="24"/>
              </w:rPr>
              <w:lastRenderedPageBreak/>
              <w:t>Process scheme (to-be)</w:t>
            </w:r>
          </w:p>
        </w:tc>
      </w:tr>
      <w:tr w:rsidR="00E83153" w:rsidRPr="00E83153" w14:paraId="1EF30085" w14:textId="77777777" w:rsidTr="00BC06BD">
        <w:trPr>
          <w:cantSplit/>
          <w:trHeight w:val="540"/>
        </w:trPr>
        <w:tc>
          <w:tcPr>
            <w:tcW w:w="9773" w:type="dxa"/>
            <w:tcBorders>
              <w:top w:val="single" w:sz="6" w:space="0" w:color="auto"/>
              <w:left w:val="single" w:sz="6" w:space="0" w:color="auto"/>
              <w:bottom w:val="single" w:sz="6" w:space="0" w:color="auto"/>
              <w:right w:val="single" w:sz="6" w:space="0" w:color="auto"/>
            </w:tcBorders>
            <w:hideMark/>
          </w:tcPr>
          <w:p w14:paraId="61AF58EA" w14:textId="55F68687" w:rsidR="00631D2F" w:rsidRPr="00E83153" w:rsidRDefault="00BB7375" w:rsidP="006675B5">
            <w:pPr>
              <w:pStyle w:val="NormalComment"/>
              <w:rPr>
                <w:color w:val="auto"/>
                <w:szCs w:val="24"/>
              </w:rPr>
            </w:pPr>
            <w:r>
              <w:object w:dxaOrig="5835" w:dyaOrig="4441" w14:anchorId="4687D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361.5pt" o:ole="">
                  <v:imagedata r:id="rId12" o:title=""/>
                </v:shape>
                <o:OLEObject Type="Embed" ProgID="Visio.Drawing.15" ShapeID="_x0000_i1025" DrawAspect="Content" ObjectID="_1626011854" r:id="rId13"/>
              </w:object>
            </w:r>
          </w:p>
        </w:tc>
      </w:tr>
    </w:tbl>
    <w:p w14:paraId="6B67BD4A" w14:textId="77777777" w:rsidR="00631D2F" w:rsidRDefault="00631D2F" w:rsidP="0098615E">
      <w:pPr>
        <w:jc w:val="center"/>
        <w:rPr>
          <w:b/>
          <w:u w:val="single"/>
        </w:rPr>
      </w:pPr>
    </w:p>
    <w:tbl>
      <w:tblPr>
        <w:tblW w:w="9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2476"/>
        <w:gridCol w:w="6379"/>
      </w:tblGrid>
      <w:tr w:rsidR="0098615E" w:rsidRPr="00BC2010" w14:paraId="710C4235" w14:textId="77777777" w:rsidTr="00F60398">
        <w:trPr>
          <w:cantSplit/>
          <w:trHeight w:val="280"/>
          <w:tblHeader/>
        </w:trPr>
        <w:tc>
          <w:tcPr>
            <w:tcW w:w="9773" w:type="dxa"/>
            <w:gridSpan w:val="3"/>
            <w:shd w:val="pct15" w:color="auto" w:fill="FFFFFF"/>
            <w:hideMark/>
          </w:tcPr>
          <w:p w14:paraId="05D5AAF6" w14:textId="77777777" w:rsidR="0098615E" w:rsidRPr="00BC2010" w:rsidRDefault="0098615E" w:rsidP="006675B5">
            <w:pPr>
              <w:pStyle w:val="FigureTitle"/>
              <w:keepLines w:val="0"/>
              <w:spacing w:before="0" w:after="0"/>
              <w:jc w:val="left"/>
              <w:rPr>
                <w:sz w:val="24"/>
                <w:szCs w:val="24"/>
              </w:rPr>
            </w:pPr>
            <w:r w:rsidRPr="00BC2010">
              <w:rPr>
                <w:sz w:val="24"/>
                <w:szCs w:val="24"/>
              </w:rPr>
              <w:t>Participants and their roles</w:t>
            </w:r>
          </w:p>
        </w:tc>
      </w:tr>
      <w:tr w:rsidR="0098615E" w:rsidRPr="00BC2010" w14:paraId="2840F4FF" w14:textId="77777777" w:rsidTr="00F60398">
        <w:trPr>
          <w:cantSplit/>
          <w:trHeight w:val="280"/>
          <w:tblHeader/>
        </w:trPr>
        <w:tc>
          <w:tcPr>
            <w:tcW w:w="918" w:type="dxa"/>
            <w:shd w:val="pct15" w:color="auto" w:fill="FFFFFF"/>
            <w:hideMark/>
          </w:tcPr>
          <w:p w14:paraId="7E54D6D9" w14:textId="77777777" w:rsidR="0098615E" w:rsidRPr="00BC2010" w:rsidRDefault="0098615E" w:rsidP="006675B5">
            <w:pPr>
              <w:pStyle w:val="FigureTitle"/>
              <w:keepLines w:val="0"/>
              <w:spacing w:before="0" w:after="0"/>
              <w:jc w:val="left"/>
              <w:rPr>
                <w:sz w:val="24"/>
                <w:szCs w:val="24"/>
              </w:rPr>
            </w:pPr>
            <w:r w:rsidRPr="00BC2010">
              <w:rPr>
                <w:sz w:val="24"/>
                <w:szCs w:val="24"/>
              </w:rPr>
              <w:t>Actor</w:t>
            </w:r>
          </w:p>
        </w:tc>
        <w:tc>
          <w:tcPr>
            <w:tcW w:w="2476" w:type="dxa"/>
            <w:shd w:val="pct15" w:color="auto" w:fill="FFFFFF"/>
            <w:hideMark/>
          </w:tcPr>
          <w:p w14:paraId="17C33CBE" w14:textId="77777777" w:rsidR="0098615E" w:rsidRPr="00BC2010" w:rsidRDefault="0098615E" w:rsidP="006675B5">
            <w:pPr>
              <w:pStyle w:val="FigureTitle"/>
              <w:keepLines w:val="0"/>
              <w:spacing w:before="0" w:after="0"/>
              <w:jc w:val="left"/>
              <w:rPr>
                <w:sz w:val="24"/>
                <w:szCs w:val="24"/>
              </w:rPr>
            </w:pPr>
            <w:r w:rsidRPr="00BC2010">
              <w:rPr>
                <w:sz w:val="24"/>
                <w:szCs w:val="24"/>
              </w:rPr>
              <w:t>Type/Role</w:t>
            </w:r>
          </w:p>
        </w:tc>
        <w:tc>
          <w:tcPr>
            <w:tcW w:w="6379" w:type="dxa"/>
            <w:shd w:val="pct15" w:color="auto" w:fill="FFFFFF"/>
            <w:hideMark/>
          </w:tcPr>
          <w:p w14:paraId="37FE0CE1" w14:textId="77777777" w:rsidR="0098615E" w:rsidRPr="00BC2010" w:rsidRDefault="0098615E" w:rsidP="006675B5">
            <w:pPr>
              <w:pStyle w:val="FigureTitle"/>
              <w:keepLines w:val="0"/>
              <w:spacing w:before="0" w:after="0"/>
              <w:jc w:val="left"/>
              <w:rPr>
                <w:sz w:val="24"/>
                <w:szCs w:val="24"/>
              </w:rPr>
            </w:pPr>
            <w:r w:rsidRPr="00BC2010">
              <w:rPr>
                <w:sz w:val="24"/>
                <w:szCs w:val="24"/>
              </w:rPr>
              <w:t>Description</w:t>
            </w:r>
          </w:p>
        </w:tc>
      </w:tr>
      <w:tr w:rsidR="002B7FBD" w:rsidRPr="00BC2010" w14:paraId="09A01A0F" w14:textId="77777777" w:rsidTr="00F60398">
        <w:trPr>
          <w:cantSplit/>
          <w:trHeight w:val="540"/>
        </w:trPr>
        <w:tc>
          <w:tcPr>
            <w:tcW w:w="918" w:type="dxa"/>
            <w:hideMark/>
          </w:tcPr>
          <w:p w14:paraId="5F03ABA2" w14:textId="0B9F64D7" w:rsidR="002B7FBD" w:rsidRPr="002B7FBD" w:rsidRDefault="002B7FBD" w:rsidP="002B7FBD">
            <w:pPr>
              <w:rPr>
                <w:szCs w:val="24"/>
              </w:rPr>
            </w:pPr>
            <w:r w:rsidRPr="002B7FBD">
              <w:rPr>
                <w:szCs w:val="24"/>
              </w:rPr>
              <w:t>1.</w:t>
            </w:r>
          </w:p>
        </w:tc>
        <w:tc>
          <w:tcPr>
            <w:tcW w:w="2476" w:type="dxa"/>
          </w:tcPr>
          <w:p w14:paraId="2ADC4D41" w14:textId="10A5EDE7" w:rsidR="002B7FBD" w:rsidRPr="00BC2010" w:rsidRDefault="002B7FBD" w:rsidP="002B7FBD">
            <w:pPr>
              <w:rPr>
                <w:i/>
                <w:szCs w:val="24"/>
              </w:rPr>
            </w:pPr>
            <w:r>
              <w:rPr>
                <w:i/>
                <w:szCs w:val="24"/>
              </w:rPr>
              <w:t>Data subject</w:t>
            </w:r>
          </w:p>
        </w:tc>
        <w:tc>
          <w:tcPr>
            <w:tcW w:w="6379" w:type="dxa"/>
          </w:tcPr>
          <w:p w14:paraId="608C8390" w14:textId="48A48345" w:rsidR="002B7FBD" w:rsidRPr="00BC2010" w:rsidRDefault="002B7FBD" w:rsidP="002B7FBD">
            <w:pPr>
              <w:rPr>
                <w:szCs w:val="24"/>
              </w:rPr>
            </w:pPr>
            <w:r>
              <w:rPr>
                <w:szCs w:val="24"/>
              </w:rPr>
              <w:t>Any person providing data to a data controller/processor.</w:t>
            </w:r>
          </w:p>
        </w:tc>
      </w:tr>
      <w:tr w:rsidR="002B7FBD" w:rsidRPr="00BC2010" w14:paraId="77B5EC7C" w14:textId="77777777" w:rsidTr="00F60398">
        <w:trPr>
          <w:cantSplit/>
          <w:trHeight w:val="540"/>
        </w:trPr>
        <w:tc>
          <w:tcPr>
            <w:tcW w:w="918" w:type="dxa"/>
            <w:hideMark/>
          </w:tcPr>
          <w:p w14:paraId="5E1476C2" w14:textId="1F24FAE1" w:rsidR="002B7FBD" w:rsidRPr="002B7FBD" w:rsidRDefault="002B7FBD" w:rsidP="002B7FBD">
            <w:pPr>
              <w:rPr>
                <w:szCs w:val="24"/>
              </w:rPr>
            </w:pPr>
            <w:r w:rsidRPr="002B7FBD">
              <w:rPr>
                <w:szCs w:val="24"/>
              </w:rPr>
              <w:t>2.</w:t>
            </w:r>
          </w:p>
        </w:tc>
        <w:tc>
          <w:tcPr>
            <w:tcW w:w="2476" w:type="dxa"/>
          </w:tcPr>
          <w:p w14:paraId="521CCAFD" w14:textId="25151CAA" w:rsidR="002B7FBD" w:rsidRPr="00BC2010" w:rsidRDefault="002B7FBD" w:rsidP="002B7FBD">
            <w:pPr>
              <w:pStyle w:val="NormalComment"/>
              <w:rPr>
                <w:i/>
                <w:color w:val="auto"/>
                <w:szCs w:val="24"/>
              </w:rPr>
            </w:pPr>
            <w:r>
              <w:rPr>
                <w:i/>
                <w:color w:val="auto"/>
                <w:szCs w:val="24"/>
              </w:rPr>
              <w:t>Data controller</w:t>
            </w:r>
          </w:p>
        </w:tc>
        <w:tc>
          <w:tcPr>
            <w:tcW w:w="6379" w:type="dxa"/>
          </w:tcPr>
          <w:p w14:paraId="35A435EF" w14:textId="35F96573" w:rsidR="002B7FBD" w:rsidRPr="00BC2010" w:rsidRDefault="002B7FBD" w:rsidP="002B7FBD">
            <w:pPr>
              <w:pStyle w:val="NormalComment"/>
              <w:rPr>
                <w:color w:val="auto"/>
                <w:szCs w:val="24"/>
              </w:rPr>
            </w:pPr>
            <w:r>
              <w:rPr>
                <w:color w:val="auto"/>
                <w:szCs w:val="24"/>
              </w:rPr>
              <w:t>Any organization receiving data from a data subject.</w:t>
            </w:r>
          </w:p>
        </w:tc>
      </w:tr>
      <w:tr w:rsidR="002B7FBD" w:rsidRPr="00BC2010" w14:paraId="3EE91DCB" w14:textId="77777777" w:rsidTr="00F60398">
        <w:trPr>
          <w:cantSplit/>
          <w:trHeight w:val="540"/>
        </w:trPr>
        <w:tc>
          <w:tcPr>
            <w:tcW w:w="918" w:type="dxa"/>
          </w:tcPr>
          <w:p w14:paraId="21B66DD5" w14:textId="1028D435" w:rsidR="002B7FBD" w:rsidRPr="002B7FBD" w:rsidRDefault="002B7FBD" w:rsidP="002B7FBD">
            <w:pPr>
              <w:rPr>
                <w:szCs w:val="24"/>
              </w:rPr>
            </w:pPr>
            <w:r w:rsidRPr="002B7FBD">
              <w:rPr>
                <w:szCs w:val="24"/>
              </w:rPr>
              <w:t>3.</w:t>
            </w:r>
          </w:p>
        </w:tc>
        <w:tc>
          <w:tcPr>
            <w:tcW w:w="2476" w:type="dxa"/>
          </w:tcPr>
          <w:p w14:paraId="6EA03B4C" w14:textId="0961B878" w:rsidR="002B7FBD" w:rsidRDefault="002B7FBD" w:rsidP="002B7FBD">
            <w:pPr>
              <w:pStyle w:val="NormalComment"/>
              <w:rPr>
                <w:i/>
                <w:color w:val="auto"/>
                <w:szCs w:val="24"/>
              </w:rPr>
            </w:pPr>
            <w:r>
              <w:rPr>
                <w:i/>
                <w:color w:val="auto"/>
                <w:szCs w:val="24"/>
              </w:rPr>
              <w:t>Data processor</w:t>
            </w:r>
          </w:p>
        </w:tc>
        <w:tc>
          <w:tcPr>
            <w:tcW w:w="6379" w:type="dxa"/>
          </w:tcPr>
          <w:p w14:paraId="140FD849" w14:textId="04EE8473" w:rsidR="002B7FBD" w:rsidRDefault="002B7FBD" w:rsidP="002B7FBD">
            <w:pPr>
              <w:pStyle w:val="NormalComment"/>
              <w:rPr>
                <w:color w:val="auto"/>
                <w:szCs w:val="24"/>
              </w:rPr>
            </w:pPr>
            <w:r>
              <w:rPr>
                <w:color w:val="auto"/>
                <w:szCs w:val="24"/>
              </w:rPr>
              <w:t>Any organization receiving data from a controller to perform specific data processing activities.</w:t>
            </w:r>
          </w:p>
        </w:tc>
      </w:tr>
    </w:tbl>
    <w:p w14:paraId="193E4903" w14:textId="77777777" w:rsidR="0098615E" w:rsidRDefault="0098615E" w:rsidP="0098615E">
      <w:pPr>
        <w:rPr>
          <w:b/>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BC2010" w14:paraId="263FF806"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583A43A" w14:textId="77777777" w:rsidR="0098615E" w:rsidRPr="00BC2010" w:rsidRDefault="0098615E" w:rsidP="006675B5">
            <w:pPr>
              <w:pStyle w:val="FigureTitle"/>
              <w:keepLines w:val="0"/>
              <w:spacing w:before="0" w:after="0"/>
              <w:jc w:val="left"/>
              <w:rPr>
                <w:sz w:val="24"/>
                <w:szCs w:val="24"/>
              </w:rPr>
            </w:pPr>
            <w:r>
              <w:rPr>
                <w:sz w:val="24"/>
                <w:szCs w:val="24"/>
              </w:rPr>
              <w:t>Data and information</w:t>
            </w:r>
          </w:p>
        </w:tc>
      </w:tr>
      <w:tr w:rsidR="0098615E" w:rsidRPr="00BC2010" w14:paraId="60AE6927"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7F1AC56F" w14:textId="77777777" w:rsidR="0098615E" w:rsidRPr="00BC2010" w:rsidRDefault="0098615E" w:rsidP="006675B5">
            <w:pPr>
              <w:pStyle w:val="FigureTitle"/>
              <w:keepLines w:val="0"/>
              <w:spacing w:before="0" w:after="0"/>
              <w:jc w:val="left"/>
              <w:rPr>
                <w:sz w:val="24"/>
                <w:szCs w:val="24"/>
              </w:rPr>
            </w:pPr>
            <w:r>
              <w:rPr>
                <w:sz w:val="24"/>
                <w:szCs w:val="24"/>
              </w:rPr>
              <w:t>Data</w:t>
            </w:r>
          </w:p>
        </w:tc>
        <w:tc>
          <w:tcPr>
            <w:tcW w:w="2476" w:type="dxa"/>
            <w:tcBorders>
              <w:top w:val="single" w:sz="6" w:space="0" w:color="auto"/>
              <w:left w:val="single" w:sz="6" w:space="0" w:color="auto"/>
              <w:bottom w:val="nil"/>
              <w:right w:val="single" w:sz="6" w:space="0" w:color="auto"/>
            </w:tcBorders>
            <w:shd w:val="pct15" w:color="auto" w:fill="FFFFFF"/>
            <w:hideMark/>
          </w:tcPr>
          <w:p w14:paraId="41152990" w14:textId="77777777" w:rsidR="0098615E" w:rsidRPr="00BC2010" w:rsidRDefault="0098615E" w:rsidP="006675B5">
            <w:pPr>
              <w:pStyle w:val="FigureTitle"/>
              <w:keepLines w:val="0"/>
              <w:spacing w:before="0" w:after="0"/>
              <w:jc w:val="left"/>
              <w:rPr>
                <w:sz w:val="24"/>
                <w:szCs w:val="24"/>
              </w:rPr>
            </w:pPr>
            <w:r>
              <w:rPr>
                <w:sz w:val="24"/>
                <w:szCs w:val="24"/>
              </w:rPr>
              <w:t>Type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3E84510" w14:textId="77777777" w:rsidR="0098615E" w:rsidRPr="00BC2010" w:rsidRDefault="0098615E" w:rsidP="006675B5">
            <w:pPr>
              <w:pStyle w:val="FigureTitle"/>
              <w:keepLines w:val="0"/>
              <w:spacing w:before="0" w:after="0"/>
              <w:jc w:val="left"/>
              <w:rPr>
                <w:sz w:val="24"/>
                <w:szCs w:val="24"/>
              </w:rPr>
            </w:pPr>
            <w:r w:rsidRPr="00BC2010">
              <w:rPr>
                <w:sz w:val="24"/>
                <w:szCs w:val="24"/>
              </w:rPr>
              <w:t>Description</w:t>
            </w:r>
          </w:p>
        </w:tc>
      </w:tr>
      <w:tr w:rsidR="0098615E" w:rsidRPr="00BC2010" w14:paraId="38EA71B3"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E04DE0D" w14:textId="64FF204F" w:rsidR="0098615E" w:rsidRPr="002B7FBD" w:rsidRDefault="0098615E" w:rsidP="006675B5">
            <w:pPr>
              <w:rPr>
                <w:szCs w:val="24"/>
              </w:rPr>
            </w:pPr>
            <w:r w:rsidRPr="002B7FBD">
              <w:rPr>
                <w:szCs w:val="24"/>
              </w:rPr>
              <w:t>1</w:t>
            </w:r>
            <w:r w:rsidR="002B7FBD" w:rsidRPr="002B7FBD">
              <w:rPr>
                <w:szCs w:val="24"/>
              </w:rPr>
              <w:t>.</w:t>
            </w:r>
          </w:p>
        </w:tc>
        <w:tc>
          <w:tcPr>
            <w:tcW w:w="2476" w:type="dxa"/>
            <w:tcBorders>
              <w:top w:val="single" w:sz="6" w:space="0" w:color="auto"/>
              <w:left w:val="single" w:sz="6" w:space="0" w:color="auto"/>
              <w:bottom w:val="single" w:sz="6" w:space="0" w:color="auto"/>
              <w:right w:val="single" w:sz="6" w:space="0" w:color="auto"/>
            </w:tcBorders>
          </w:tcPr>
          <w:p w14:paraId="3BC76D3E" w14:textId="77204A36" w:rsidR="0098615E" w:rsidRPr="00BC2010" w:rsidRDefault="002B7FBD" w:rsidP="006675B5">
            <w:pPr>
              <w:rPr>
                <w:i/>
                <w:szCs w:val="24"/>
              </w:rPr>
            </w:pPr>
            <w:r>
              <w:rPr>
                <w:i/>
                <w:szCs w:val="24"/>
              </w:rPr>
              <w:t>Subject, controller, and processor identities</w:t>
            </w:r>
          </w:p>
        </w:tc>
        <w:tc>
          <w:tcPr>
            <w:tcW w:w="6379" w:type="dxa"/>
            <w:tcBorders>
              <w:top w:val="single" w:sz="6" w:space="0" w:color="auto"/>
              <w:left w:val="single" w:sz="6" w:space="0" w:color="auto"/>
              <w:bottom w:val="single" w:sz="6" w:space="0" w:color="auto"/>
              <w:right w:val="single" w:sz="6" w:space="0" w:color="auto"/>
            </w:tcBorders>
          </w:tcPr>
          <w:p w14:paraId="6CB6B92A" w14:textId="22ACD923" w:rsidR="0098615E" w:rsidRPr="00BC2010" w:rsidRDefault="002B7FBD" w:rsidP="006675B5">
            <w:pPr>
              <w:rPr>
                <w:szCs w:val="24"/>
              </w:rPr>
            </w:pPr>
            <w:r>
              <w:rPr>
                <w:szCs w:val="24"/>
              </w:rPr>
              <w:t>Unique identities for subjects, controller, and processor that are not re-used for other contracts in order to avoid linkability.</w:t>
            </w:r>
          </w:p>
        </w:tc>
      </w:tr>
      <w:tr w:rsidR="0098615E" w:rsidRPr="00BC2010" w14:paraId="38098DD3"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518BA2B" w14:textId="0C74FC8E" w:rsidR="0098615E" w:rsidRPr="002B7FBD" w:rsidRDefault="0098615E" w:rsidP="006675B5">
            <w:pPr>
              <w:rPr>
                <w:szCs w:val="24"/>
              </w:rPr>
            </w:pPr>
            <w:r w:rsidRPr="002B7FBD">
              <w:rPr>
                <w:szCs w:val="24"/>
              </w:rPr>
              <w:t>2</w:t>
            </w:r>
            <w:r w:rsidR="002B7FBD" w:rsidRPr="002B7FBD">
              <w:rPr>
                <w:szCs w:val="24"/>
              </w:rPr>
              <w:t>.</w:t>
            </w:r>
          </w:p>
        </w:tc>
        <w:tc>
          <w:tcPr>
            <w:tcW w:w="2476" w:type="dxa"/>
            <w:tcBorders>
              <w:top w:val="single" w:sz="6" w:space="0" w:color="auto"/>
              <w:left w:val="single" w:sz="6" w:space="0" w:color="auto"/>
              <w:bottom w:val="single" w:sz="6" w:space="0" w:color="auto"/>
              <w:right w:val="single" w:sz="6" w:space="0" w:color="auto"/>
            </w:tcBorders>
          </w:tcPr>
          <w:p w14:paraId="70AACACD" w14:textId="15107B07" w:rsidR="0098615E" w:rsidRPr="002B7FBD" w:rsidRDefault="002B7FBD" w:rsidP="002B7FBD">
            <w:pPr>
              <w:pStyle w:val="NormalComment"/>
              <w:rPr>
                <w:rFonts w:eastAsia="MS Mincho"/>
                <w:i/>
                <w:color w:val="auto"/>
                <w:szCs w:val="24"/>
                <w:lang w:val="en-GB"/>
              </w:rPr>
            </w:pPr>
            <w:r w:rsidRPr="002B7FBD">
              <w:rPr>
                <w:rFonts w:eastAsia="MS Mincho"/>
                <w:i/>
                <w:color w:val="auto"/>
                <w:szCs w:val="24"/>
                <w:lang w:val="en-GB"/>
              </w:rPr>
              <w:t>Data type and value fingerprints</w:t>
            </w:r>
          </w:p>
        </w:tc>
        <w:tc>
          <w:tcPr>
            <w:tcW w:w="6379" w:type="dxa"/>
            <w:tcBorders>
              <w:top w:val="single" w:sz="6" w:space="0" w:color="auto"/>
              <w:left w:val="single" w:sz="6" w:space="0" w:color="auto"/>
              <w:bottom w:val="single" w:sz="6" w:space="0" w:color="auto"/>
              <w:right w:val="single" w:sz="6" w:space="0" w:color="auto"/>
            </w:tcBorders>
          </w:tcPr>
          <w:p w14:paraId="633309BD" w14:textId="325AF12A" w:rsidR="0098615E" w:rsidRPr="00BC2010" w:rsidRDefault="002B7FBD" w:rsidP="002B7FBD">
            <w:pPr>
              <w:pStyle w:val="NormalComment"/>
              <w:rPr>
                <w:color w:val="auto"/>
                <w:szCs w:val="24"/>
              </w:rPr>
            </w:pPr>
            <w:r>
              <w:rPr>
                <w:color w:val="auto"/>
                <w:szCs w:val="24"/>
              </w:rPr>
              <w:t>Fingerprints of data types and values using a one-way hash function in combination with a random nonce to prevent dictionary attacks.</w:t>
            </w:r>
          </w:p>
        </w:tc>
      </w:tr>
      <w:tr w:rsidR="002B7FBD" w:rsidRPr="00BC2010" w14:paraId="57D7DEAF"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tcPr>
          <w:p w14:paraId="7E68893B" w14:textId="73DDF500" w:rsidR="002B7FBD" w:rsidRPr="002B7FBD" w:rsidRDefault="002B7FBD" w:rsidP="002B7FBD">
            <w:pPr>
              <w:rPr>
                <w:szCs w:val="24"/>
              </w:rPr>
            </w:pPr>
            <w:r w:rsidRPr="002B7FBD">
              <w:rPr>
                <w:szCs w:val="24"/>
              </w:rPr>
              <w:lastRenderedPageBreak/>
              <w:t>3.</w:t>
            </w:r>
          </w:p>
        </w:tc>
        <w:tc>
          <w:tcPr>
            <w:tcW w:w="2476" w:type="dxa"/>
            <w:tcBorders>
              <w:top w:val="single" w:sz="6" w:space="0" w:color="auto"/>
              <w:left w:val="single" w:sz="6" w:space="0" w:color="auto"/>
              <w:bottom w:val="single" w:sz="6" w:space="0" w:color="auto"/>
              <w:right w:val="single" w:sz="6" w:space="0" w:color="auto"/>
            </w:tcBorders>
          </w:tcPr>
          <w:p w14:paraId="0B659ED0" w14:textId="0C676D04" w:rsidR="002B7FBD" w:rsidRPr="002B7FBD" w:rsidRDefault="002B7FBD" w:rsidP="002B7FBD">
            <w:pPr>
              <w:pStyle w:val="NormalComment"/>
              <w:rPr>
                <w:rFonts w:eastAsia="MS Mincho"/>
                <w:i/>
                <w:color w:val="auto"/>
                <w:szCs w:val="24"/>
                <w:lang w:val="en-GB"/>
              </w:rPr>
            </w:pPr>
            <w:r w:rsidRPr="002B7FBD">
              <w:rPr>
                <w:rFonts w:eastAsia="MS Mincho"/>
                <w:i/>
                <w:color w:val="auto"/>
                <w:szCs w:val="24"/>
                <w:lang w:val="en-GB"/>
              </w:rPr>
              <w:t xml:space="preserve">Usage control policy </w:t>
            </w:r>
          </w:p>
        </w:tc>
        <w:tc>
          <w:tcPr>
            <w:tcW w:w="6379" w:type="dxa"/>
            <w:tcBorders>
              <w:top w:val="single" w:sz="6" w:space="0" w:color="auto"/>
              <w:left w:val="single" w:sz="6" w:space="0" w:color="auto"/>
              <w:bottom w:val="single" w:sz="6" w:space="0" w:color="auto"/>
              <w:right w:val="single" w:sz="6" w:space="0" w:color="auto"/>
            </w:tcBorders>
          </w:tcPr>
          <w:p w14:paraId="548A4723" w14:textId="71C09C9F" w:rsidR="002B7FBD" w:rsidRPr="00BC2010" w:rsidRDefault="002B7FBD" w:rsidP="002B7FBD">
            <w:pPr>
              <w:pStyle w:val="NormalComment"/>
              <w:rPr>
                <w:color w:val="auto"/>
                <w:szCs w:val="24"/>
              </w:rPr>
            </w:pPr>
            <w:r>
              <w:rPr>
                <w:color w:val="auto"/>
                <w:szCs w:val="24"/>
              </w:rPr>
              <w:t>An Event-Condition-Action policy specifying the data usage event, the condition, and the respective action (allow, deny, modify, delay, or execute).</w:t>
            </w:r>
          </w:p>
        </w:tc>
      </w:tr>
    </w:tbl>
    <w:p w14:paraId="61929C49" w14:textId="77777777" w:rsidR="0098615E" w:rsidRDefault="0098615E" w:rsidP="0098615E">
      <w:pPr>
        <w:rPr>
          <w:b/>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98615E" w:rsidRPr="00BC2010" w14:paraId="3A36DFBF"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5082850B" w14:textId="77777777" w:rsidR="0098615E" w:rsidRPr="00BC2010" w:rsidRDefault="0098615E" w:rsidP="006675B5">
            <w:pPr>
              <w:pStyle w:val="HeadingBase"/>
              <w:spacing w:before="0" w:after="0"/>
              <w:rPr>
                <w:sz w:val="24"/>
                <w:szCs w:val="24"/>
              </w:rPr>
            </w:pPr>
            <w:r w:rsidRPr="00545A9F">
              <w:rPr>
                <w:sz w:val="24"/>
                <w:szCs w:val="24"/>
              </w:rPr>
              <w:t>Security and privacy</w:t>
            </w:r>
          </w:p>
        </w:tc>
      </w:tr>
      <w:tr w:rsidR="0098615E" w:rsidRPr="00BC2010" w14:paraId="3972D324" w14:textId="77777777" w:rsidTr="006675B5">
        <w:tc>
          <w:tcPr>
            <w:tcW w:w="9773" w:type="dxa"/>
            <w:tcBorders>
              <w:top w:val="single" w:sz="6" w:space="0" w:color="auto"/>
              <w:left w:val="single" w:sz="6" w:space="0" w:color="auto"/>
              <w:bottom w:val="single" w:sz="6" w:space="0" w:color="auto"/>
              <w:right w:val="single" w:sz="6" w:space="0" w:color="auto"/>
            </w:tcBorders>
          </w:tcPr>
          <w:p w14:paraId="663279AD" w14:textId="26AED6AD" w:rsidR="0098615E" w:rsidRPr="00FD0492" w:rsidRDefault="002B7FBD" w:rsidP="006675B5">
            <w:pPr>
              <w:tabs>
                <w:tab w:val="clear" w:pos="794"/>
                <w:tab w:val="clear" w:pos="1191"/>
                <w:tab w:val="clear" w:pos="1588"/>
                <w:tab w:val="clear" w:pos="1985"/>
                <w:tab w:val="left" w:pos="720"/>
              </w:tabs>
              <w:overflowPunct/>
              <w:autoSpaceDE/>
              <w:autoSpaceDN/>
              <w:adjustRightInd/>
              <w:spacing w:after="60"/>
              <w:textAlignment w:val="auto"/>
              <w:rPr>
                <w:i/>
                <w:szCs w:val="24"/>
              </w:rPr>
            </w:pPr>
            <w:r>
              <w:rPr>
                <w:i/>
                <w:szCs w:val="24"/>
              </w:rPr>
              <w:t>The data items and identities stored in the blockchain are obfuscated to allow a privacy-by-design approach for the use case.</w:t>
            </w:r>
          </w:p>
        </w:tc>
      </w:tr>
    </w:tbl>
    <w:p w14:paraId="051AD822" w14:textId="77777777" w:rsidR="0098615E" w:rsidRPr="00BC2010" w:rsidRDefault="0098615E" w:rsidP="0098615E">
      <w:pPr>
        <w:rPr>
          <w:b/>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BC2010" w14:paraId="126A7582"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71E251D6" w14:textId="4CC1BC62" w:rsidR="0098615E" w:rsidRPr="00BC2010" w:rsidRDefault="0098615E" w:rsidP="006675B5">
            <w:pPr>
              <w:pStyle w:val="FigureTitle"/>
              <w:keepLines w:val="0"/>
              <w:spacing w:before="0" w:after="0"/>
              <w:jc w:val="left"/>
              <w:rPr>
                <w:sz w:val="24"/>
                <w:szCs w:val="24"/>
              </w:rPr>
            </w:pPr>
            <w:r w:rsidRPr="00BC2010">
              <w:rPr>
                <w:sz w:val="24"/>
                <w:szCs w:val="24"/>
              </w:rPr>
              <w:t>Main Success Scenario</w:t>
            </w:r>
            <w:r w:rsidR="004F1208">
              <w:rPr>
                <w:sz w:val="24"/>
                <w:szCs w:val="24"/>
              </w:rPr>
              <w:t xml:space="preserve"> + expected time line</w:t>
            </w:r>
          </w:p>
        </w:tc>
      </w:tr>
      <w:tr w:rsidR="0098615E" w:rsidRPr="00BC2010" w14:paraId="1513A488"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5DD0EFBF" w14:textId="77777777" w:rsidR="0098615E" w:rsidRDefault="00BB7375" w:rsidP="006675B5">
            <w:pPr>
              <w:rPr>
                <w:i/>
              </w:rPr>
            </w:pPr>
            <w:r>
              <w:rPr>
                <w:i/>
              </w:rPr>
              <w:t>The main success scenario is a public blockchain where all data subjects are able to record and audit the data exchanged with data controllers and processors including their usage control policies in a privacy friendly way.</w:t>
            </w:r>
          </w:p>
          <w:p w14:paraId="192AABF5" w14:textId="481B41CF" w:rsidR="00BB7375" w:rsidRPr="00147CE0" w:rsidRDefault="00BB7375" w:rsidP="006675B5">
            <w:pPr>
              <w:rPr>
                <w:i/>
              </w:rPr>
            </w:pPr>
            <w:r>
              <w:rPr>
                <w:i/>
              </w:rPr>
              <w:t>There is currently no expected time line since this is a research prototype.</w:t>
            </w:r>
          </w:p>
        </w:tc>
      </w:tr>
    </w:tbl>
    <w:p w14:paraId="2D9BB6AC" w14:textId="77777777" w:rsidR="0098615E" w:rsidRDefault="0098615E" w:rsidP="0098615E">
      <w:pPr>
        <w:rPr>
          <w:b/>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A07450" w14:paraId="3DF51C34"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49BB9FFA" w14:textId="77777777" w:rsidR="0098615E" w:rsidRPr="00A07450" w:rsidRDefault="0098615E" w:rsidP="006675B5">
            <w:pPr>
              <w:pStyle w:val="FigureTitle"/>
              <w:keepLines w:val="0"/>
              <w:spacing w:before="0" w:after="0"/>
              <w:jc w:val="left"/>
              <w:rPr>
                <w:sz w:val="24"/>
                <w:szCs w:val="24"/>
              </w:rPr>
            </w:pPr>
            <w:r>
              <w:rPr>
                <w:sz w:val="24"/>
                <w:szCs w:val="24"/>
              </w:rPr>
              <w:t>Conditions (pre- or post-)</w:t>
            </w:r>
          </w:p>
        </w:tc>
      </w:tr>
      <w:tr w:rsidR="0098615E" w:rsidRPr="00A07450" w14:paraId="7E36E919"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7A6CCFE7" w14:textId="77777777" w:rsidR="0098615E" w:rsidRPr="002B7FBD" w:rsidRDefault="002B7FBD" w:rsidP="002B7FBD">
            <w:pPr>
              <w:rPr>
                <w:i/>
              </w:rPr>
            </w:pPr>
            <w:r w:rsidRPr="002B7FBD">
              <w:rPr>
                <w:i/>
              </w:rPr>
              <w:t>Subjects provide data to controllers and processors and have no auditable way of verifying how their data is being processed, stored, and redistributed. In case of privacy violations reported by subjects controllers and processors should be able to prove the data is stored and processed according to the subjects’ privacy requirements.</w:t>
            </w:r>
          </w:p>
          <w:p w14:paraId="7F47BD52" w14:textId="6F206982" w:rsidR="002B7FBD" w:rsidRPr="002B7FBD" w:rsidRDefault="002B7FBD" w:rsidP="002B7FBD">
            <w:r w:rsidRPr="002B7FBD">
              <w:rPr>
                <w:i/>
              </w:rPr>
              <w:t>Smart contracts can be used as an auditable way of encoding data provenance information and privacy requirements to enable subjects to evaluate who has accessed their data and the conditions for storage, processing, and redistribution of the data. In case subjects believe their privacy requirements are not being fulfilled they can revoke data access and usage rights using the blockchain. This provides a mechanism for legal compliance in the face of the new EU General Data Protection Regulation (GDPR). Since in public blockchains the smart contracts are readable by anyone the data provenance and accountability information should be encoded in a privacy friendly way.</w:t>
            </w:r>
          </w:p>
        </w:tc>
      </w:tr>
    </w:tbl>
    <w:p w14:paraId="1B995D18" w14:textId="77777777" w:rsidR="006F75D5" w:rsidRPr="00BC2010" w:rsidRDefault="006F75D5" w:rsidP="006F75D5">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6F75D5" w:rsidRPr="00BC2010" w14:paraId="2560598F" w14:textId="77777777" w:rsidTr="00BC2010">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59522AE" w14:textId="77777777" w:rsidR="006F75D5" w:rsidRPr="00BC2010" w:rsidRDefault="00C42D35" w:rsidP="00BC2010">
            <w:pPr>
              <w:pStyle w:val="FigureTitle"/>
              <w:keepLines w:val="0"/>
              <w:spacing w:before="0" w:after="0"/>
              <w:jc w:val="left"/>
              <w:rPr>
                <w:sz w:val="24"/>
                <w:szCs w:val="24"/>
              </w:rPr>
            </w:pPr>
            <w:r w:rsidRPr="00BC2010">
              <w:rPr>
                <w:sz w:val="24"/>
                <w:szCs w:val="24"/>
              </w:rPr>
              <w:t>Performance needs</w:t>
            </w:r>
          </w:p>
        </w:tc>
      </w:tr>
      <w:tr w:rsidR="00BC2010" w:rsidRPr="00BC2010" w14:paraId="6C841A12" w14:textId="77777777" w:rsidTr="00C42D35">
        <w:tc>
          <w:tcPr>
            <w:tcW w:w="9773" w:type="dxa"/>
            <w:tcBorders>
              <w:top w:val="single" w:sz="6" w:space="0" w:color="auto"/>
              <w:left w:val="single" w:sz="6" w:space="0" w:color="auto"/>
              <w:bottom w:val="single" w:sz="6" w:space="0" w:color="auto"/>
              <w:right w:val="single" w:sz="6" w:space="0" w:color="auto"/>
            </w:tcBorders>
            <w:hideMark/>
          </w:tcPr>
          <w:p w14:paraId="7C588F73" w14:textId="06B93C68" w:rsidR="006F75D5" w:rsidRPr="00147CE0" w:rsidRDefault="002B7FBD" w:rsidP="002B7FBD">
            <w:pPr>
              <w:rPr>
                <w:i/>
              </w:rPr>
            </w:pPr>
            <w:r w:rsidRPr="008B6C12">
              <w:rPr>
                <w:lang w:val="en-US"/>
              </w:rPr>
              <w:t>In public blockchains, scalability is an issue considering the amount of data accessed, stored, and processed by many data controllers and processors. Maybe this approach is more viable for very sensitive data, for example, medical records.</w:t>
            </w:r>
          </w:p>
        </w:tc>
      </w:tr>
    </w:tbl>
    <w:p w14:paraId="22E928F1" w14:textId="77777777" w:rsidR="0074301B" w:rsidRPr="004320D2" w:rsidRDefault="0074301B" w:rsidP="006F75D5">
      <w:pPr>
        <w:rPr>
          <w:rFonts w:asciiTheme="minorHAnsi" w:hAnsiTheme="minorHAnsi" w:cs="Cambria,Bold"/>
          <w:b/>
          <w:bCs/>
          <w:sz w:val="22"/>
          <w:szCs w:val="22"/>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74301B" w:rsidRPr="00A07450" w14:paraId="1E2EB5CE"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5D45787" w14:textId="77777777" w:rsidR="0074301B" w:rsidRPr="00A07450" w:rsidRDefault="0074301B" w:rsidP="006675B5">
            <w:pPr>
              <w:pStyle w:val="HeadingBase"/>
              <w:spacing w:before="0" w:after="0"/>
              <w:rPr>
                <w:sz w:val="24"/>
                <w:szCs w:val="24"/>
              </w:rPr>
            </w:pPr>
            <w:r w:rsidRPr="0074301B">
              <w:rPr>
                <w:sz w:val="24"/>
                <w:szCs w:val="24"/>
              </w:rPr>
              <w:t>Legal considerations</w:t>
            </w:r>
          </w:p>
        </w:tc>
      </w:tr>
      <w:tr w:rsidR="0074301B" w:rsidRPr="00BC2010" w14:paraId="2BAF2CAF" w14:textId="77777777" w:rsidTr="006675B5">
        <w:tc>
          <w:tcPr>
            <w:tcW w:w="9773" w:type="dxa"/>
            <w:tcBorders>
              <w:top w:val="single" w:sz="6" w:space="0" w:color="auto"/>
              <w:left w:val="single" w:sz="6" w:space="0" w:color="auto"/>
              <w:bottom w:val="single" w:sz="6" w:space="0" w:color="auto"/>
              <w:right w:val="single" w:sz="6" w:space="0" w:color="auto"/>
            </w:tcBorders>
            <w:hideMark/>
          </w:tcPr>
          <w:p w14:paraId="01015890" w14:textId="4B2A193D" w:rsidR="0074301B" w:rsidRPr="00021B2E" w:rsidRDefault="00021B2E" w:rsidP="00021B2E">
            <w:pPr>
              <w:tabs>
                <w:tab w:val="left" w:pos="720"/>
              </w:tabs>
              <w:spacing w:after="60"/>
              <w:rPr>
                <w:i/>
              </w:rPr>
            </w:pPr>
            <w:r>
              <w:rPr>
                <w:i/>
              </w:rPr>
              <w:t xml:space="preserve">1. </w:t>
            </w:r>
            <w:r w:rsidR="002B7FBD">
              <w:rPr>
                <w:i/>
              </w:rPr>
              <w:t>The goal of the use case is to support the implementation of the General Data Protection Regulation (GDPR)</w:t>
            </w:r>
          </w:p>
        </w:tc>
      </w:tr>
    </w:tbl>
    <w:p w14:paraId="7A51FB08" w14:textId="77777777" w:rsidR="0074301B" w:rsidRPr="00545A9F" w:rsidRDefault="0074301B" w:rsidP="006F75D5">
      <w:pPr>
        <w:rPr>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545A9F" w:rsidRPr="00A07450" w14:paraId="5EA2A306"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361855DC" w14:textId="77777777" w:rsidR="00545A9F" w:rsidRPr="00A07450" w:rsidRDefault="00545A9F" w:rsidP="006675B5">
            <w:pPr>
              <w:pStyle w:val="HeadingBase"/>
              <w:spacing w:before="0" w:after="0"/>
              <w:rPr>
                <w:sz w:val="24"/>
                <w:szCs w:val="24"/>
              </w:rPr>
            </w:pPr>
            <w:r>
              <w:rPr>
                <w:sz w:val="24"/>
                <w:szCs w:val="24"/>
              </w:rPr>
              <w:t>Risks</w:t>
            </w:r>
          </w:p>
        </w:tc>
      </w:tr>
      <w:tr w:rsidR="00545A9F" w:rsidRPr="00BC2010" w14:paraId="7A4701F0" w14:textId="77777777" w:rsidTr="006675B5">
        <w:tc>
          <w:tcPr>
            <w:tcW w:w="9773" w:type="dxa"/>
            <w:tcBorders>
              <w:top w:val="single" w:sz="6" w:space="0" w:color="auto"/>
              <w:left w:val="single" w:sz="6" w:space="0" w:color="auto"/>
              <w:bottom w:val="single" w:sz="6" w:space="0" w:color="auto"/>
              <w:right w:val="single" w:sz="6" w:space="0" w:color="auto"/>
            </w:tcBorders>
            <w:hideMark/>
          </w:tcPr>
          <w:p w14:paraId="20550FAC" w14:textId="64DFFAC7" w:rsidR="00545A9F" w:rsidRPr="00FD0492" w:rsidRDefault="002B7FBD" w:rsidP="002B7FBD">
            <w:pPr>
              <w:tabs>
                <w:tab w:val="clear" w:pos="794"/>
                <w:tab w:val="clear" w:pos="1191"/>
                <w:tab w:val="clear" w:pos="1588"/>
                <w:tab w:val="clear" w:pos="1985"/>
                <w:tab w:val="left" w:pos="720"/>
              </w:tabs>
              <w:overflowPunct/>
              <w:autoSpaceDE/>
              <w:autoSpaceDN/>
              <w:adjustRightInd/>
              <w:spacing w:after="60"/>
              <w:textAlignment w:val="auto"/>
              <w:rPr>
                <w:i/>
                <w:szCs w:val="24"/>
              </w:rPr>
            </w:pPr>
            <w:r>
              <w:rPr>
                <w:i/>
                <w:szCs w:val="24"/>
              </w:rPr>
              <w:t>No l</w:t>
            </w:r>
            <w:r w:rsidR="00DE1C73">
              <w:rPr>
                <w:i/>
                <w:szCs w:val="24"/>
              </w:rPr>
              <w:t>egal, business and technical r</w:t>
            </w:r>
            <w:r w:rsidR="00545A9F" w:rsidRPr="00FD0492">
              <w:rPr>
                <w:i/>
                <w:szCs w:val="24"/>
              </w:rPr>
              <w:t>isks related to use case</w:t>
            </w:r>
            <w:r w:rsidR="00BB7375">
              <w:rPr>
                <w:i/>
                <w:szCs w:val="24"/>
              </w:rPr>
              <w:t xml:space="preserve"> were identified.</w:t>
            </w:r>
          </w:p>
        </w:tc>
      </w:tr>
    </w:tbl>
    <w:p w14:paraId="112246D5" w14:textId="77777777" w:rsidR="00545A9F" w:rsidRPr="00BC2010" w:rsidRDefault="00545A9F" w:rsidP="006F75D5">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BC2010" w:rsidRPr="00BC2010" w14:paraId="14EF84EC" w14:textId="77777777" w:rsidTr="00C42D3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B04098E" w14:textId="77777777" w:rsidR="006F75D5" w:rsidRPr="00BC2010" w:rsidRDefault="006F75D5">
            <w:pPr>
              <w:pStyle w:val="HeadingBase"/>
              <w:spacing w:before="0" w:after="0"/>
              <w:rPr>
                <w:sz w:val="24"/>
                <w:szCs w:val="24"/>
              </w:rPr>
            </w:pPr>
            <w:r w:rsidRPr="00BC2010">
              <w:rPr>
                <w:sz w:val="24"/>
                <w:szCs w:val="24"/>
              </w:rPr>
              <w:t>Special Requirements</w:t>
            </w:r>
          </w:p>
        </w:tc>
      </w:tr>
      <w:tr w:rsidR="00BC2010" w:rsidRPr="00BC2010" w14:paraId="62B58AB2" w14:textId="77777777" w:rsidTr="00C42D35">
        <w:tc>
          <w:tcPr>
            <w:tcW w:w="9773" w:type="dxa"/>
            <w:tcBorders>
              <w:top w:val="single" w:sz="6" w:space="0" w:color="auto"/>
              <w:left w:val="single" w:sz="6" w:space="0" w:color="auto"/>
              <w:bottom w:val="single" w:sz="6" w:space="0" w:color="auto"/>
              <w:right w:val="single" w:sz="6" w:space="0" w:color="auto"/>
            </w:tcBorders>
            <w:hideMark/>
          </w:tcPr>
          <w:p w14:paraId="43CB20C9" w14:textId="273C8200" w:rsidR="006F75D5" w:rsidRPr="00FD0492" w:rsidRDefault="002B7FBD" w:rsidP="002B7FBD">
            <w:pPr>
              <w:tabs>
                <w:tab w:val="clear" w:pos="794"/>
                <w:tab w:val="clear" w:pos="1191"/>
                <w:tab w:val="clear" w:pos="1588"/>
                <w:tab w:val="clear" w:pos="1985"/>
                <w:tab w:val="left" w:pos="720"/>
              </w:tabs>
              <w:overflowPunct/>
              <w:autoSpaceDE/>
              <w:autoSpaceDN/>
              <w:adjustRightInd/>
              <w:spacing w:after="60"/>
              <w:textAlignment w:val="auto"/>
              <w:rPr>
                <w:i/>
                <w:szCs w:val="24"/>
              </w:rPr>
            </w:pPr>
            <w:r>
              <w:rPr>
                <w:i/>
                <w:szCs w:val="24"/>
              </w:rPr>
              <w:t>No special b</w:t>
            </w:r>
            <w:r w:rsidR="00FD0492" w:rsidRPr="00FD0492">
              <w:rPr>
                <w:i/>
                <w:szCs w:val="24"/>
              </w:rPr>
              <w:t>usiness and technical requirements of use case</w:t>
            </w:r>
            <w:r w:rsidR="00BB7375">
              <w:rPr>
                <w:i/>
                <w:szCs w:val="24"/>
              </w:rPr>
              <w:t xml:space="preserve"> were identified.</w:t>
            </w:r>
          </w:p>
        </w:tc>
      </w:tr>
    </w:tbl>
    <w:p w14:paraId="6996BA09" w14:textId="77777777" w:rsidR="00BC2010" w:rsidRPr="00BC2010" w:rsidRDefault="00BC2010" w:rsidP="006F75D5">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BC2010" w:rsidRPr="00BC2010" w14:paraId="0121E194" w14:textId="77777777" w:rsidTr="00C42D3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566BD046" w14:textId="77777777" w:rsidR="006F75D5" w:rsidRPr="00BC2010" w:rsidRDefault="00ED288D">
            <w:pPr>
              <w:pStyle w:val="HeadingBase"/>
              <w:spacing w:before="0" w:after="0"/>
              <w:rPr>
                <w:sz w:val="24"/>
                <w:szCs w:val="24"/>
              </w:rPr>
            </w:pPr>
            <w:r w:rsidRPr="00BC2010">
              <w:rPr>
                <w:sz w:val="24"/>
                <w:szCs w:val="24"/>
              </w:rPr>
              <w:t>External References and Miscellaneous</w:t>
            </w:r>
          </w:p>
        </w:tc>
      </w:tr>
      <w:tr w:rsidR="00BC2010" w:rsidRPr="00BC2010" w14:paraId="69C4A35C" w14:textId="77777777" w:rsidTr="00C42D35">
        <w:tc>
          <w:tcPr>
            <w:tcW w:w="9773" w:type="dxa"/>
            <w:tcBorders>
              <w:top w:val="single" w:sz="6" w:space="0" w:color="auto"/>
              <w:left w:val="single" w:sz="6" w:space="0" w:color="auto"/>
              <w:bottom w:val="single" w:sz="6" w:space="0" w:color="auto"/>
              <w:right w:val="single" w:sz="6" w:space="0" w:color="auto"/>
            </w:tcBorders>
            <w:hideMark/>
          </w:tcPr>
          <w:p w14:paraId="0BD79D92" w14:textId="203BA205" w:rsidR="006F75D5" w:rsidRPr="00FD0492" w:rsidRDefault="002B7FBD" w:rsidP="00FD0492">
            <w:pPr>
              <w:jc w:val="both"/>
              <w:rPr>
                <w:i/>
              </w:rPr>
            </w:pPr>
            <w:r>
              <w:rPr>
                <w:rFonts w:ascii="Tahoma" w:hAnsi="Tahoma" w:cs="Tahoma"/>
                <w:color w:val="000000"/>
                <w:sz w:val="18"/>
                <w:szCs w:val="18"/>
                <w:shd w:val="clear" w:color="auto" w:fill="FFFFFF"/>
              </w:rPr>
              <w:t>Ricardo Neisse, Gary Steri, and Igor Nai-Fovino. 2017. A Blockchain-based Approach for Data Accountability and Provenance Tracking. In </w:t>
            </w:r>
            <w:r>
              <w:rPr>
                <w:rStyle w:val="Emphasis"/>
                <w:rFonts w:ascii="Tahoma" w:hAnsi="Tahoma" w:cs="Tahoma"/>
                <w:i w:val="0"/>
                <w:iCs w:val="0"/>
                <w:color w:val="000000"/>
                <w:sz w:val="18"/>
                <w:szCs w:val="18"/>
                <w:shd w:val="clear" w:color="auto" w:fill="FFFFFF"/>
              </w:rPr>
              <w:t>Proceedings of the 12th International Conference on Availability, Reliability and Security</w:t>
            </w:r>
            <w:r>
              <w:rPr>
                <w:rFonts w:ascii="Tahoma" w:hAnsi="Tahoma" w:cs="Tahoma"/>
                <w:color w:val="000000"/>
                <w:sz w:val="18"/>
                <w:szCs w:val="18"/>
                <w:shd w:val="clear" w:color="auto" w:fill="FFFFFF"/>
              </w:rPr>
              <w:t> (ARES '17). ACM, New York, NY, USA, Article 14, 10 pages. DOI: https://doi.org/10.1145/3098954.3098958</w:t>
            </w:r>
          </w:p>
        </w:tc>
      </w:tr>
    </w:tbl>
    <w:p w14:paraId="37BBE40A" w14:textId="77777777" w:rsidR="006F75D5" w:rsidRDefault="006F75D5" w:rsidP="006F75D5">
      <w:pPr>
        <w:pStyle w:val="FootnoteText"/>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545A9F" w:rsidRPr="00BC2010" w14:paraId="2656ED47"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3E282D19" w14:textId="77777777" w:rsidR="00545A9F" w:rsidRPr="00BC2010" w:rsidRDefault="00545A9F" w:rsidP="006675B5">
            <w:pPr>
              <w:pStyle w:val="HeadingBase"/>
              <w:spacing w:before="0" w:after="0"/>
              <w:rPr>
                <w:sz w:val="24"/>
                <w:szCs w:val="24"/>
              </w:rPr>
            </w:pPr>
            <w:r w:rsidRPr="00BC2010">
              <w:rPr>
                <w:sz w:val="24"/>
                <w:szCs w:val="24"/>
              </w:rPr>
              <w:t>O</w:t>
            </w:r>
            <w:r>
              <w:rPr>
                <w:sz w:val="24"/>
                <w:szCs w:val="24"/>
              </w:rPr>
              <w:t>ther Notes</w:t>
            </w:r>
          </w:p>
        </w:tc>
      </w:tr>
      <w:tr w:rsidR="00545A9F" w:rsidRPr="00BC2010" w14:paraId="06BA15F4" w14:textId="77777777" w:rsidTr="006675B5">
        <w:tc>
          <w:tcPr>
            <w:tcW w:w="9773" w:type="dxa"/>
            <w:tcBorders>
              <w:top w:val="single" w:sz="6" w:space="0" w:color="auto"/>
              <w:left w:val="single" w:sz="6" w:space="0" w:color="auto"/>
              <w:bottom w:val="single" w:sz="6" w:space="0" w:color="auto"/>
              <w:right w:val="single" w:sz="6" w:space="0" w:color="auto"/>
            </w:tcBorders>
          </w:tcPr>
          <w:p w14:paraId="61041FD5" w14:textId="77777777" w:rsidR="002B7FBD" w:rsidRPr="00F907B9" w:rsidRDefault="002B7FBD" w:rsidP="002B7FBD">
            <w:pPr>
              <w:rPr>
                <w:lang w:val="en-US"/>
              </w:rPr>
            </w:pPr>
            <w:r w:rsidRPr="00F907B9">
              <w:rPr>
                <w:lang w:val="en-US"/>
              </w:rPr>
              <w:t>The following figure presents the high-level architecture of the data accountability and provenance tracking</w:t>
            </w:r>
            <w:r>
              <w:rPr>
                <w:lang w:val="en-US"/>
              </w:rPr>
              <w:t xml:space="preserve"> </w:t>
            </w:r>
            <w:r w:rsidRPr="00F907B9">
              <w:rPr>
                <w:lang w:val="en-US"/>
              </w:rPr>
              <w:t>model proposed in this use case. In this architecture, three main entities are depicted following the GDPR terminology: the Data Subject, the Data Controller, and the Data Processor. When the subject subscribes with a controller, which is typically the role of a service provider, it creates a policybased Data Usage Contract specifying constraints on the usage and redistribution of any data obtained explicitly or implicitly by the controller. Explicit data is any data provided directly through interactions with the subject such as the e-mail addresses or birth date. Implicit data is any data acquired automatically, for example, sensor data from IoT</w:t>
            </w:r>
            <w:r>
              <w:rPr>
                <w:lang w:val="en-US"/>
              </w:rPr>
              <w:t xml:space="preserve"> </w:t>
            </w:r>
            <w:r w:rsidRPr="00F907B9">
              <w:rPr>
                <w:lang w:val="en-US"/>
              </w:rPr>
              <w:t xml:space="preserve">devices in the environment surrounding the subject, data acquired by apps installed in mobile devices, or even server </w:t>
            </w:r>
            <w:r>
              <w:rPr>
                <w:lang w:val="en-US"/>
              </w:rPr>
              <w:t>log fi</w:t>
            </w:r>
            <w:r w:rsidRPr="00F907B9">
              <w:rPr>
                <w:lang w:val="en-US"/>
              </w:rPr>
              <w:t>les registering details of the network interactions between subject and controller services (e.g., IP addresses). The contract in this model acts as a data provenance tracker, policy evaluation entity, and event logger that allow the subject to easily check all data transfers and usage transactions providing assurance that only transactions conforming to the contract policies are authorized and registered in the blockchain.</w:t>
            </w:r>
          </w:p>
          <w:p w14:paraId="6FD9846C" w14:textId="7F518C4B" w:rsidR="00545A9F" w:rsidRPr="00FD0492" w:rsidRDefault="00BB7375" w:rsidP="002B7FBD">
            <w:pPr>
              <w:tabs>
                <w:tab w:val="clear" w:pos="794"/>
                <w:tab w:val="clear" w:pos="1191"/>
                <w:tab w:val="clear" w:pos="1588"/>
                <w:tab w:val="clear" w:pos="1985"/>
                <w:tab w:val="left" w:pos="720"/>
              </w:tabs>
              <w:overflowPunct/>
              <w:autoSpaceDE/>
              <w:autoSpaceDN/>
              <w:adjustRightInd/>
              <w:spacing w:after="60"/>
              <w:textAlignment w:val="auto"/>
              <w:rPr>
                <w:i/>
                <w:szCs w:val="24"/>
              </w:rPr>
            </w:pPr>
            <w:r>
              <w:object w:dxaOrig="4591" w:dyaOrig="2760" w14:anchorId="090D5F0D">
                <v:shape id="_x0000_i1026" type="#_x0000_t75" style="width:470.25pt;height:282pt" o:ole="">
                  <v:imagedata r:id="rId14" o:title=""/>
                </v:shape>
                <o:OLEObject Type="Embed" ProgID="Visio.Drawing.15" ShapeID="_x0000_i1026" DrawAspect="Content" ObjectID="_1626011855" r:id="rId15"/>
              </w:object>
            </w:r>
          </w:p>
        </w:tc>
      </w:tr>
    </w:tbl>
    <w:p w14:paraId="2BE8E8B7" w14:textId="77777777" w:rsidR="00545A9F" w:rsidRDefault="00545A9F" w:rsidP="00BC2010">
      <w:pPr>
        <w:rPr>
          <w:b/>
        </w:rPr>
      </w:pPr>
    </w:p>
    <w:p w14:paraId="21347B5D" w14:textId="77777777" w:rsidR="00BB09E8" w:rsidRDefault="00BB09E8" w:rsidP="00BB09E8">
      <w:pPr>
        <w:tabs>
          <w:tab w:val="clear" w:pos="794"/>
          <w:tab w:val="clear" w:pos="1191"/>
          <w:tab w:val="clear" w:pos="1588"/>
          <w:tab w:val="clear" w:pos="1985"/>
        </w:tabs>
        <w:spacing w:before="0" w:after="160" w:line="259" w:lineRule="auto"/>
        <w:jc w:val="center"/>
      </w:pPr>
      <w:r>
        <w:t>_______________________</w:t>
      </w:r>
    </w:p>
    <w:p w14:paraId="756D722D" w14:textId="77777777" w:rsidR="003D5F48" w:rsidRDefault="008518CF" w:rsidP="00631AFC">
      <w:pPr>
        <w:tabs>
          <w:tab w:val="clear" w:pos="794"/>
          <w:tab w:val="clear" w:pos="1191"/>
          <w:tab w:val="clear" w:pos="1588"/>
          <w:tab w:val="clear" w:pos="1985"/>
        </w:tabs>
        <w:spacing w:before="0" w:after="160" w:line="259" w:lineRule="auto"/>
        <w:jc w:val="right"/>
        <w:outlineLvl w:val="0"/>
        <w:rPr>
          <w:b/>
          <w:szCs w:val="24"/>
        </w:rPr>
      </w:pPr>
      <w:r>
        <w:rPr>
          <w:b/>
        </w:rPr>
        <w:br w:type="page"/>
      </w:r>
      <w:r w:rsidR="003D5F48" w:rsidRPr="00C72611">
        <w:rPr>
          <w:b/>
          <w:szCs w:val="24"/>
        </w:rPr>
        <w:lastRenderedPageBreak/>
        <w:t>Appendix 1</w:t>
      </w:r>
    </w:p>
    <w:p w14:paraId="02C22EEC" w14:textId="5B744AA1" w:rsidR="003D5F48" w:rsidRDefault="003D5F48" w:rsidP="00631AFC">
      <w:pPr>
        <w:tabs>
          <w:tab w:val="clear" w:pos="794"/>
          <w:tab w:val="clear" w:pos="1191"/>
          <w:tab w:val="clear" w:pos="1588"/>
          <w:tab w:val="clear" w:pos="1985"/>
        </w:tabs>
        <w:spacing w:before="0" w:after="160" w:line="259" w:lineRule="auto"/>
        <w:jc w:val="center"/>
        <w:outlineLvl w:val="0"/>
        <w:rPr>
          <w:b/>
          <w:szCs w:val="24"/>
        </w:rPr>
      </w:pPr>
      <w:r w:rsidRPr="00C72611">
        <w:rPr>
          <w:b/>
          <w:szCs w:val="24"/>
        </w:rPr>
        <w:t>Domains</w:t>
      </w:r>
      <w:r>
        <w:rPr>
          <w:b/>
          <w:szCs w:val="24"/>
        </w:rPr>
        <w:t xml:space="preserve"> </w:t>
      </w:r>
      <w:r w:rsidR="00F926AC">
        <w:rPr>
          <w:b/>
          <w:szCs w:val="24"/>
        </w:rPr>
        <w:t xml:space="preserve">and subdomains </w:t>
      </w:r>
      <w:r>
        <w:rPr>
          <w:b/>
          <w:szCs w:val="24"/>
        </w:rPr>
        <w:t>for use cases categorization</w:t>
      </w:r>
    </w:p>
    <w:p w14:paraId="4624FF6B" w14:textId="011D6F71" w:rsidR="003D5F48" w:rsidRPr="00147CE0" w:rsidRDefault="003D5F48" w:rsidP="003D5F48">
      <w:pPr>
        <w:tabs>
          <w:tab w:val="clear" w:pos="794"/>
          <w:tab w:val="clear" w:pos="1191"/>
          <w:tab w:val="clear" w:pos="1588"/>
          <w:tab w:val="clear" w:pos="1985"/>
        </w:tabs>
        <w:overflowPunct/>
        <w:autoSpaceDE/>
        <w:autoSpaceDN/>
        <w:adjustRightInd/>
        <w:spacing w:before="0" w:after="240"/>
        <w:textAlignment w:val="auto"/>
        <w:rPr>
          <w:b/>
          <w:szCs w:val="24"/>
          <w:lang w:val="en-US"/>
        </w:rPr>
      </w:pPr>
      <w:r w:rsidRPr="00567442">
        <w:rPr>
          <w:b/>
        </w:rPr>
        <w:t>Vertical</w:t>
      </w:r>
      <w:r>
        <w:rPr>
          <w:lang w:val="en-US"/>
        </w:rPr>
        <w:t>:</w:t>
      </w:r>
    </w:p>
    <w:p w14:paraId="146788C9" w14:textId="77777777" w:rsidR="003D5F48" w:rsidRDefault="003D5F48" w:rsidP="003D5F48">
      <w:pPr>
        <w:pStyle w:val="ListParagraph"/>
        <w:numPr>
          <w:ilvl w:val="0"/>
          <w:numId w:val="19"/>
        </w:numPr>
        <w:spacing w:before="0" w:after="160" w:line="276" w:lineRule="auto"/>
      </w:pPr>
      <w:r w:rsidRPr="00C72611">
        <w:t>Finance</w:t>
      </w:r>
    </w:p>
    <w:p w14:paraId="62F7437C" w14:textId="77777777" w:rsidR="003D5F48" w:rsidRDefault="003D5F48" w:rsidP="003D5F48">
      <w:pPr>
        <w:pStyle w:val="ListParagraph"/>
        <w:numPr>
          <w:ilvl w:val="1"/>
          <w:numId w:val="19"/>
        </w:numPr>
        <w:spacing w:line="276" w:lineRule="auto"/>
        <w:jc w:val="both"/>
      </w:pPr>
      <w:r>
        <w:t>Financial management &amp; accounting</w:t>
      </w:r>
    </w:p>
    <w:p w14:paraId="42E4DC4A" w14:textId="77777777" w:rsidR="003D5F48" w:rsidRDefault="003D5F48" w:rsidP="003D5F48">
      <w:pPr>
        <w:pStyle w:val="ListParagraph"/>
        <w:numPr>
          <w:ilvl w:val="1"/>
          <w:numId w:val="19"/>
        </w:numPr>
        <w:spacing w:line="276" w:lineRule="auto"/>
        <w:jc w:val="both"/>
      </w:pPr>
      <w:r>
        <w:t xml:space="preserve">International &amp; interbank payments </w:t>
      </w:r>
    </w:p>
    <w:p w14:paraId="60E3E077" w14:textId="77777777" w:rsidR="003D5F48" w:rsidRDefault="003D5F48" w:rsidP="003D5F48">
      <w:pPr>
        <w:pStyle w:val="ListParagraph"/>
        <w:numPr>
          <w:ilvl w:val="1"/>
          <w:numId w:val="19"/>
        </w:numPr>
        <w:spacing w:line="276" w:lineRule="auto"/>
        <w:jc w:val="both"/>
      </w:pPr>
      <w:r>
        <w:rPr>
          <w:lang w:val="en-US"/>
        </w:rPr>
        <w:t>Clearing</w:t>
      </w:r>
      <w:r w:rsidRPr="00F13B46">
        <w:t xml:space="preserve"> and settlement</w:t>
      </w:r>
    </w:p>
    <w:p w14:paraId="2127306A" w14:textId="77777777" w:rsidR="003D5F48" w:rsidRDefault="003D5F48" w:rsidP="003D5F48">
      <w:pPr>
        <w:pStyle w:val="ListParagraph"/>
        <w:numPr>
          <w:ilvl w:val="1"/>
          <w:numId w:val="19"/>
        </w:numPr>
        <w:spacing w:line="276" w:lineRule="auto"/>
        <w:jc w:val="both"/>
      </w:pPr>
      <w:r w:rsidRPr="0035656F">
        <w:t>Reduction of Fraud</w:t>
      </w:r>
    </w:p>
    <w:p w14:paraId="77791DA8" w14:textId="77777777" w:rsidR="003D5F48" w:rsidRPr="00F13B46" w:rsidRDefault="003D5F48" w:rsidP="003D5F48">
      <w:pPr>
        <w:pStyle w:val="ListParagraph"/>
        <w:numPr>
          <w:ilvl w:val="1"/>
          <w:numId w:val="19"/>
        </w:numPr>
        <w:spacing w:line="276" w:lineRule="auto"/>
        <w:jc w:val="both"/>
      </w:pPr>
      <w:r>
        <w:t>Financial messaging</w:t>
      </w:r>
    </w:p>
    <w:p w14:paraId="7C73BD59" w14:textId="77777777" w:rsidR="003D5F48" w:rsidRDefault="003D5F48" w:rsidP="003D5F48">
      <w:pPr>
        <w:pStyle w:val="ListParagraph"/>
        <w:numPr>
          <w:ilvl w:val="1"/>
          <w:numId w:val="19"/>
        </w:numPr>
        <w:spacing w:line="276" w:lineRule="auto"/>
        <w:jc w:val="both"/>
      </w:pPr>
      <w:r w:rsidRPr="00F13B46">
        <w:t>Asset lifecycles and history</w:t>
      </w:r>
    </w:p>
    <w:p w14:paraId="7F340154" w14:textId="77777777" w:rsidR="003D5F48" w:rsidRDefault="003D5F48" w:rsidP="003D5F48">
      <w:pPr>
        <w:pStyle w:val="ListParagraph"/>
        <w:numPr>
          <w:ilvl w:val="1"/>
          <w:numId w:val="19"/>
        </w:numPr>
        <w:spacing w:line="276" w:lineRule="auto"/>
        <w:jc w:val="both"/>
      </w:pPr>
      <w:r>
        <w:t>Trade finance</w:t>
      </w:r>
    </w:p>
    <w:p w14:paraId="0923F96B" w14:textId="77777777" w:rsidR="003D5F48" w:rsidRDefault="003D5F48" w:rsidP="003D5F48">
      <w:pPr>
        <w:pStyle w:val="ListParagraph"/>
        <w:numPr>
          <w:ilvl w:val="1"/>
          <w:numId w:val="19"/>
        </w:numPr>
        <w:spacing w:line="276" w:lineRule="auto"/>
        <w:jc w:val="both"/>
      </w:pPr>
      <w:r>
        <w:t>Regulatory compliance &amp; audit</w:t>
      </w:r>
    </w:p>
    <w:p w14:paraId="442421C3" w14:textId="77777777" w:rsidR="003D5F48" w:rsidRDefault="003D5F48" w:rsidP="003D5F48">
      <w:pPr>
        <w:pStyle w:val="ListParagraph"/>
        <w:numPr>
          <w:ilvl w:val="1"/>
          <w:numId w:val="19"/>
        </w:numPr>
        <w:spacing w:line="276" w:lineRule="auto"/>
        <w:jc w:val="both"/>
      </w:pPr>
      <w:r>
        <w:t>AML/KYC</w:t>
      </w:r>
    </w:p>
    <w:p w14:paraId="39300FE8" w14:textId="77777777" w:rsidR="003D5F48" w:rsidRDefault="003D5F48" w:rsidP="003D5F48">
      <w:pPr>
        <w:pStyle w:val="ListParagraph"/>
        <w:numPr>
          <w:ilvl w:val="1"/>
          <w:numId w:val="19"/>
        </w:numPr>
        <w:spacing w:line="276" w:lineRule="auto"/>
        <w:jc w:val="both"/>
      </w:pPr>
      <w:r>
        <w:t>Insurance</w:t>
      </w:r>
    </w:p>
    <w:p w14:paraId="03DEF780" w14:textId="77777777" w:rsidR="003D5F48" w:rsidRDefault="003D5F48" w:rsidP="003D5F48">
      <w:pPr>
        <w:pStyle w:val="ListParagraph"/>
        <w:numPr>
          <w:ilvl w:val="1"/>
          <w:numId w:val="19"/>
        </w:numPr>
        <w:spacing w:line="276" w:lineRule="auto"/>
        <w:jc w:val="both"/>
      </w:pPr>
      <w:r>
        <w:t>Peer-to-peer transactions</w:t>
      </w:r>
    </w:p>
    <w:p w14:paraId="1BC9902A" w14:textId="77777777" w:rsidR="003D5F48" w:rsidRDefault="003D5F48" w:rsidP="003D5F48">
      <w:pPr>
        <w:pStyle w:val="ListParagraph"/>
        <w:numPr>
          <w:ilvl w:val="0"/>
          <w:numId w:val="19"/>
        </w:numPr>
        <w:spacing w:before="0" w:after="160" w:line="276" w:lineRule="auto"/>
      </w:pPr>
      <w:r w:rsidRPr="00C72611">
        <w:t>Healthcare</w:t>
      </w:r>
    </w:p>
    <w:p w14:paraId="5A4EE2F3" w14:textId="0E17DF3D" w:rsidR="00D23B0F" w:rsidRDefault="00D23B0F" w:rsidP="00D23B0F">
      <w:pPr>
        <w:pStyle w:val="ListParagraph"/>
        <w:numPr>
          <w:ilvl w:val="1"/>
          <w:numId w:val="19"/>
        </w:numPr>
        <w:spacing w:before="0" w:after="160" w:line="276" w:lineRule="auto"/>
      </w:pPr>
      <w:r>
        <w:t>Pharma</w:t>
      </w:r>
    </w:p>
    <w:p w14:paraId="1F655919" w14:textId="4270849A" w:rsidR="00D23B0F" w:rsidRDefault="00D23B0F" w:rsidP="00D23B0F">
      <w:pPr>
        <w:pStyle w:val="ListParagraph"/>
        <w:numPr>
          <w:ilvl w:val="1"/>
          <w:numId w:val="19"/>
        </w:numPr>
        <w:spacing w:before="0" w:after="160" w:line="276" w:lineRule="auto"/>
      </w:pPr>
      <w:r>
        <w:t>Biotechnology</w:t>
      </w:r>
    </w:p>
    <w:p w14:paraId="44DBE1C1" w14:textId="719BD977" w:rsidR="00D23B0F" w:rsidRDefault="00D23B0F" w:rsidP="00D23B0F">
      <w:pPr>
        <w:pStyle w:val="ListParagraph"/>
        <w:numPr>
          <w:ilvl w:val="1"/>
          <w:numId w:val="19"/>
        </w:numPr>
        <w:spacing w:before="0" w:after="160" w:line="276" w:lineRule="auto"/>
      </w:pPr>
      <w:r>
        <w:t xml:space="preserve">Medicine </w:t>
      </w:r>
    </w:p>
    <w:p w14:paraId="5782A3DC" w14:textId="1ACB2E4F" w:rsidR="003D5F48" w:rsidRDefault="0019733A" w:rsidP="003D5F48">
      <w:pPr>
        <w:pStyle w:val="ListParagraph"/>
        <w:numPr>
          <w:ilvl w:val="0"/>
          <w:numId w:val="19"/>
        </w:numPr>
        <w:spacing w:before="0" w:after="160" w:line="276" w:lineRule="auto"/>
      </w:pPr>
      <w:r>
        <w:t>Industries</w:t>
      </w:r>
    </w:p>
    <w:p w14:paraId="7D4BD9CB" w14:textId="61EF2C31" w:rsidR="00D23B0F" w:rsidRDefault="00D23B0F" w:rsidP="00D23B0F">
      <w:pPr>
        <w:pStyle w:val="ListParagraph"/>
        <w:numPr>
          <w:ilvl w:val="1"/>
          <w:numId w:val="19"/>
        </w:numPr>
        <w:spacing w:before="0" w:after="160" w:line="276" w:lineRule="auto"/>
      </w:pPr>
      <w:r>
        <w:t>Manufacturing</w:t>
      </w:r>
    </w:p>
    <w:p w14:paraId="2F7F3FEC" w14:textId="61DA63F6" w:rsidR="00D23B0F" w:rsidRDefault="00D23B0F" w:rsidP="00D23B0F">
      <w:pPr>
        <w:pStyle w:val="ListParagraph"/>
        <w:numPr>
          <w:ilvl w:val="1"/>
          <w:numId w:val="19"/>
        </w:numPr>
        <w:spacing w:before="0" w:after="160" w:line="276" w:lineRule="auto"/>
      </w:pPr>
      <w:r>
        <w:t>Energy</w:t>
      </w:r>
    </w:p>
    <w:p w14:paraId="3FC41EB2" w14:textId="4A52D3A0" w:rsidR="00D23B0F" w:rsidRDefault="00D23B0F" w:rsidP="00D23B0F">
      <w:pPr>
        <w:pStyle w:val="ListParagraph"/>
        <w:numPr>
          <w:ilvl w:val="1"/>
          <w:numId w:val="19"/>
        </w:numPr>
        <w:spacing w:before="0" w:after="160" w:line="276" w:lineRule="auto"/>
      </w:pPr>
      <w:r>
        <w:t>Chemical</w:t>
      </w:r>
    </w:p>
    <w:p w14:paraId="31EA6D3E" w14:textId="096D9FFF" w:rsidR="00C87722" w:rsidRDefault="00C87722" w:rsidP="00D23B0F">
      <w:pPr>
        <w:pStyle w:val="ListParagraph"/>
        <w:numPr>
          <w:ilvl w:val="1"/>
          <w:numId w:val="19"/>
        </w:numPr>
        <w:spacing w:before="0" w:after="160" w:line="276" w:lineRule="auto"/>
      </w:pPr>
      <w:r>
        <w:t>Retail</w:t>
      </w:r>
    </w:p>
    <w:p w14:paraId="380FAC59" w14:textId="4C53AEB8" w:rsidR="00BE021D" w:rsidRDefault="00BE021D" w:rsidP="00D23B0F">
      <w:pPr>
        <w:pStyle w:val="ListParagraph"/>
        <w:numPr>
          <w:ilvl w:val="1"/>
          <w:numId w:val="19"/>
        </w:numPr>
        <w:spacing w:before="0" w:after="160" w:line="276" w:lineRule="auto"/>
      </w:pPr>
      <w:r>
        <w:t>Real estate</w:t>
      </w:r>
    </w:p>
    <w:p w14:paraId="76878FE8" w14:textId="49A8B2FD" w:rsidR="008B6F4C" w:rsidRDefault="008B6F4C" w:rsidP="00D23B0F">
      <w:pPr>
        <w:pStyle w:val="ListParagraph"/>
        <w:numPr>
          <w:ilvl w:val="1"/>
          <w:numId w:val="19"/>
        </w:numPr>
        <w:spacing w:before="0" w:after="160" w:line="276" w:lineRule="auto"/>
      </w:pPr>
      <w:r>
        <w:t>IT and telco</w:t>
      </w:r>
    </w:p>
    <w:p w14:paraId="475A2451" w14:textId="1EA0D7C4" w:rsidR="00B04AA4" w:rsidRDefault="00B04AA4" w:rsidP="006E408C">
      <w:pPr>
        <w:pStyle w:val="ListParagraph"/>
        <w:numPr>
          <w:ilvl w:val="1"/>
          <w:numId w:val="19"/>
        </w:numPr>
        <w:spacing w:before="0" w:after="160" w:line="276" w:lineRule="auto"/>
      </w:pPr>
      <w:r w:rsidRPr="00CB6806">
        <w:t>Supply chain management</w:t>
      </w:r>
    </w:p>
    <w:p w14:paraId="7FBC4365" w14:textId="2A9FC352" w:rsidR="0019733A" w:rsidRDefault="0019733A" w:rsidP="006E408C">
      <w:pPr>
        <w:pStyle w:val="ListParagraph"/>
        <w:numPr>
          <w:ilvl w:val="1"/>
          <w:numId w:val="19"/>
        </w:numPr>
        <w:spacing w:before="0" w:after="160" w:line="276" w:lineRule="auto"/>
      </w:pPr>
      <w:r>
        <w:t>Transportation</w:t>
      </w:r>
    </w:p>
    <w:p w14:paraId="16896745" w14:textId="55450AF8" w:rsidR="00577E7B" w:rsidRDefault="00577E7B" w:rsidP="006E408C">
      <w:pPr>
        <w:pStyle w:val="ListParagraph"/>
        <w:numPr>
          <w:ilvl w:val="1"/>
          <w:numId w:val="19"/>
        </w:numPr>
        <w:spacing w:before="0" w:after="160" w:line="276" w:lineRule="auto"/>
      </w:pPr>
      <w:r>
        <w:t>Agriculture</w:t>
      </w:r>
    </w:p>
    <w:p w14:paraId="3C72B237" w14:textId="77777777" w:rsidR="003D5F48" w:rsidRDefault="003D5F48" w:rsidP="003D5F48">
      <w:pPr>
        <w:pStyle w:val="ListParagraph"/>
        <w:numPr>
          <w:ilvl w:val="0"/>
          <w:numId w:val="19"/>
        </w:numPr>
        <w:spacing w:before="0" w:after="160" w:line="276" w:lineRule="auto"/>
      </w:pPr>
      <w:r w:rsidRPr="00437353">
        <w:t>Government and public sector</w:t>
      </w:r>
    </w:p>
    <w:p w14:paraId="172BADF7" w14:textId="77777777" w:rsidR="003D5F48" w:rsidRDefault="003D5F48" w:rsidP="003D5F48">
      <w:pPr>
        <w:pStyle w:val="ListParagraph"/>
        <w:numPr>
          <w:ilvl w:val="1"/>
          <w:numId w:val="19"/>
        </w:numPr>
        <w:spacing w:line="276" w:lineRule="auto"/>
        <w:jc w:val="both"/>
      </w:pPr>
      <w:r>
        <w:t>Taxes</w:t>
      </w:r>
    </w:p>
    <w:p w14:paraId="01BDA93D" w14:textId="77777777" w:rsidR="003D5F48" w:rsidRDefault="003D5F48" w:rsidP="003D5F48">
      <w:pPr>
        <w:pStyle w:val="ListParagraph"/>
        <w:numPr>
          <w:ilvl w:val="1"/>
          <w:numId w:val="19"/>
        </w:numPr>
        <w:spacing w:line="276" w:lineRule="auto"/>
        <w:jc w:val="both"/>
      </w:pPr>
      <w:r>
        <w:t>Government and non-profit transparency</w:t>
      </w:r>
    </w:p>
    <w:p w14:paraId="641227BB" w14:textId="77777777" w:rsidR="003D5F48" w:rsidRDefault="003D5F48" w:rsidP="003D5F48">
      <w:pPr>
        <w:pStyle w:val="ListParagraph"/>
        <w:numPr>
          <w:ilvl w:val="1"/>
          <w:numId w:val="19"/>
        </w:numPr>
        <w:spacing w:line="276" w:lineRule="auto"/>
        <w:jc w:val="both"/>
      </w:pPr>
      <w:r>
        <w:t>Legislation, compliance &amp; regulatory oversight</w:t>
      </w:r>
    </w:p>
    <w:p w14:paraId="5D1DFE57" w14:textId="37D80B88" w:rsidR="006E408C" w:rsidRPr="006E408C" w:rsidRDefault="006E408C" w:rsidP="006E408C">
      <w:pPr>
        <w:pStyle w:val="ListParagraph"/>
        <w:numPr>
          <w:ilvl w:val="1"/>
          <w:numId w:val="19"/>
        </w:numPr>
        <w:spacing w:before="0" w:after="160" w:line="276" w:lineRule="auto"/>
      </w:pPr>
      <w:r>
        <w:rPr>
          <w:lang w:val="en-US"/>
        </w:rPr>
        <w:t>Voting</w:t>
      </w:r>
    </w:p>
    <w:p w14:paraId="763F2497" w14:textId="630378FC" w:rsidR="006E408C" w:rsidRDefault="006E408C" w:rsidP="006E408C">
      <w:pPr>
        <w:pStyle w:val="ListParagraph"/>
        <w:numPr>
          <w:ilvl w:val="1"/>
          <w:numId w:val="19"/>
        </w:numPr>
        <w:spacing w:before="0" w:after="160" w:line="276" w:lineRule="auto"/>
      </w:pPr>
      <w:r w:rsidRPr="00CA24D1">
        <w:t>Taxation and customs</w:t>
      </w:r>
    </w:p>
    <w:p w14:paraId="67FED4FE" w14:textId="54C2AF73" w:rsidR="008B6F4C" w:rsidRDefault="008B6F4C" w:rsidP="00AD4C96">
      <w:pPr>
        <w:pStyle w:val="ListParagraph"/>
        <w:numPr>
          <w:ilvl w:val="1"/>
          <w:numId w:val="19"/>
        </w:numPr>
        <w:spacing w:before="0" w:after="160" w:line="276" w:lineRule="auto"/>
      </w:pPr>
      <w:r w:rsidRPr="00C72611">
        <w:t>Intellectual property management</w:t>
      </w:r>
    </w:p>
    <w:p w14:paraId="4BD1A312" w14:textId="77A3B193" w:rsidR="00577E7B" w:rsidRDefault="00577E7B" w:rsidP="00AD4C96">
      <w:pPr>
        <w:pStyle w:val="ListParagraph"/>
        <w:numPr>
          <w:ilvl w:val="1"/>
          <w:numId w:val="19"/>
        </w:numPr>
        <w:spacing w:before="0" w:after="160" w:line="276" w:lineRule="auto"/>
      </w:pPr>
      <w:r>
        <w:t>Land Registries</w:t>
      </w:r>
    </w:p>
    <w:p w14:paraId="1387D283" w14:textId="6148E437" w:rsidR="003D5F48" w:rsidRDefault="003D5F48" w:rsidP="003D5F48">
      <w:pPr>
        <w:spacing w:before="0" w:after="240"/>
        <w:ind w:left="360"/>
        <w:rPr>
          <w:lang w:val="en-US"/>
        </w:rPr>
      </w:pPr>
      <w:r w:rsidRPr="00567442">
        <w:rPr>
          <w:b/>
        </w:rPr>
        <w:t>Horizontal</w:t>
      </w:r>
      <w:r>
        <w:rPr>
          <w:lang w:val="en-US"/>
        </w:rPr>
        <w:t>:</w:t>
      </w:r>
    </w:p>
    <w:p w14:paraId="5CA3A941" w14:textId="77777777" w:rsidR="003D5F48" w:rsidRDefault="003D5F48" w:rsidP="003D5F48">
      <w:pPr>
        <w:pStyle w:val="ListParagraph"/>
        <w:numPr>
          <w:ilvl w:val="0"/>
          <w:numId w:val="29"/>
        </w:numPr>
        <w:spacing w:before="0" w:after="160" w:line="276" w:lineRule="auto"/>
      </w:pPr>
      <w:r w:rsidRPr="00C72611">
        <w:t>Identity Management</w:t>
      </w:r>
    </w:p>
    <w:p w14:paraId="0A1002C5" w14:textId="76F49B7D" w:rsidR="0077600C" w:rsidRDefault="0077600C" w:rsidP="003D5F48">
      <w:pPr>
        <w:pStyle w:val="ListParagraph"/>
        <w:numPr>
          <w:ilvl w:val="0"/>
          <w:numId w:val="29"/>
        </w:numPr>
        <w:spacing w:before="0" w:after="160" w:line="276" w:lineRule="auto"/>
      </w:pPr>
      <w:r>
        <w:t>Security Management</w:t>
      </w:r>
    </w:p>
    <w:p w14:paraId="2347076D" w14:textId="20FE01C6" w:rsidR="0077600C" w:rsidRPr="00C72611" w:rsidRDefault="0077600C" w:rsidP="0077600C">
      <w:pPr>
        <w:pStyle w:val="ListParagraph"/>
        <w:numPr>
          <w:ilvl w:val="1"/>
          <w:numId w:val="29"/>
        </w:numPr>
        <w:spacing w:before="0" w:after="160" w:line="276" w:lineRule="auto"/>
      </w:pPr>
      <w:r>
        <w:t>Public Key Infrastructure</w:t>
      </w:r>
    </w:p>
    <w:p w14:paraId="72654CE9" w14:textId="33447DEE" w:rsidR="0077600C" w:rsidRDefault="0077600C" w:rsidP="003D5F48">
      <w:pPr>
        <w:pStyle w:val="ListParagraph"/>
        <w:numPr>
          <w:ilvl w:val="0"/>
          <w:numId w:val="29"/>
        </w:numPr>
        <w:spacing w:line="276" w:lineRule="auto"/>
        <w:jc w:val="both"/>
      </w:pPr>
      <w:r>
        <w:lastRenderedPageBreak/>
        <w:t>Internet of Things</w:t>
      </w:r>
    </w:p>
    <w:p w14:paraId="21323A83" w14:textId="1F595C38" w:rsidR="00BB09E8" w:rsidRPr="00AF2B2B" w:rsidRDefault="003D5F48" w:rsidP="0077600C">
      <w:pPr>
        <w:pStyle w:val="ListParagraph"/>
        <w:numPr>
          <w:ilvl w:val="0"/>
          <w:numId w:val="29"/>
        </w:numPr>
        <w:spacing w:line="276" w:lineRule="auto"/>
        <w:jc w:val="both"/>
      </w:pPr>
      <w:r w:rsidRPr="00AF2B2B">
        <w:t xml:space="preserve">Data </w:t>
      </w:r>
      <w:r w:rsidR="00A625FA" w:rsidRPr="00AF2B2B">
        <w:rPr>
          <w:lang w:val="en-US"/>
        </w:rPr>
        <w:t xml:space="preserve">processing, storage and </w:t>
      </w:r>
      <w:r w:rsidR="003A75A1" w:rsidRPr="00AF2B2B">
        <w:t>management</w:t>
      </w:r>
      <w:r w:rsidR="003A75A1" w:rsidRPr="00AF2B2B">
        <w:rPr>
          <w:lang w:val="en-US"/>
        </w:rPr>
        <w:t xml:space="preserve"> </w:t>
      </w:r>
    </w:p>
    <w:p w14:paraId="47503A75" w14:textId="3B7CAA99" w:rsidR="00A625FA" w:rsidRDefault="00A625FA" w:rsidP="00505F35">
      <w:pPr>
        <w:pStyle w:val="ListParagraph"/>
        <w:numPr>
          <w:ilvl w:val="1"/>
          <w:numId w:val="29"/>
        </w:numPr>
        <w:spacing w:line="276" w:lineRule="auto"/>
        <w:jc w:val="both"/>
      </w:pPr>
      <w:r>
        <w:t>Data Validation  (includes provenance)</w:t>
      </w:r>
    </w:p>
    <w:sectPr w:rsidR="00A625FA" w:rsidSect="00E521B2">
      <w:headerReference w:type="default" r:id="rId16"/>
      <w:pgSz w:w="11907" w:h="16840"/>
      <w:pgMar w:top="1417" w:right="1134" w:bottom="1417"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C3F7F7" w14:textId="77777777" w:rsidR="00C9706D" w:rsidRDefault="00C9706D">
      <w:r>
        <w:separator/>
      </w:r>
    </w:p>
  </w:endnote>
  <w:endnote w:type="continuationSeparator" w:id="0">
    <w:p w14:paraId="5729DA0B" w14:textId="77777777" w:rsidR="00C9706D" w:rsidRDefault="00C97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script"/>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Bold">
    <w:altName w:val="Arial"/>
    <w:panose1 w:val="00000000000000000000"/>
    <w:charset w:val="00"/>
    <w:family w:val="swiss"/>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1722E3" w14:textId="77777777" w:rsidR="00C9706D" w:rsidRDefault="00C9706D">
      <w:r>
        <w:separator/>
      </w:r>
    </w:p>
  </w:footnote>
  <w:footnote w:type="continuationSeparator" w:id="0">
    <w:p w14:paraId="112B396C" w14:textId="77777777" w:rsidR="00C9706D" w:rsidRDefault="00C970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29932" w14:textId="178488BA" w:rsidR="00E521B2" w:rsidRDefault="000E214B">
    <w:pPr>
      <w:pStyle w:val="Header"/>
    </w:pPr>
    <w:r>
      <w:t xml:space="preserve">- </w:t>
    </w:r>
    <w:r w:rsidR="00E521B2">
      <w:fldChar w:fldCharType="begin"/>
    </w:r>
    <w:r w:rsidR="00E521B2">
      <w:instrText xml:space="preserve"> PAGE \* MERGEFORMAT </w:instrText>
    </w:r>
    <w:r w:rsidR="00E521B2">
      <w:fldChar w:fldCharType="separate"/>
    </w:r>
    <w:r w:rsidR="00E5288A">
      <w:rPr>
        <w:noProof/>
      </w:rPr>
      <w:t>9</w:t>
    </w:r>
    <w:r w:rsidR="00E521B2">
      <w:rPr>
        <w:noProof/>
      </w:rPr>
      <w:fldChar w:fldCharType="end"/>
    </w:r>
    <w:r>
      <w:t xml:space="preserve"> -</w:t>
    </w:r>
  </w:p>
  <w:p w14:paraId="522BB927" w14:textId="77777777" w:rsidR="00E521B2" w:rsidRDefault="000E214B" w:rsidP="004720C8">
    <w:pPr>
      <w:pStyle w:val="Header"/>
      <w:spacing w:after="240"/>
    </w:pPr>
    <w:r>
      <w:t>DLT-I-0</w:t>
    </w:r>
    <w:r w:rsidR="004720C8">
      <w:t>1</w:t>
    </w:r>
    <w:r>
      <w:t>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A6CC0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17050F7"/>
    <w:multiLevelType w:val="hybridMultilevel"/>
    <w:tmpl w:val="D88E6BF4"/>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B12A47"/>
    <w:multiLevelType w:val="hybridMultilevel"/>
    <w:tmpl w:val="3F5CFA6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1FE6AD5"/>
    <w:multiLevelType w:val="hybridMultilevel"/>
    <w:tmpl w:val="9CCE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5075E"/>
    <w:multiLevelType w:val="hybridMultilevel"/>
    <w:tmpl w:val="80FEF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FD546F"/>
    <w:multiLevelType w:val="hybridMultilevel"/>
    <w:tmpl w:val="BFDE5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BB5041"/>
    <w:multiLevelType w:val="multilevel"/>
    <w:tmpl w:val="27F664B2"/>
    <w:lvl w:ilvl="0">
      <w:start w:val="1"/>
      <w:numFmt w:val="none"/>
      <w:lvlText w:val=""/>
      <w:legacy w:legacy="1" w:legacySpace="120" w:legacyIndent="360"/>
      <w:lvlJc w:val="left"/>
      <w:pPr>
        <w:ind w:left="360" w:hanging="360"/>
      </w:pPr>
      <w:rPr>
        <w:rFonts w:ascii="Symbol" w:hAnsi="Symbol" w:hint="default"/>
        <w:color w:val="FF000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 w15:restartNumberingAfterBreak="0">
    <w:nsid w:val="240B7E35"/>
    <w:multiLevelType w:val="hybridMultilevel"/>
    <w:tmpl w:val="0A2CAACE"/>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7E94CC3"/>
    <w:multiLevelType w:val="hybridMultilevel"/>
    <w:tmpl w:val="467A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79D8"/>
    <w:multiLevelType w:val="singleLevel"/>
    <w:tmpl w:val="EECCC1EA"/>
    <w:lvl w:ilvl="0">
      <w:start w:val="1"/>
      <w:numFmt w:val="decimal"/>
      <w:lvlText w:val="%1."/>
      <w:legacy w:legacy="1" w:legacySpace="120" w:legacyIndent="360"/>
      <w:lvlJc w:val="left"/>
      <w:pPr>
        <w:ind w:left="720" w:hanging="360"/>
      </w:pPr>
    </w:lvl>
  </w:abstractNum>
  <w:abstractNum w:abstractNumId="10" w15:restartNumberingAfterBreak="0">
    <w:nsid w:val="2D1775F5"/>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68E32F1"/>
    <w:multiLevelType w:val="multilevel"/>
    <w:tmpl w:val="1E7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A0109"/>
    <w:multiLevelType w:val="hybridMultilevel"/>
    <w:tmpl w:val="DB88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992D87"/>
    <w:multiLevelType w:val="hybridMultilevel"/>
    <w:tmpl w:val="C45EEC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F9A275F"/>
    <w:multiLevelType w:val="singleLevel"/>
    <w:tmpl w:val="EECCC1EA"/>
    <w:lvl w:ilvl="0">
      <w:start w:val="1"/>
      <w:numFmt w:val="decimal"/>
      <w:lvlText w:val="%1."/>
      <w:legacy w:legacy="1" w:legacySpace="120" w:legacyIndent="360"/>
      <w:lvlJc w:val="left"/>
      <w:pPr>
        <w:ind w:left="720" w:hanging="360"/>
      </w:pPr>
    </w:lvl>
  </w:abstractNum>
  <w:abstractNum w:abstractNumId="15" w15:restartNumberingAfterBreak="0">
    <w:nsid w:val="443A1BBA"/>
    <w:multiLevelType w:val="hybridMultilevel"/>
    <w:tmpl w:val="18D6504A"/>
    <w:lvl w:ilvl="0" w:tplc="01BE4E08">
      <w:numFmt w:val="bullet"/>
      <w:lvlText w:val="•"/>
      <w:lvlJc w:val="left"/>
      <w:pPr>
        <w:ind w:left="720" w:hanging="360"/>
      </w:pPr>
      <w:rPr>
        <w:rFonts w:ascii="Times New Roman" w:eastAsia="MS Mincho"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76A7BB1"/>
    <w:multiLevelType w:val="hybridMultilevel"/>
    <w:tmpl w:val="F1468EE8"/>
    <w:lvl w:ilvl="0" w:tplc="09B2529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4BD852A2"/>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D3810D8"/>
    <w:multiLevelType w:val="hybridMultilevel"/>
    <w:tmpl w:val="A15000EA"/>
    <w:lvl w:ilvl="0" w:tplc="04090001">
      <w:start w:val="1"/>
      <w:numFmt w:val="bullet"/>
      <w:lvlText w:val="ï‚·"/>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ï‚§"/>
      <w:lvlJc w:val="left"/>
      <w:pPr>
        <w:ind w:left="2160" w:hanging="360"/>
      </w:pPr>
      <w:rPr>
        <w:rFonts w:ascii="Wingdings" w:hAnsi="Wingdings" w:hint="default"/>
      </w:rPr>
    </w:lvl>
    <w:lvl w:ilvl="3" w:tplc="04090001" w:tentative="1">
      <w:start w:val="1"/>
      <w:numFmt w:val="bullet"/>
      <w:lvlText w:val="ï‚·"/>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ï‚§"/>
      <w:lvlJc w:val="left"/>
      <w:pPr>
        <w:ind w:left="4320" w:hanging="360"/>
      </w:pPr>
      <w:rPr>
        <w:rFonts w:ascii="Wingdings" w:hAnsi="Wingdings" w:hint="default"/>
      </w:rPr>
    </w:lvl>
    <w:lvl w:ilvl="6" w:tplc="04090001" w:tentative="1">
      <w:start w:val="1"/>
      <w:numFmt w:val="bullet"/>
      <w:lvlText w:val="ï‚·"/>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ï‚§"/>
      <w:lvlJc w:val="left"/>
      <w:pPr>
        <w:ind w:left="6480" w:hanging="360"/>
      </w:pPr>
      <w:rPr>
        <w:rFonts w:ascii="Wingdings" w:hAnsi="Wingdings" w:hint="default"/>
      </w:rPr>
    </w:lvl>
  </w:abstractNum>
  <w:abstractNum w:abstractNumId="19" w15:restartNumberingAfterBreak="0">
    <w:nsid w:val="525423E8"/>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7B61EA0"/>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2441086"/>
    <w:multiLevelType w:val="singleLevel"/>
    <w:tmpl w:val="EECCC1EA"/>
    <w:lvl w:ilvl="0">
      <w:start w:val="1"/>
      <w:numFmt w:val="decimal"/>
      <w:lvlText w:val="%1."/>
      <w:legacy w:legacy="1" w:legacySpace="120" w:legacyIndent="360"/>
      <w:lvlJc w:val="left"/>
      <w:pPr>
        <w:ind w:left="720" w:hanging="360"/>
      </w:pPr>
    </w:lvl>
  </w:abstractNum>
  <w:abstractNum w:abstractNumId="22" w15:restartNumberingAfterBreak="0">
    <w:nsid w:val="6B167A27"/>
    <w:multiLevelType w:val="hybridMultilevel"/>
    <w:tmpl w:val="09C8B6EC"/>
    <w:lvl w:ilvl="0" w:tplc="4D52BBA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BB12BA9"/>
    <w:multiLevelType w:val="hybridMultilevel"/>
    <w:tmpl w:val="6B0644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73C0F69"/>
    <w:multiLevelType w:val="singleLevel"/>
    <w:tmpl w:val="EECCC1EA"/>
    <w:lvl w:ilvl="0">
      <w:start w:val="1"/>
      <w:numFmt w:val="decimal"/>
      <w:lvlText w:val="%1."/>
      <w:legacy w:legacy="1" w:legacySpace="120" w:legacyIndent="360"/>
      <w:lvlJc w:val="left"/>
      <w:pPr>
        <w:ind w:left="720" w:hanging="360"/>
      </w:pPr>
    </w:lvl>
  </w:abstractNum>
  <w:num w:numId="1">
    <w:abstractNumId w:val="0"/>
  </w:num>
  <w:num w:numId="2">
    <w:abstractNumId w:val="0"/>
  </w:num>
  <w:num w:numId="3">
    <w:abstractNumId w:val="0"/>
  </w:num>
  <w:num w:numId="4">
    <w:abstractNumId w:val="0"/>
  </w:num>
  <w:num w:numId="5">
    <w:abstractNumId w:val="0"/>
  </w:num>
  <w:num w:numId="6">
    <w:abstractNumId w:val="18"/>
  </w:num>
  <w:num w:numId="7">
    <w:abstractNumId w:val="16"/>
  </w:num>
  <w:num w:numId="8">
    <w:abstractNumId w:val="11"/>
  </w:num>
  <w:num w:numId="9">
    <w:abstractNumId w:val="12"/>
  </w:num>
  <w:num w:numId="10">
    <w:abstractNumId w:val="3"/>
  </w:num>
  <w:num w:numId="11">
    <w:abstractNumId w:val="8"/>
  </w:num>
  <w:num w:numId="12">
    <w:abstractNumId w:val="15"/>
  </w:num>
  <w:num w:numId="13">
    <w:abstractNumId w:val="1"/>
  </w:num>
  <w:num w:numId="14">
    <w:abstractNumId w:val="19"/>
  </w:num>
  <w:num w:numId="15">
    <w:abstractNumId w:val="7"/>
  </w:num>
  <w:num w:numId="16">
    <w:abstractNumId w:val="17"/>
  </w:num>
  <w:num w:numId="17">
    <w:abstractNumId w:val="23"/>
  </w:num>
  <w:num w:numId="18">
    <w:abstractNumId w:val="2"/>
  </w:num>
  <w:num w:numId="19">
    <w:abstractNumId w:val="10"/>
  </w:num>
  <w:num w:numId="20">
    <w:abstractNumId w:val="22"/>
  </w:num>
  <w:num w:numId="21">
    <w:abstractNumId w:val="9"/>
    <w:lvlOverride w:ilvl="0">
      <w:startOverride w:val="1"/>
    </w:lvlOverride>
  </w:num>
  <w:num w:numId="22">
    <w:abstractNumId w:val="21"/>
    <w:lvlOverride w:ilvl="0">
      <w:startOverride w:val="1"/>
    </w:lvlOverride>
  </w:num>
  <w:num w:numId="23">
    <w:abstractNumId w:val="24"/>
    <w:lvlOverride w:ilvl="0">
      <w:startOverride w:val="1"/>
    </w:lvlOverride>
  </w:num>
  <w:num w:numId="24">
    <w:abstractNumId w:val="14"/>
    <w:lvlOverride w:ilvl="0">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13"/>
  </w:num>
  <w:num w:numId="28">
    <w:abstractNumId w:val="4"/>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defaultTabStop w:val="567"/>
  <w:hyphenationZone w:val="425"/>
  <w:doNotHyphenateCaps/>
  <w:drawingGridHorizontalSpacing w:val="12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1B2"/>
    <w:rsid w:val="00021B2E"/>
    <w:rsid w:val="0004067A"/>
    <w:rsid w:val="00041A56"/>
    <w:rsid w:val="00051577"/>
    <w:rsid w:val="000831A0"/>
    <w:rsid w:val="00096FAE"/>
    <w:rsid w:val="000A05A7"/>
    <w:rsid w:val="000B4C3C"/>
    <w:rsid w:val="000C06F2"/>
    <w:rsid w:val="000C4582"/>
    <w:rsid w:val="000C55C2"/>
    <w:rsid w:val="000E214B"/>
    <w:rsid w:val="000F7AEA"/>
    <w:rsid w:val="00101393"/>
    <w:rsid w:val="0010591E"/>
    <w:rsid w:val="00106AF6"/>
    <w:rsid w:val="00114EAA"/>
    <w:rsid w:val="00120AF0"/>
    <w:rsid w:val="001273E3"/>
    <w:rsid w:val="00147CE0"/>
    <w:rsid w:val="00153A8C"/>
    <w:rsid w:val="00153C4B"/>
    <w:rsid w:val="00174585"/>
    <w:rsid w:val="00190D96"/>
    <w:rsid w:val="0019733A"/>
    <w:rsid w:val="001A2529"/>
    <w:rsid w:val="001C0666"/>
    <w:rsid w:val="001C4513"/>
    <w:rsid w:val="001E6F5C"/>
    <w:rsid w:val="001F1156"/>
    <w:rsid w:val="002359DD"/>
    <w:rsid w:val="00276737"/>
    <w:rsid w:val="00297722"/>
    <w:rsid w:val="002B7FBD"/>
    <w:rsid w:val="002C7586"/>
    <w:rsid w:val="00304FC6"/>
    <w:rsid w:val="00344E4B"/>
    <w:rsid w:val="003452E7"/>
    <w:rsid w:val="00347BF2"/>
    <w:rsid w:val="00383545"/>
    <w:rsid w:val="0038686A"/>
    <w:rsid w:val="003A67A5"/>
    <w:rsid w:val="003A75A1"/>
    <w:rsid w:val="003C0C33"/>
    <w:rsid w:val="003D5F48"/>
    <w:rsid w:val="003E5A8D"/>
    <w:rsid w:val="003E75C9"/>
    <w:rsid w:val="00403C83"/>
    <w:rsid w:val="00410FA0"/>
    <w:rsid w:val="00417BDB"/>
    <w:rsid w:val="00430B26"/>
    <w:rsid w:val="004320D2"/>
    <w:rsid w:val="00437353"/>
    <w:rsid w:val="00437E6E"/>
    <w:rsid w:val="004720C8"/>
    <w:rsid w:val="004812EA"/>
    <w:rsid w:val="00490078"/>
    <w:rsid w:val="004A4E8E"/>
    <w:rsid w:val="004B0918"/>
    <w:rsid w:val="004B4212"/>
    <w:rsid w:val="004B7962"/>
    <w:rsid w:val="004F1208"/>
    <w:rsid w:val="004F3248"/>
    <w:rsid w:val="004F4C21"/>
    <w:rsid w:val="00503347"/>
    <w:rsid w:val="00505F35"/>
    <w:rsid w:val="00507D8E"/>
    <w:rsid w:val="005205F0"/>
    <w:rsid w:val="0053242E"/>
    <w:rsid w:val="00545A9F"/>
    <w:rsid w:val="0056055D"/>
    <w:rsid w:val="00575624"/>
    <w:rsid w:val="00577E7B"/>
    <w:rsid w:val="005838A9"/>
    <w:rsid w:val="005A6DA7"/>
    <w:rsid w:val="005C4172"/>
    <w:rsid w:val="005D37BB"/>
    <w:rsid w:val="005E3993"/>
    <w:rsid w:val="005E461B"/>
    <w:rsid w:val="005F7BE0"/>
    <w:rsid w:val="00621288"/>
    <w:rsid w:val="00631AFC"/>
    <w:rsid w:val="00631D2F"/>
    <w:rsid w:val="00655F40"/>
    <w:rsid w:val="00656FA0"/>
    <w:rsid w:val="006579A1"/>
    <w:rsid w:val="00662904"/>
    <w:rsid w:val="0069181D"/>
    <w:rsid w:val="006E408C"/>
    <w:rsid w:val="006F75D5"/>
    <w:rsid w:val="00723CA6"/>
    <w:rsid w:val="007315EF"/>
    <w:rsid w:val="0074301B"/>
    <w:rsid w:val="0077600C"/>
    <w:rsid w:val="00794B40"/>
    <w:rsid w:val="007B41F8"/>
    <w:rsid w:val="007C7D30"/>
    <w:rsid w:val="008306A0"/>
    <w:rsid w:val="00841903"/>
    <w:rsid w:val="00844144"/>
    <w:rsid w:val="008518CF"/>
    <w:rsid w:val="00861EF7"/>
    <w:rsid w:val="008620B8"/>
    <w:rsid w:val="00864230"/>
    <w:rsid w:val="008A22D1"/>
    <w:rsid w:val="008B6F4C"/>
    <w:rsid w:val="008D070B"/>
    <w:rsid w:val="009101F8"/>
    <w:rsid w:val="00922258"/>
    <w:rsid w:val="0094337E"/>
    <w:rsid w:val="0094702D"/>
    <w:rsid w:val="00964F56"/>
    <w:rsid w:val="009662DA"/>
    <w:rsid w:val="00973137"/>
    <w:rsid w:val="0098615E"/>
    <w:rsid w:val="009A48A1"/>
    <w:rsid w:val="009F16B7"/>
    <w:rsid w:val="009F5330"/>
    <w:rsid w:val="00A073C8"/>
    <w:rsid w:val="00A15700"/>
    <w:rsid w:val="00A218CA"/>
    <w:rsid w:val="00A2237F"/>
    <w:rsid w:val="00A24158"/>
    <w:rsid w:val="00A447EF"/>
    <w:rsid w:val="00A60C72"/>
    <w:rsid w:val="00A625FA"/>
    <w:rsid w:val="00A66E00"/>
    <w:rsid w:val="00A707B2"/>
    <w:rsid w:val="00AD4C96"/>
    <w:rsid w:val="00AE290D"/>
    <w:rsid w:val="00AF2B2B"/>
    <w:rsid w:val="00AF4C28"/>
    <w:rsid w:val="00B031DF"/>
    <w:rsid w:val="00B04AA4"/>
    <w:rsid w:val="00B07DD0"/>
    <w:rsid w:val="00B10373"/>
    <w:rsid w:val="00B11BD9"/>
    <w:rsid w:val="00B24F78"/>
    <w:rsid w:val="00B268C7"/>
    <w:rsid w:val="00B37A09"/>
    <w:rsid w:val="00B54631"/>
    <w:rsid w:val="00B6117A"/>
    <w:rsid w:val="00B75E9D"/>
    <w:rsid w:val="00B76C98"/>
    <w:rsid w:val="00BA50B9"/>
    <w:rsid w:val="00BB09E8"/>
    <w:rsid w:val="00BB7375"/>
    <w:rsid w:val="00BB79EF"/>
    <w:rsid w:val="00BC2010"/>
    <w:rsid w:val="00BE021D"/>
    <w:rsid w:val="00C35726"/>
    <w:rsid w:val="00C42D35"/>
    <w:rsid w:val="00C45F00"/>
    <w:rsid w:val="00C5394D"/>
    <w:rsid w:val="00C72611"/>
    <w:rsid w:val="00C87722"/>
    <w:rsid w:val="00C87F18"/>
    <w:rsid w:val="00C95AB1"/>
    <w:rsid w:val="00C9706D"/>
    <w:rsid w:val="00CA0611"/>
    <w:rsid w:val="00CA24D1"/>
    <w:rsid w:val="00CB6806"/>
    <w:rsid w:val="00CE3A15"/>
    <w:rsid w:val="00D03A48"/>
    <w:rsid w:val="00D13042"/>
    <w:rsid w:val="00D13909"/>
    <w:rsid w:val="00D16F62"/>
    <w:rsid w:val="00D177CA"/>
    <w:rsid w:val="00D23B0F"/>
    <w:rsid w:val="00D40507"/>
    <w:rsid w:val="00D566AD"/>
    <w:rsid w:val="00D72FEC"/>
    <w:rsid w:val="00D74BEF"/>
    <w:rsid w:val="00D86FE2"/>
    <w:rsid w:val="00DA0374"/>
    <w:rsid w:val="00DB43B9"/>
    <w:rsid w:val="00DE1C73"/>
    <w:rsid w:val="00E30BE8"/>
    <w:rsid w:val="00E521B2"/>
    <w:rsid w:val="00E5288A"/>
    <w:rsid w:val="00E71118"/>
    <w:rsid w:val="00E83153"/>
    <w:rsid w:val="00E87825"/>
    <w:rsid w:val="00EA4AF7"/>
    <w:rsid w:val="00ED288D"/>
    <w:rsid w:val="00ED4A19"/>
    <w:rsid w:val="00EF235F"/>
    <w:rsid w:val="00F2745D"/>
    <w:rsid w:val="00F41F49"/>
    <w:rsid w:val="00F56CA8"/>
    <w:rsid w:val="00F60398"/>
    <w:rsid w:val="00F91072"/>
    <w:rsid w:val="00F926AC"/>
    <w:rsid w:val="00FD0492"/>
    <w:rsid w:val="00FD4E92"/>
    <w:rsid w:val="00FE1151"/>
    <w:rsid w:val="00FF3E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68E80B"/>
  <w15:docId w15:val="{E2CD24CB-969A-42A6-9894-1AA351D9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9E8"/>
    <w:pPr>
      <w:tabs>
        <w:tab w:val="left" w:pos="794"/>
        <w:tab w:val="left" w:pos="1191"/>
        <w:tab w:val="left" w:pos="1588"/>
        <w:tab w:val="left" w:pos="1985"/>
      </w:tabs>
      <w:overflowPunct w:val="0"/>
      <w:autoSpaceDE w:val="0"/>
      <w:autoSpaceDN w:val="0"/>
      <w:adjustRightInd w:val="0"/>
      <w:spacing w:before="120"/>
      <w:textAlignment w:val="baseline"/>
    </w:pPr>
    <w:rPr>
      <w:sz w:val="24"/>
      <w:lang w:val="en-GB"/>
    </w:rPr>
  </w:style>
  <w:style w:type="paragraph" w:styleId="Heading1">
    <w:name w:val="heading 1"/>
    <w:basedOn w:val="Normal"/>
    <w:next w:val="Normal"/>
    <w:qFormat/>
    <w:rsid w:val="0079336F"/>
    <w:pPr>
      <w:keepNext/>
      <w:keepLines/>
      <w:spacing w:before="360"/>
      <w:ind w:left="794" w:hanging="794"/>
      <w:outlineLvl w:val="0"/>
    </w:pPr>
    <w:rPr>
      <w:b/>
    </w:rPr>
  </w:style>
  <w:style w:type="paragraph" w:styleId="Heading2">
    <w:name w:val="heading 2"/>
    <w:basedOn w:val="Heading1"/>
    <w:next w:val="Normal"/>
    <w:qFormat/>
    <w:rsid w:val="0079336F"/>
    <w:pPr>
      <w:spacing w:before="240"/>
      <w:outlineLvl w:val="1"/>
    </w:pPr>
  </w:style>
  <w:style w:type="paragraph" w:styleId="Heading3">
    <w:name w:val="heading 3"/>
    <w:basedOn w:val="Heading1"/>
    <w:next w:val="Normal"/>
    <w:qFormat/>
    <w:rsid w:val="0079336F"/>
    <w:pPr>
      <w:spacing w:before="160"/>
      <w:outlineLvl w:val="2"/>
    </w:pPr>
  </w:style>
  <w:style w:type="paragraph" w:styleId="Heading4">
    <w:name w:val="heading 4"/>
    <w:basedOn w:val="Heading3"/>
    <w:next w:val="Normal"/>
    <w:qFormat/>
    <w:rsid w:val="0079336F"/>
    <w:pPr>
      <w:tabs>
        <w:tab w:val="clear" w:pos="794"/>
        <w:tab w:val="left" w:pos="1021"/>
      </w:tabs>
      <w:ind w:left="1021" w:hanging="1021"/>
      <w:outlineLvl w:val="3"/>
    </w:pPr>
  </w:style>
  <w:style w:type="paragraph" w:styleId="Heading5">
    <w:name w:val="heading 5"/>
    <w:basedOn w:val="Heading4"/>
    <w:next w:val="Normal"/>
    <w:qFormat/>
    <w:rsid w:val="0079336F"/>
    <w:pPr>
      <w:outlineLvl w:val="4"/>
    </w:pPr>
  </w:style>
  <w:style w:type="paragraph" w:styleId="Heading6">
    <w:name w:val="heading 6"/>
    <w:basedOn w:val="Heading4"/>
    <w:next w:val="Normal"/>
    <w:qFormat/>
    <w:rsid w:val="0079336F"/>
    <w:pPr>
      <w:tabs>
        <w:tab w:val="clear" w:pos="1021"/>
        <w:tab w:val="clear" w:pos="1191"/>
      </w:tabs>
      <w:ind w:left="1588" w:hanging="1588"/>
      <w:outlineLvl w:val="5"/>
    </w:pPr>
  </w:style>
  <w:style w:type="paragraph" w:styleId="Heading7">
    <w:name w:val="heading 7"/>
    <w:basedOn w:val="Heading6"/>
    <w:next w:val="Normal"/>
    <w:qFormat/>
    <w:rsid w:val="0079336F"/>
    <w:pPr>
      <w:outlineLvl w:val="6"/>
    </w:pPr>
  </w:style>
  <w:style w:type="paragraph" w:styleId="Heading8">
    <w:name w:val="heading 8"/>
    <w:basedOn w:val="Heading6"/>
    <w:next w:val="Normal"/>
    <w:qFormat/>
    <w:rsid w:val="0079336F"/>
    <w:pPr>
      <w:outlineLvl w:val="7"/>
    </w:pPr>
  </w:style>
  <w:style w:type="paragraph" w:styleId="Heading9">
    <w:name w:val="heading 9"/>
    <w:basedOn w:val="Heading6"/>
    <w:next w:val="Normal"/>
    <w:qFormat/>
    <w:rsid w:val="0079336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Notitle">
    <w:name w:val="Annex_No &amp; title"/>
    <w:basedOn w:val="Normal"/>
    <w:next w:val="Normal"/>
    <w:rsid w:val="0079336F"/>
    <w:pPr>
      <w:keepNext/>
      <w:keepLines/>
      <w:spacing w:before="480"/>
      <w:jc w:val="center"/>
    </w:pPr>
    <w:rPr>
      <w:b/>
      <w:sz w:val="28"/>
    </w:rPr>
  </w:style>
  <w:style w:type="character" w:customStyle="1" w:styleId="Appdef">
    <w:name w:val="App_def"/>
    <w:rsid w:val="0079336F"/>
    <w:rPr>
      <w:rFonts w:ascii="Times New Roman" w:hAnsi="Times New Roman"/>
      <w:b/>
    </w:rPr>
  </w:style>
  <w:style w:type="character" w:customStyle="1" w:styleId="Appref">
    <w:name w:val="App_ref"/>
    <w:basedOn w:val="DefaultParagraphFont"/>
    <w:rsid w:val="0079336F"/>
  </w:style>
  <w:style w:type="paragraph" w:customStyle="1" w:styleId="AppendixNotitle">
    <w:name w:val="Appendix_No &amp; title"/>
    <w:basedOn w:val="AnnexNotitle"/>
    <w:next w:val="Normal"/>
    <w:rsid w:val="0079336F"/>
  </w:style>
  <w:style w:type="character" w:customStyle="1" w:styleId="Artdef">
    <w:name w:val="Art_def"/>
    <w:rsid w:val="0079336F"/>
    <w:rPr>
      <w:rFonts w:ascii="Times New Roman" w:hAnsi="Times New Roman"/>
      <w:b/>
    </w:rPr>
  </w:style>
  <w:style w:type="paragraph" w:customStyle="1" w:styleId="Artheading">
    <w:name w:val="Art_heading"/>
    <w:basedOn w:val="Normal"/>
    <w:next w:val="Normal"/>
    <w:rsid w:val="0079336F"/>
    <w:pPr>
      <w:spacing w:before="480"/>
      <w:jc w:val="center"/>
    </w:pPr>
    <w:rPr>
      <w:b/>
      <w:sz w:val="28"/>
    </w:rPr>
  </w:style>
  <w:style w:type="paragraph" w:customStyle="1" w:styleId="ArtNo">
    <w:name w:val="Art_No"/>
    <w:basedOn w:val="Normal"/>
    <w:next w:val="Normal"/>
    <w:rsid w:val="0079336F"/>
    <w:pPr>
      <w:keepNext/>
      <w:keepLines/>
      <w:spacing w:before="480"/>
      <w:jc w:val="center"/>
    </w:pPr>
    <w:rPr>
      <w:caps/>
      <w:sz w:val="28"/>
    </w:rPr>
  </w:style>
  <w:style w:type="character" w:customStyle="1" w:styleId="Artref">
    <w:name w:val="Art_ref"/>
    <w:basedOn w:val="DefaultParagraphFont"/>
    <w:rsid w:val="0079336F"/>
  </w:style>
  <w:style w:type="paragraph" w:customStyle="1" w:styleId="Arttitle">
    <w:name w:val="Art_title"/>
    <w:basedOn w:val="Normal"/>
    <w:next w:val="Normal"/>
    <w:rsid w:val="0079336F"/>
    <w:pPr>
      <w:keepNext/>
      <w:keepLines/>
      <w:spacing w:before="240"/>
      <w:jc w:val="center"/>
    </w:pPr>
    <w:rPr>
      <w:b/>
      <w:sz w:val="28"/>
    </w:rPr>
  </w:style>
  <w:style w:type="paragraph" w:customStyle="1" w:styleId="ASN1">
    <w:name w:val="ASN.1"/>
    <w:basedOn w:val="Normal"/>
    <w:rsid w:val="0079336F"/>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noProof/>
      <w:sz w:val="20"/>
    </w:rPr>
  </w:style>
  <w:style w:type="paragraph" w:customStyle="1" w:styleId="Call">
    <w:name w:val="Call"/>
    <w:basedOn w:val="Normal"/>
    <w:next w:val="Normal"/>
    <w:rsid w:val="0079336F"/>
    <w:pPr>
      <w:keepNext/>
      <w:keepLines/>
      <w:spacing w:before="160"/>
      <w:ind w:left="794"/>
    </w:pPr>
    <w:rPr>
      <w:i/>
    </w:rPr>
  </w:style>
  <w:style w:type="paragraph" w:customStyle="1" w:styleId="ChapNo">
    <w:name w:val="Chap_No"/>
    <w:basedOn w:val="Normal"/>
    <w:next w:val="Normal"/>
    <w:rsid w:val="0079336F"/>
    <w:pPr>
      <w:keepNext/>
      <w:keepLines/>
      <w:spacing w:before="480"/>
      <w:jc w:val="center"/>
    </w:pPr>
    <w:rPr>
      <w:b/>
      <w:caps/>
      <w:sz w:val="28"/>
    </w:rPr>
  </w:style>
  <w:style w:type="paragraph" w:customStyle="1" w:styleId="Chaptitle">
    <w:name w:val="Chap_title"/>
    <w:basedOn w:val="Normal"/>
    <w:next w:val="Normal"/>
    <w:rsid w:val="0079336F"/>
    <w:pPr>
      <w:keepNext/>
      <w:keepLines/>
      <w:spacing w:before="240"/>
      <w:jc w:val="center"/>
    </w:pPr>
    <w:rPr>
      <w:b/>
      <w:sz w:val="28"/>
    </w:rPr>
  </w:style>
  <w:style w:type="character" w:styleId="EndnoteReference">
    <w:name w:val="endnote reference"/>
    <w:semiHidden/>
    <w:rsid w:val="0079336F"/>
    <w:rPr>
      <w:vertAlign w:val="superscript"/>
    </w:rPr>
  </w:style>
  <w:style w:type="paragraph" w:customStyle="1" w:styleId="enumlev1">
    <w:name w:val="enumlev1"/>
    <w:basedOn w:val="Normal"/>
    <w:rsid w:val="0079336F"/>
    <w:pPr>
      <w:spacing w:before="80"/>
      <w:ind w:left="794" w:hanging="794"/>
    </w:pPr>
  </w:style>
  <w:style w:type="paragraph" w:customStyle="1" w:styleId="enumlev2">
    <w:name w:val="enumlev2"/>
    <w:basedOn w:val="enumlev1"/>
    <w:rsid w:val="0079336F"/>
    <w:pPr>
      <w:ind w:left="1191" w:hanging="397"/>
    </w:pPr>
  </w:style>
  <w:style w:type="paragraph" w:customStyle="1" w:styleId="enumlev3">
    <w:name w:val="enumlev3"/>
    <w:basedOn w:val="enumlev2"/>
    <w:rsid w:val="0079336F"/>
    <w:pPr>
      <w:ind w:left="1588"/>
    </w:pPr>
  </w:style>
  <w:style w:type="paragraph" w:customStyle="1" w:styleId="Equation">
    <w:name w:val="Equation"/>
    <w:basedOn w:val="Normal"/>
    <w:rsid w:val="0079336F"/>
    <w:pPr>
      <w:tabs>
        <w:tab w:val="clear" w:pos="1191"/>
        <w:tab w:val="clear" w:pos="1588"/>
        <w:tab w:val="clear" w:pos="1985"/>
        <w:tab w:val="center" w:pos="4820"/>
        <w:tab w:val="right" w:pos="9639"/>
      </w:tabs>
    </w:pPr>
  </w:style>
  <w:style w:type="paragraph" w:customStyle="1" w:styleId="Equationlegend">
    <w:name w:val="Equation_legend"/>
    <w:basedOn w:val="Normal"/>
    <w:rsid w:val="0079336F"/>
    <w:pPr>
      <w:tabs>
        <w:tab w:val="clear" w:pos="794"/>
        <w:tab w:val="clear" w:pos="1191"/>
        <w:tab w:val="clear" w:pos="1588"/>
        <w:tab w:val="right" w:pos="1814"/>
      </w:tabs>
      <w:spacing w:before="80"/>
      <w:ind w:left="1985" w:hanging="1985"/>
    </w:pPr>
  </w:style>
  <w:style w:type="paragraph" w:customStyle="1" w:styleId="Figure">
    <w:name w:val="Figure"/>
    <w:basedOn w:val="Normal"/>
    <w:next w:val="Normal"/>
    <w:rsid w:val="0079336F"/>
    <w:pPr>
      <w:keepNext/>
      <w:keepLines/>
      <w:spacing w:before="240" w:after="120"/>
      <w:jc w:val="center"/>
    </w:pPr>
  </w:style>
  <w:style w:type="paragraph" w:customStyle="1" w:styleId="Figurelegend">
    <w:name w:val="Figure_legend"/>
    <w:basedOn w:val="Normal"/>
    <w:rsid w:val="0079336F"/>
    <w:pPr>
      <w:keepNext/>
      <w:keepLines/>
      <w:tabs>
        <w:tab w:val="clear" w:pos="794"/>
        <w:tab w:val="clear" w:pos="1191"/>
        <w:tab w:val="clear" w:pos="1588"/>
        <w:tab w:val="clear" w:pos="1985"/>
      </w:tabs>
      <w:spacing w:before="20" w:after="20"/>
    </w:pPr>
    <w:rPr>
      <w:sz w:val="18"/>
    </w:rPr>
  </w:style>
  <w:style w:type="paragraph" w:customStyle="1" w:styleId="FigureNotitle">
    <w:name w:val="Figure_No &amp; title"/>
    <w:basedOn w:val="Normal"/>
    <w:next w:val="Normal"/>
    <w:rsid w:val="0079336F"/>
    <w:pPr>
      <w:keepLines/>
      <w:spacing w:before="240" w:after="120"/>
      <w:jc w:val="center"/>
    </w:pPr>
    <w:rPr>
      <w:b/>
    </w:rPr>
  </w:style>
  <w:style w:type="paragraph" w:customStyle="1" w:styleId="FigureNoBR">
    <w:name w:val="Figure_No_BR"/>
    <w:basedOn w:val="Normal"/>
    <w:next w:val="Normal"/>
    <w:rsid w:val="0079336F"/>
    <w:pPr>
      <w:keepNext/>
      <w:keepLines/>
      <w:spacing w:before="480" w:after="120"/>
      <w:jc w:val="center"/>
    </w:pPr>
    <w:rPr>
      <w:caps/>
    </w:rPr>
  </w:style>
  <w:style w:type="paragraph" w:customStyle="1" w:styleId="TabletitleBR">
    <w:name w:val="Table_title_BR"/>
    <w:basedOn w:val="Normal"/>
    <w:next w:val="Normal"/>
    <w:rsid w:val="0079336F"/>
    <w:pPr>
      <w:keepNext/>
      <w:keepLines/>
      <w:spacing w:before="0" w:after="120"/>
      <w:jc w:val="center"/>
    </w:pPr>
    <w:rPr>
      <w:b/>
    </w:rPr>
  </w:style>
  <w:style w:type="paragraph" w:customStyle="1" w:styleId="FiguretitleBR">
    <w:name w:val="Figure_title_BR"/>
    <w:basedOn w:val="TabletitleBR"/>
    <w:next w:val="Normal"/>
    <w:rsid w:val="0079336F"/>
    <w:pPr>
      <w:keepNext w:val="0"/>
      <w:spacing w:after="480"/>
    </w:pPr>
  </w:style>
  <w:style w:type="paragraph" w:customStyle="1" w:styleId="Figurewithouttitle">
    <w:name w:val="Figure_without_title"/>
    <w:basedOn w:val="Normal"/>
    <w:next w:val="Normal"/>
    <w:rsid w:val="0079336F"/>
    <w:pPr>
      <w:keepLines/>
      <w:spacing w:before="240" w:after="120"/>
      <w:jc w:val="center"/>
    </w:pPr>
  </w:style>
  <w:style w:type="paragraph" w:styleId="Footer">
    <w:name w:val="footer"/>
    <w:basedOn w:val="Normal"/>
    <w:rsid w:val="0079336F"/>
    <w:pPr>
      <w:tabs>
        <w:tab w:val="clear" w:pos="794"/>
        <w:tab w:val="clear" w:pos="1191"/>
        <w:tab w:val="clear" w:pos="1588"/>
        <w:tab w:val="clear" w:pos="1985"/>
        <w:tab w:val="left" w:pos="5954"/>
        <w:tab w:val="right" w:pos="9639"/>
      </w:tabs>
      <w:spacing w:before="0"/>
    </w:pPr>
    <w:rPr>
      <w:caps/>
      <w:noProof/>
      <w:sz w:val="16"/>
    </w:rPr>
  </w:style>
  <w:style w:type="paragraph" w:customStyle="1" w:styleId="FirstFooter">
    <w:name w:val="FirstFooter"/>
    <w:basedOn w:val="Footer"/>
    <w:rsid w:val="0079336F"/>
    <w:pPr>
      <w:tabs>
        <w:tab w:val="clear" w:pos="5954"/>
        <w:tab w:val="clear" w:pos="9639"/>
      </w:tabs>
      <w:overflowPunct/>
      <w:autoSpaceDE/>
      <w:autoSpaceDN/>
      <w:adjustRightInd/>
      <w:spacing w:before="40"/>
      <w:textAlignment w:val="auto"/>
    </w:pPr>
    <w:rPr>
      <w:caps w:val="0"/>
      <w:noProof w:val="0"/>
    </w:rPr>
  </w:style>
  <w:style w:type="paragraph" w:customStyle="1" w:styleId="FooterQP">
    <w:name w:val="Footer_QP"/>
    <w:basedOn w:val="Normal"/>
    <w:rsid w:val="0079336F"/>
    <w:pPr>
      <w:tabs>
        <w:tab w:val="clear" w:pos="794"/>
        <w:tab w:val="clear" w:pos="1191"/>
        <w:tab w:val="clear" w:pos="1588"/>
        <w:tab w:val="clear" w:pos="1985"/>
        <w:tab w:val="left" w:pos="907"/>
        <w:tab w:val="right" w:pos="8789"/>
        <w:tab w:val="right" w:pos="9639"/>
      </w:tabs>
      <w:spacing w:before="0"/>
    </w:pPr>
    <w:rPr>
      <w:b/>
      <w:sz w:val="22"/>
    </w:rPr>
  </w:style>
  <w:style w:type="character" w:styleId="FootnoteReference">
    <w:name w:val="footnote reference"/>
    <w:semiHidden/>
    <w:rsid w:val="0079336F"/>
    <w:rPr>
      <w:position w:val="6"/>
      <w:sz w:val="18"/>
    </w:rPr>
  </w:style>
  <w:style w:type="paragraph" w:customStyle="1" w:styleId="Note">
    <w:name w:val="Note"/>
    <w:basedOn w:val="Normal"/>
    <w:rsid w:val="0079336F"/>
    <w:pPr>
      <w:spacing w:before="80"/>
    </w:pPr>
  </w:style>
  <w:style w:type="paragraph" w:styleId="FootnoteText">
    <w:name w:val="footnote text"/>
    <w:basedOn w:val="Note"/>
    <w:link w:val="FootnoteTextChar"/>
    <w:semiHidden/>
    <w:rsid w:val="0079336F"/>
    <w:pPr>
      <w:keepLines/>
      <w:tabs>
        <w:tab w:val="left" w:pos="255"/>
      </w:tabs>
      <w:ind w:left="255" w:hanging="255"/>
    </w:pPr>
  </w:style>
  <w:style w:type="paragraph" w:customStyle="1" w:styleId="Formal">
    <w:name w:val="Formal"/>
    <w:basedOn w:val="ASN1"/>
    <w:rsid w:val="0079336F"/>
    <w:rPr>
      <w:b w:val="0"/>
    </w:rPr>
  </w:style>
  <w:style w:type="paragraph" w:styleId="Header">
    <w:name w:val="header"/>
    <w:basedOn w:val="Normal"/>
    <w:rsid w:val="0079336F"/>
    <w:pPr>
      <w:tabs>
        <w:tab w:val="clear" w:pos="794"/>
        <w:tab w:val="clear" w:pos="1191"/>
        <w:tab w:val="clear" w:pos="1588"/>
        <w:tab w:val="clear" w:pos="1985"/>
      </w:tabs>
      <w:spacing w:before="0"/>
      <w:jc w:val="center"/>
    </w:pPr>
    <w:rPr>
      <w:sz w:val="18"/>
    </w:rPr>
  </w:style>
  <w:style w:type="paragraph" w:customStyle="1" w:styleId="Headingb">
    <w:name w:val="Heading_b"/>
    <w:basedOn w:val="Normal"/>
    <w:next w:val="Normal"/>
    <w:rsid w:val="0079336F"/>
    <w:pPr>
      <w:keepNext/>
      <w:spacing w:before="160"/>
    </w:pPr>
    <w:rPr>
      <w:b/>
    </w:rPr>
  </w:style>
  <w:style w:type="paragraph" w:customStyle="1" w:styleId="Headingi">
    <w:name w:val="Heading_i"/>
    <w:basedOn w:val="Normal"/>
    <w:next w:val="Normal"/>
    <w:rsid w:val="0079336F"/>
    <w:pPr>
      <w:keepNext/>
      <w:spacing w:before="160"/>
    </w:pPr>
    <w:rPr>
      <w:i/>
    </w:rPr>
  </w:style>
  <w:style w:type="paragraph" w:styleId="Index1">
    <w:name w:val="index 1"/>
    <w:basedOn w:val="Normal"/>
    <w:next w:val="Normal"/>
    <w:semiHidden/>
    <w:rsid w:val="0079336F"/>
  </w:style>
  <w:style w:type="paragraph" w:styleId="Index2">
    <w:name w:val="index 2"/>
    <w:basedOn w:val="Normal"/>
    <w:next w:val="Normal"/>
    <w:semiHidden/>
    <w:rsid w:val="0079336F"/>
    <w:pPr>
      <w:ind w:left="283"/>
    </w:pPr>
  </w:style>
  <w:style w:type="paragraph" w:styleId="Index3">
    <w:name w:val="index 3"/>
    <w:basedOn w:val="Normal"/>
    <w:next w:val="Normal"/>
    <w:semiHidden/>
    <w:rsid w:val="0079336F"/>
    <w:pPr>
      <w:ind w:left="566"/>
    </w:pPr>
  </w:style>
  <w:style w:type="paragraph" w:customStyle="1" w:styleId="Normalaftertitle">
    <w:name w:val="Normal_after_title"/>
    <w:basedOn w:val="Normal"/>
    <w:next w:val="Normal"/>
    <w:rsid w:val="0079336F"/>
    <w:pPr>
      <w:spacing w:before="360"/>
    </w:pPr>
  </w:style>
  <w:style w:type="character" w:styleId="PageNumber">
    <w:name w:val="page number"/>
    <w:basedOn w:val="DefaultParagraphFont"/>
    <w:rsid w:val="0079336F"/>
  </w:style>
  <w:style w:type="paragraph" w:customStyle="1" w:styleId="PartNo">
    <w:name w:val="Part_No"/>
    <w:basedOn w:val="Normal"/>
    <w:next w:val="Normal"/>
    <w:rsid w:val="0079336F"/>
    <w:pPr>
      <w:keepNext/>
      <w:keepLines/>
      <w:spacing w:before="480" w:after="80"/>
      <w:jc w:val="center"/>
    </w:pPr>
    <w:rPr>
      <w:caps/>
      <w:sz w:val="28"/>
    </w:rPr>
  </w:style>
  <w:style w:type="paragraph" w:customStyle="1" w:styleId="Partref">
    <w:name w:val="Part_ref"/>
    <w:basedOn w:val="Normal"/>
    <w:next w:val="Normal"/>
    <w:rsid w:val="0079336F"/>
    <w:pPr>
      <w:keepNext/>
      <w:keepLines/>
      <w:spacing w:before="280"/>
      <w:jc w:val="center"/>
    </w:pPr>
  </w:style>
  <w:style w:type="paragraph" w:customStyle="1" w:styleId="Parttitle">
    <w:name w:val="Part_title"/>
    <w:basedOn w:val="Normal"/>
    <w:next w:val="Normalaftertitle"/>
    <w:rsid w:val="0079336F"/>
    <w:pPr>
      <w:keepNext/>
      <w:keepLines/>
      <w:spacing w:before="240" w:after="280"/>
      <w:jc w:val="center"/>
    </w:pPr>
    <w:rPr>
      <w:b/>
      <w:sz w:val="28"/>
    </w:rPr>
  </w:style>
  <w:style w:type="paragraph" w:customStyle="1" w:styleId="Recdate">
    <w:name w:val="Rec_date"/>
    <w:basedOn w:val="Normal"/>
    <w:next w:val="Normalaftertitle"/>
    <w:rsid w:val="0079336F"/>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79336F"/>
  </w:style>
  <w:style w:type="paragraph" w:customStyle="1" w:styleId="RecNo">
    <w:name w:val="Rec_No"/>
    <w:basedOn w:val="Normal"/>
    <w:next w:val="Normal"/>
    <w:rsid w:val="0079336F"/>
    <w:pPr>
      <w:keepNext/>
      <w:keepLines/>
      <w:spacing w:before="0"/>
    </w:pPr>
    <w:rPr>
      <w:b/>
      <w:sz w:val="28"/>
    </w:rPr>
  </w:style>
  <w:style w:type="paragraph" w:customStyle="1" w:styleId="QuestionNo">
    <w:name w:val="Question_No"/>
    <w:basedOn w:val="RecNo"/>
    <w:next w:val="Normal"/>
    <w:rsid w:val="0079336F"/>
  </w:style>
  <w:style w:type="paragraph" w:customStyle="1" w:styleId="RecNoBR">
    <w:name w:val="Rec_No_BR"/>
    <w:basedOn w:val="Normal"/>
    <w:next w:val="Normal"/>
    <w:rsid w:val="0079336F"/>
    <w:pPr>
      <w:keepNext/>
      <w:keepLines/>
      <w:spacing w:before="480"/>
      <w:jc w:val="center"/>
    </w:pPr>
    <w:rPr>
      <w:caps/>
      <w:sz w:val="28"/>
    </w:rPr>
  </w:style>
  <w:style w:type="paragraph" w:customStyle="1" w:styleId="QuestionNoBR">
    <w:name w:val="Question_No_BR"/>
    <w:basedOn w:val="RecNoBR"/>
    <w:next w:val="Normal"/>
    <w:rsid w:val="0079336F"/>
  </w:style>
  <w:style w:type="paragraph" w:customStyle="1" w:styleId="Recref">
    <w:name w:val="Rec_ref"/>
    <w:basedOn w:val="Normal"/>
    <w:next w:val="Recdate"/>
    <w:rsid w:val="0079336F"/>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79336F"/>
  </w:style>
  <w:style w:type="paragraph" w:customStyle="1" w:styleId="Rectitle">
    <w:name w:val="Rec_title"/>
    <w:basedOn w:val="Normal"/>
    <w:next w:val="Normalaftertitle"/>
    <w:rsid w:val="0079336F"/>
    <w:pPr>
      <w:keepNext/>
      <w:keepLines/>
      <w:spacing w:before="360"/>
      <w:jc w:val="center"/>
    </w:pPr>
    <w:rPr>
      <w:b/>
      <w:sz w:val="28"/>
    </w:rPr>
  </w:style>
  <w:style w:type="paragraph" w:customStyle="1" w:styleId="Questiontitle">
    <w:name w:val="Question_title"/>
    <w:basedOn w:val="Rectitle"/>
    <w:next w:val="Questionref"/>
    <w:rsid w:val="0079336F"/>
  </w:style>
  <w:style w:type="character" w:customStyle="1" w:styleId="Recdef">
    <w:name w:val="Rec_def"/>
    <w:rsid w:val="0079336F"/>
    <w:rPr>
      <w:b/>
    </w:rPr>
  </w:style>
  <w:style w:type="paragraph" w:customStyle="1" w:styleId="Reftext">
    <w:name w:val="Ref_text"/>
    <w:basedOn w:val="Normal"/>
    <w:rsid w:val="0079336F"/>
    <w:pPr>
      <w:ind w:left="794" w:hanging="794"/>
    </w:pPr>
  </w:style>
  <w:style w:type="paragraph" w:customStyle="1" w:styleId="Reftitle">
    <w:name w:val="Ref_title"/>
    <w:basedOn w:val="Normal"/>
    <w:next w:val="Reftext"/>
    <w:rsid w:val="0079336F"/>
    <w:pPr>
      <w:spacing w:before="480"/>
      <w:jc w:val="center"/>
    </w:pPr>
    <w:rPr>
      <w:b/>
    </w:rPr>
  </w:style>
  <w:style w:type="paragraph" w:customStyle="1" w:styleId="Repdate">
    <w:name w:val="Rep_date"/>
    <w:basedOn w:val="Recdate"/>
    <w:next w:val="Normalaftertitle"/>
    <w:rsid w:val="0079336F"/>
  </w:style>
  <w:style w:type="paragraph" w:customStyle="1" w:styleId="RepNo">
    <w:name w:val="Rep_No"/>
    <w:basedOn w:val="RecNo"/>
    <w:next w:val="Normal"/>
    <w:rsid w:val="0079336F"/>
  </w:style>
  <w:style w:type="paragraph" w:customStyle="1" w:styleId="RepNoBR">
    <w:name w:val="Rep_No_BR"/>
    <w:basedOn w:val="RecNoBR"/>
    <w:next w:val="Normal"/>
    <w:rsid w:val="0079336F"/>
  </w:style>
  <w:style w:type="paragraph" w:customStyle="1" w:styleId="Repref">
    <w:name w:val="Rep_ref"/>
    <w:basedOn w:val="Recref"/>
    <w:next w:val="Repdate"/>
    <w:rsid w:val="0079336F"/>
  </w:style>
  <w:style w:type="paragraph" w:customStyle="1" w:styleId="Reptitle">
    <w:name w:val="Rep_title"/>
    <w:basedOn w:val="Rectitle"/>
    <w:next w:val="Repref"/>
    <w:rsid w:val="0079336F"/>
  </w:style>
  <w:style w:type="paragraph" w:customStyle="1" w:styleId="Resdate">
    <w:name w:val="Res_date"/>
    <w:basedOn w:val="Recdate"/>
    <w:next w:val="Normalaftertitle"/>
    <w:rsid w:val="0079336F"/>
  </w:style>
  <w:style w:type="character" w:customStyle="1" w:styleId="Resdef">
    <w:name w:val="Res_def"/>
    <w:rsid w:val="0079336F"/>
    <w:rPr>
      <w:rFonts w:ascii="Times New Roman" w:hAnsi="Times New Roman"/>
      <w:b/>
    </w:rPr>
  </w:style>
  <w:style w:type="paragraph" w:customStyle="1" w:styleId="ResNo">
    <w:name w:val="Res_No"/>
    <w:basedOn w:val="RecNo"/>
    <w:next w:val="Normal"/>
    <w:rsid w:val="0079336F"/>
  </w:style>
  <w:style w:type="paragraph" w:customStyle="1" w:styleId="ResNoBR">
    <w:name w:val="Res_No_BR"/>
    <w:basedOn w:val="RecNoBR"/>
    <w:next w:val="Normal"/>
    <w:rsid w:val="0079336F"/>
  </w:style>
  <w:style w:type="paragraph" w:customStyle="1" w:styleId="Resref">
    <w:name w:val="Res_ref"/>
    <w:basedOn w:val="Recref"/>
    <w:next w:val="Resdate"/>
    <w:rsid w:val="0079336F"/>
  </w:style>
  <w:style w:type="paragraph" w:customStyle="1" w:styleId="Restitle">
    <w:name w:val="Res_title"/>
    <w:basedOn w:val="Rectitle"/>
    <w:next w:val="Resref"/>
    <w:rsid w:val="0079336F"/>
  </w:style>
  <w:style w:type="paragraph" w:customStyle="1" w:styleId="Section1">
    <w:name w:val="Section_1"/>
    <w:basedOn w:val="Normal"/>
    <w:next w:val="Normal"/>
    <w:rsid w:val="0079336F"/>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79336F"/>
    <w:pPr>
      <w:tabs>
        <w:tab w:val="clear" w:pos="794"/>
        <w:tab w:val="clear" w:pos="1191"/>
        <w:tab w:val="clear" w:pos="1588"/>
        <w:tab w:val="clear" w:pos="1985"/>
      </w:tabs>
      <w:spacing w:before="240"/>
      <w:jc w:val="center"/>
    </w:pPr>
    <w:rPr>
      <w:i/>
    </w:rPr>
  </w:style>
  <w:style w:type="paragraph" w:customStyle="1" w:styleId="SectionNo">
    <w:name w:val="Section_No"/>
    <w:basedOn w:val="Normal"/>
    <w:next w:val="Normal"/>
    <w:rsid w:val="0079336F"/>
    <w:pPr>
      <w:keepNext/>
      <w:keepLines/>
      <w:spacing w:before="480" w:after="80"/>
      <w:jc w:val="center"/>
    </w:pPr>
    <w:rPr>
      <w:caps/>
      <w:sz w:val="28"/>
    </w:rPr>
  </w:style>
  <w:style w:type="paragraph" w:customStyle="1" w:styleId="Sectiontitle">
    <w:name w:val="Section_title"/>
    <w:basedOn w:val="Normal"/>
    <w:next w:val="Normalaftertitle"/>
    <w:rsid w:val="0079336F"/>
    <w:pPr>
      <w:keepNext/>
      <w:keepLines/>
      <w:spacing w:before="480" w:after="280"/>
      <w:jc w:val="center"/>
    </w:pPr>
    <w:rPr>
      <w:b/>
      <w:sz w:val="28"/>
    </w:rPr>
  </w:style>
  <w:style w:type="paragraph" w:customStyle="1" w:styleId="Source">
    <w:name w:val="Source"/>
    <w:basedOn w:val="Normal"/>
    <w:next w:val="Normalaftertitle"/>
    <w:rsid w:val="0079336F"/>
    <w:pPr>
      <w:spacing w:before="840" w:after="200"/>
      <w:jc w:val="center"/>
    </w:pPr>
    <w:rPr>
      <w:b/>
      <w:sz w:val="28"/>
    </w:rPr>
  </w:style>
  <w:style w:type="paragraph" w:customStyle="1" w:styleId="SpecialFooter">
    <w:name w:val="Special Footer"/>
    <w:basedOn w:val="Footer"/>
    <w:rsid w:val="0079336F"/>
    <w:pPr>
      <w:tabs>
        <w:tab w:val="left" w:pos="567"/>
        <w:tab w:val="left" w:pos="1134"/>
        <w:tab w:val="left" w:pos="1701"/>
        <w:tab w:val="left" w:pos="2268"/>
        <w:tab w:val="left" w:pos="2835"/>
      </w:tabs>
      <w:jc w:val="both"/>
    </w:pPr>
    <w:rPr>
      <w:caps w:val="0"/>
      <w:noProof w:val="0"/>
    </w:rPr>
  </w:style>
  <w:style w:type="character" w:customStyle="1" w:styleId="Tablefreq">
    <w:name w:val="Table_freq"/>
    <w:rsid w:val="0079336F"/>
    <w:rPr>
      <w:b/>
      <w:color w:val="auto"/>
    </w:rPr>
  </w:style>
  <w:style w:type="paragraph" w:customStyle="1" w:styleId="Tablehead">
    <w:name w:val="Table_head"/>
    <w:basedOn w:val="Normal"/>
    <w:next w:val="Normal"/>
    <w:rsid w:val="0079336F"/>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paragraph" w:customStyle="1" w:styleId="TableNotitle">
    <w:name w:val="Table_No &amp; title"/>
    <w:basedOn w:val="Normal"/>
    <w:next w:val="Tablehead"/>
    <w:rsid w:val="0079336F"/>
    <w:pPr>
      <w:keepNext/>
      <w:keepLines/>
      <w:spacing w:before="360" w:after="120"/>
      <w:jc w:val="center"/>
    </w:pPr>
    <w:rPr>
      <w:b/>
    </w:rPr>
  </w:style>
  <w:style w:type="paragraph" w:customStyle="1" w:styleId="TableNoBR">
    <w:name w:val="Table_No_BR"/>
    <w:basedOn w:val="Normal"/>
    <w:next w:val="TabletitleBR"/>
    <w:rsid w:val="0079336F"/>
    <w:pPr>
      <w:keepNext/>
      <w:spacing w:before="560" w:after="120"/>
      <w:jc w:val="center"/>
    </w:pPr>
    <w:rPr>
      <w:caps/>
    </w:rPr>
  </w:style>
  <w:style w:type="paragraph" w:customStyle="1" w:styleId="Tableref">
    <w:name w:val="Table_ref"/>
    <w:basedOn w:val="Normal"/>
    <w:next w:val="TabletitleBR"/>
    <w:rsid w:val="0079336F"/>
    <w:pPr>
      <w:keepNext/>
      <w:spacing w:before="0" w:after="120"/>
      <w:jc w:val="center"/>
    </w:pPr>
  </w:style>
  <w:style w:type="paragraph" w:customStyle="1" w:styleId="Tabletext">
    <w:name w:val="Table_text"/>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sz w:val="22"/>
    </w:rPr>
  </w:style>
  <w:style w:type="paragraph" w:customStyle="1" w:styleId="Title1">
    <w:name w:val="Title 1"/>
    <w:basedOn w:val="Source"/>
    <w:next w:val="Normal"/>
    <w:rsid w:val="0079336F"/>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79336F"/>
  </w:style>
  <w:style w:type="paragraph" w:customStyle="1" w:styleId="Title3">
    <w:name w:val="Title 3"/>
    <w:basedOn w:val="Title2"/>
    <w:next w:val="Normal"/>
    <w:rsid w:val="0079336F"/>
    <w:rPr>
      <w:caps w:val="0"/>
    </w:rPr>
  </w:style>
  <w:style w:type="paragraph" w:customStyle="1" w:styleId="Title4">
    <w:name w:val="Title 4"/>
    <w:basedOn w:val="Title3"/>
    <w:next w:val="Heading1"/>
    <w:rsid w:val="0079336F"/>
    <w:rPr>
      <w:b/>
    </w:rPr>
  </w:style>
  <w:style w:type="paragraph" w:customStyle="1" w:styleId="toc0">
    <w:name w:val="toc 0"/>
    <w:basedOn w:val="Normal"/>
    <w:next w:val="TOC1"/>
    <w:rsid w:val="0079336F"/>
    <w:pPr>
      <w:tabs>
        <w:tab w:val="clear" w:pos="794"/>
        <w:tab w:val="clear" w:pos="1191"/>
        <w:tab w:val="clear" w:pos="1588"/>
        <w:tab w:val="clear" w:pos="1985"/>
        <w:tab w:val="right" w:pos="9639"/>
      </w:tabs>
    </w:pPr>
    <w:rPr>
      <w:b/>
    </w:rPr>
  </w:style>
  <w:style w:type="paragraph" w:styleId="TOC1">
    <w:name w:val="toc 1"/>
    <w:basedOn w:val="Normal"/>
    <w:semiHidden/>
    <w:rsid w:val="0079336F"/>
    <w:pPr>
      <w:keepLines/>
      <w:tabs>
        <w:tab w:val="clear" w:pos="794"/>
        <w:tab w:val="clear" w:pos="1191"/>
        <w:tab w:val="clear" w:pos="1588"/>
        <w:tab w:val="clear" w:pos="1985"/>
        <w:tab w:val="left" w:pos="964"/>
        <w:tab w:val="left" w:leader="dot" w:pos="8789"/>
        <w:tab w:val="right" w:pos="9639"/>
      </w:tabs>
      <w:spacing w:before="240"/>
      <w:ind w:left="680" w:right="851" w:hanging="680"/>
    </w:pPr>
  </w:style>
  <w:style w:type="paragraph" w:styleId="TOC2">
    <w:name w:val="toc 2"/>
    <w:basedOn w:val="TOC1"/>
    <w:semiHidden/>
    <w:rsid w:val="0079336F"/>
    <w:pPr>
      <w:spacing w:before="80"/>
      <w:ind w:left="1531" w:hanging="851"/>
    </w:pPr>
  </w:style>
  <w:style w:type="paragraph" w:styleId="TOC3">
    <w:name w:val="toc 3"/>
    <w:basedOn w:val="TOC2"/>
    <w:semiHidden/>
    <w:rsid w:val="0079336F"/>
  </w:style>
  <w:style w:type="paragraph" w:styleId="TOC4">
    <w:name w:val="toc 4"/>
    <w:basedOn w:val="TOC3"/>
    <w:semiHidden/>
    <w:rsid w:val="0079336F"/>
  </w:style>
  <w:style w:type="paragraph" w:styleId="TOC5">
    <w:name w:val="toc 5"/>
    <w:basedOn w:val="TOC4"/>
    <w:semiHidden/>
    <w:rsid w:val="0079336F"/>
  </w:style>
  <w:style w:type="paragraph" w:styleId="TOC6">
    <w:name w:val="toc 6"/>
    <w:basedOn w:val="TOC4"/>
    <w:semiHidden/>
    <w:rsid w:val="0079336F"/>
  </w:style>
  <w:style w:type="paragraph" w:styleId="TOC7">
    <w:name w:val="toc 7"/>
    <w:basedOn w:val="TOC4"/>
    <w:semiHidden/>
    <w:rsid w:val="0079336F"/>
  </w:style>
  <w:style w:type="paragraph" w:styleId="TOC8">
    <w:name w:val="toc 8"/>
    <w:basedOn w:val="TOC4"/>
    <w:semiHidden/>
    <w:rsid w:val="0079336F"/>
  </w:style>
  <w:style w:type="character" w:styleId="Hyperlink">
    <w:name w:val="Hyperlink"/>
    <w:rsid w:val="00D7556A"/>
    <w:rPr>
      <w:color w:val="0000FF"/>
      <w:u w:val="single"/>
    </w:rPr>
  </w:style>
  <w:style w:type="character" w:customStyle="1" w:styleId="apple-style-span">
    <w:name w:val="apple-style-span"/>
    <w:basedOn w:val="DefaultParagraphFont"/>
    <w:rsid w:val="004244BE"/>
  </w:style>
  <w:style w:type="paragraph" w:styleId="BalloonText">
    <w:name w:val="Balloon Text"/>
    <w:basedOn w:val="Normal"/>
    <w:semiHidden/>
    <w:rsid w:val="004C23D3"/>
    <w:rPr>
      <w:rFonts w:ascii="Tahoma" w:hAnsi="Tahoma" w:cs="Tahoma"/>
      <w:sz w:val="16"/>
      <w:szCs w:val="16"/>
    </w:rPr>
  </w:style>
  <w:style w:type="paragraph" w:customStyle="1" w:styleId="Docnumber">
    <w:name w:val="Docnumber"/>
    <w:basedOn w:val="Normal"/>
    <w:link w:val="DocnumberChar"/>
    <w:qFormat/>
    <w:rsid w:val="009E7527"/>
    <w:pPr>
      <w:jc w:val="right"/>
    </w:pPr>
    <w:rPr>
      <w:b/>
      <w:bCs/>
      <w:sz w:val="40"/>
    </w:rPr>
  </w:style>
  <w:style w:type="character" w:customStyle="1" w:styleId="DocnumberChar">
    <w:name w:val="Docnumber Char"/>
    <w:link w:val="Docnumber"/>
    <w:rsid w:val="009E7527"/>
    <w:rPr>
      <w:rFonts w:ascii="Times New Roman" w:hAnsi="Times New Roman" w:cs="Times New Roman"/>
      <w:b/>
      <w:bCs/>
      <w:sz w:val="40"/>
    </w:rPr>
  </w:style>
  <w:style w:type="paragraph" w:customStyle="1" w:styleId="LSForAction">
    <w:name w:val="LSForAction"/>
    <w:basedOn w:val="Normal"/>
    <w:rsid w:val="001E6F5C"/>
    <w:pPr>
      <w:textAlignment w:val="auto"/>
    </w:pPr>
    <w:rPr>
      <w:rFonts w:eastAsia="Times New Roman"/>
      <w:bCs/>
    </w:rPr>
  </w:style>
  <w:style w:type="paragraph" w:customStyle="1" w:styleId="LSForInfo">
    <w:name w:val="LSForInfo"/>
    <w:basedOn w:val="LSForAction"/>
    <w:next w:val="Normal"/>
    <w:rsid w:val="001E6F5C"/>
  </w:style>
  <w:style w:type="paragraph" w:customStyle="1" w:styleId="LSForComment">
    <w:name w:val="LSForComment"/>
    <w:basedOn w:val="LSForAction"/>
    <w:next w:val="Normal"/>
    <w:rsid w:val="001E6F5C"/>
  </w:style>
  <w:style w:type="paragraph" w:customStyle="1" w:styleId="LSDeadline">
    <w:name w:val="LSDeadline"/>
    <w:basedOn w:val="LSForAction"/>
    <w:next w:val="Normal"/>
    <w:rsid w:val="001E6F5C"/>
    <w:rPr>
      <w:bCs w:val="0"/>
    </w:rPr>
  </w:style>
  <w:style w:type="paragraph" w:styleId="ListParagraph">
    <w:name w:val="List Paragraph"/>
    <w:basedOn w:val="Normal"/>
    <w:link w:val="ListParagraphChar"/>
    <w:uiPriority w:val="34"/>
    <w:qFormat/>
    <w:rsid w:val="004720C8"/>
    <w:pPr>
      <w:tabs>
        <w:tab w:val="clear" w:pos="794"/>
        <w:tab w:val="clear" w:pos="1191"/>
        <w:tab w:val="clear" w:pos="1588"/>
        <w:tab w:val="clear" w:pos="1985"/>
      </w:tabs>
      <w:overflowPunct/>
      <w:autoSpaceDE/>
      <w:autoSpaceDN/>
      <w:adjustRightInd/>
      <w:ind w:left="720"/>
      <w:contextualSpacing/>
      <w:textAlignment w:val="auto"/>
    </w:pPr>
    <w:rPr>
      <w:rFonts w:eastAsiaTheme="minorEastAsia"/>
      <w:szCs w:val="24"/>
      <w:lang w:eastAsia="ja-JP"/>
    </w:rPr>
  </w:style>
  <w:style w:type="character" w:customStyle="1" w:styleId="ListParagraphChar">
    <w:name w:val="List Paragraph Char"/>
    <w:link w:val="ListParagraph"/>
    <w:uiPriority w:val="34"/>
    <w:rsid w:val="004720C8"/>
    <w:rPr>
      <w:rFonts w:eastAsiaTheme="minorEastAsia"/>
      <w:sz w:val="24"/>
      <w:szCs w:val="24"/>
      <w:lang w:val="en-GB" w:eastAsia="ja-JP"/>
    </w:rPr>
  </w:style>
  <w:style w:type="character" w:styleId="PlaceholderText">
    <w:name w:val="Placeholder Text"/>
    <w:basedOn w:val="DefaultParagraphFont"/>
    <w:uiPriority w:val="99"/>
    <w:semiHidden/>
    <w:rsid w:val="004720C8"/>
  </w:style>
  <w:style w:type="table" w:styleId="TableGrid">
    <w:name w:val="Table Grid"/>
    <w:basedOn w:val="TableNormal"/>
    <w:rsid w:val="00A66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40507"/>
    <w:rPr>
      <w:sz w:val="24"/>
      <w:lang w:val="en-GB"/>
    </w:rPr>
  </w:style>
  <w:style w:type="paragraph" w:styleId="NormalWeb">
    <w:name w:val="Normal (Web)"/>
    <w:basedOn w:val="Normal"/>
    <w:uiPriority w:val="99"/>
    <w:semiHidden/>
    <w:unhideWhenUsed/>
    <w:rsid w:val="006F75D5"/>
    <w:pPr>
      <w:tabs>
        <w:tab w:val="clear" w:pos="794"/>
        <w:tab w:val="clear" w:pos="1191"/>
        <w:tab w:val="clear" w:pos="1588"/>
        <w:tab w:val="clear" w:pos="1985"/>
      </w:tabs>
      <w:overflowPunct/>
      <w:autoSpaceDE/>
      <w:autoSpaceDN/>
      <w:adjustRightInd/>
      <w:spacing w:before="100" w:beforeAutospacing="1" w:after="100" w:afterAutospacing="1"/>
      <w:textAlignment w:val="auto"/>
    </w:pPr>
    <w:rPr>
      <w:rFonts w:eastAsia="Times New Roman"/>
      <w:szCs w:val="24"/>
      <w:lang w:val="en-US"/>
    </w:rPr>
  </w:style>
  <w:style w:type="character" w:customStyle="1" w:styleId="FootnoteTextChar">
    <w:name w:val="Footnote Text Char"/>
    <w:basedOn w:val="DefaultParagraphFont"/>
    <w:link w:val="FootnoteText"/>
    <w:semiHidden/>
    <w:rsid w:val="006F75D5"/>
    <w:rPr>
      <w:sz w:val="24"/>
      <w:lang w:val="en-GB"/>
    </w:rPr>
  </w:style>
  <w:style w:type="paragraph" w:customStyle="1" w:styleId="NormalComment">
    <w:name w:val="Normal Comment"/>
    <w:basedOn w:val="Normal"/>
    <w:rsid w:val="006F75D5"/>
    <w:pPr>
      <w:tabs>
        <w:tab w:val="clear" w:pos="794"/>
        <w:tab w:val="clear" w:pos="1191"/>
        <w:tab w:val="clear" w:pos="1588"/>
        <w:tab w:val="clear" w:pos="1985"/>
      </w:tabs>
      <w:overflowPunct/>
      <w:autoSpaceDE/>
      <w:autoSpaceDN/>
      <w:adjustRightInd/>
      <w:spacing w:after="60"/>
      <w:textAlignment w:val="auto"/>
    </w:pPr>
    <w:rPr>
      <w:rFonts w:eastAsia="Times New Roman"/>
      <w:color w:val="FF0000"/>
      <w:lang w:val="en-US"/>
    </w:rPr>
  </w:style>
  <w:style w:type="paragraph" w:customStyle="1" w:styleId="FigureTitle">
    <w:name w:val="Figure Title"/>
    <w:basedOn w:val="Normal"/>
    <w:next w:val="BodyText"/>
    <w:rsid w:val="006F75D5"/>
    <w:pPr>
      <w:keepLines/>
      <w:tabs>
        <w:tab w:val="clear" w:pos="794"/>
        <w:tab w:val="clear" w:pos="1191"/>
        <w:tab w:val="clear" w:pos="1588"/>
        <w:tab w:val="clear" w:pos="1985"/>
      </w:tabs>
      <w:overflowPunct/>
      <w:autoSpaceDE/>
      <w:autoSpaceDN/>
      <w:adjustRightInd/>
      <w:spacing w:after="180"/>
      <w:jc w:val="center"/>
      <w:textAlignment w:val="auto"/>
    </w:pPr>
    <w:rPr>
      <w:rFonts w:eastAsia="Times New Roman"/>
      <w:b/>
      <w:sz w:val="22"/>
      <w:lang w:val="en-US"/>
    </w:rPr>
  </w:style>
  <w:style w:type="paragraph" w:customStyle="1" w:styleId="HeadingBase">
    <w:name w:val="Heading Base"/>
    <w:basedOn w:val="Normal"/>
    <w:rsid w:val="006F75D5"/>
    <w:pPr>
      <w:tabs>
        <w:tab w:val="clear" w:pos="794"/>
        <w:tab w:val="clear" w:pos="1191"/>
        <w:tab w:val="clear" w:pos="1588"/>
        <w:tab w:val="clear" w:pos="1985"/>
      </w:tabs>
      <w:overflowPunct/>
      <w:autoSpaceDE/>
      <w:autoSpaceDN/>
      <w:adjustRightInd/>
      <w:spacing w:before="60" w:after="60"/>
      <w:textAlignment w:val="auto"/>
    </w:pPr>
    <w:rPr>
      <w:rFonts w:eastAsia="Times New Roman"/>
      <w:b/>
      <w:sz w:val="22"/>
      <w:lang w:val="en-US"/>
    </w:rPr>
  </w:style>
  <w:style w:type="paragraph" w:styleId="BodyText">
    <w:name w:val="Body Text"/>
    <w:basedOn w:val="Normal"/>
    <w:link w:val="BodyTextChar"/>
    <w:unhideWhenUsed/>
    <w:rsid w:val="006F75D5"/>
    <w:pPr>
      <w:spacing w:after="120"/>
    </w:pPr>
  </w:style>
  <w:style w:type="character" w:customStyle="1" w:styleId="BodyTextChar">
    <w:name w:val="Body Text Char"/>
    <w:basedOn w:val="DefaultParagraphFont"/>
    <w:link w:val="BodyText"/>
    <w:rsid w:val="006F75D5"/>
    <w:rPr>
      <w:sz w:val="24"/>
      <w:lang w:val="en-GB"/>
    </w:rPr>
  </w:style>
  <w:style w:type="character" w:styleId="Emphasis">
    <w:name w:val="Emphasis"/>
    <w:basedOn w:val="DefaultParagraphFont"/>
    <w:uiPriority w:val="20"/>
    <w:qFormat/>
    <w:rsid w:val="002B7F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9790">
      <w:bodyDiv w:val="1"/>
      <w:marLeft w:val="0"/>
      <w:marRight w:val="0"/>
      <w:marTop w:val="0"/>
      <w:marBottom w:val="0"/>
      <w:divBdr>
        <w:top w:val="none" w:sz="0" w:space="0" w:color="auto"/>
        <w:left w:val="none" w:sz="0" w:space="0" w:color="auto"/>
        <w:bottom w:val="none" w:sz="0" w:space="0" w:color="auto"/>
        <w:right w:val="none" w:sz="0" w:space="0" w:color="auto"/>
      </w:divBdr>
      <w:divsChild>
        <w:div w:id="2048988253">
          <w:marLeft w:val="0"/>
          <w:marRight w:val="0"/>
          <w:marTop w:val="0"/>
          <w:marBottom w:val="0"/>
          <w:divBdr>
            <w:top w:val="none" w:sz="0" w:space="0" w:color="auto"/>
            <w:left w:val="none" w:sz="0" w:space="0" w:color="auto"/>
            <w:bottom w:val="none" w:sz="0" w:space="0" w:color="auto"/>
            <w:right w:val="none" w:sz="0" w:space="0" w:color="auto"/>
          </w:divBdr>
        </w:div>
        <w:div w:id="1076630300">
          <w:marLeft w:val="0"/>
          <w:marRight w:val="0"/>
          <w:marTop w:val="0"/>
          <w:marBottom w:val="0"/>
          <w:divBdr>
            <w:top w:val="none" w:sz="0" w:space="0" w:color="auto"/>
            <w:left w:val="none" w:sz="0" w:space="0" w:color="auto"/>
            <w:bottom w:val="none" w:sz="0" w:space="0" w:color="auto"/>
            <w:right w:val="none" w:sz="0" w:space="0" w:color="auto"/>
          </w:divBdr>
        </w:div>
        <w:div w:id="590550892">
          <w:marLeft w:val="0"/>
          <w:marRight w:val="0"/>
          <w:marTop w:val="0"/>
          <w:marBottom w:val="0"/>
          <w:divBdr>
            <w:top w:val="none" w:sz="0" w:space="0" w:color="auto"/>
            <w:left w:val="none" w:sz="0" w:space="0" w:color="auto"/>
            <w:bottom w:val="none" w:sz="0" w:space="0" w:color="auto"/>
            <w:right w:val="none" w:sz="0" w:space="0" w:color="auto"/>
          </w:divBdr>
        </w:div>
        <w:div w:id="479277107">
          <w:marLeft w:val="0"/>
          <w:marRight w:val="0"/>
          <w:marTop w:val="0"/>
          <w:marBottom w:val="0"/>
          <w:divBdr>
            <w:top w:val="none" w:sz="0" w:space="0" w:color="auto"/>
            <w:left w:val="none" w:sz="0" w:space="0" w:color="auto"/>
            <w:bottom w:val="none" w:sz="0" w:space="0" w:color="auto"/>
            <w:right w:val="none" w:sz="0" w:space="0" w:color="auto"/>
          </w:divBdr>
        </w:div>
        <w:div w:id="440147776">
          <w:marLeft w:val="0"/>
          <w:marRight w:val="0"/>
          <w:marTop w:val="0"/>
          <w:marBottom w:val="0"/>
          <w:divBdr>
            <w:top w:val="none" w:sz="0" w:space="0" w:color="auto"/>
            <w:left w:val="none" w:sz="0" w:space="0" w:color="auto"/>
            <w:bottom w:val="none" w:sz="0" w:space="0" w:color="auto"/>
            <w:right w:val="none" w:sz="0" w:space="0" w:color="auto"/>
          </w:divBdr>
        </w:div>
        <w:div w:id="1828546271">
          <w:marLeft w:val="0"/>
          <w:marRight w:val="0"/>
          <w:marTop w:val="0"/>
          <w:marBottom w:val="0"/>
          <w:divBdr>
            <w:top w:val="none" w:sz="0" w:space="0" w:color="auto"/>
            <w:left w:val="none" w:sz="0" w:space="0" w:color="auto"/>
            <w:bottom w:val="none" w:sz="0" w:space="0" w:color="auto"/>
            <w:right w:val="none" w:sz="0" w:space="0" w:color="auto"/>
          </w:divBdr>
        </w:div>
        <w:div w:id="224148084">
          <w:marLeft w:val="0"/>
          <w:marRight w:val="0"/>
          <w:marTop w:val="0"/>
          <w:marBottom w:val="0"/>
          <w:divBdr>
            <w:top w:val="none" w:sz="0" w:space="0" w:color="auto"/>
            <w:left w:val="none" w:sz="0" w:space="0" w:color="auto"/>
            <w:bottom w:val="none" w:sz="0" w:space="0" w:color="auto"/>
            <w:right w:val="none" w:sz="0" w:space="0" w:color="auto"/>
          </w:divBdr>
        </w:div>
      </w:divsChild>
    </w:div>
    <w:div w:id="76488148">
      <w:bodyDiv w:val="1"/>
      <w:marLeft w:val="0"/>
      <w:marRight w:val="0"/>
      <w:marTop w:val="0"/>
      <w:marBottom w:val="0"/>
      <w:divBdr>
        <w:top w:val="none" w:sz="0" w:space="0" w:color="auto"/>
        <w:left w:val="none" w:sz="0" w:space="0" w:color="auto"/>
        <w:bottom w:val="none" w:sz="0" w:space="0" w:color="auto"/>
        <w:right w:val="none" w:sz="0" w:space="0" w:color="auto"/>
      </w:divBdr>
    </w:div>
    <w:div w:id="124353304">
      <w:bodyDiv w:val="1"/>
      <w:marLeft w:val="0"/>
      <w:marRight w:val="0"/>
      <w:marTop w:val="0"/>
      <w:marBottom w:val="0"/>
      <w:divBdr>
        <w:top w:val="none" w:sz="0" w:space="0" w:color="auto"/>
        <w:left w:val="none" w:sz="0" w:space="0" w:color="auto"/>
        <w:bottom w:val="none" w:sz="0" w:space="0" w:color="auto"/>
        <w:right w:val="none" w:sz="0" w:space="0" w:color="auto"/>
      </w:divBdr>
    </w:div>
    <w:div w:id="308561200">
      <w:bodyDiv w:val="1"/>
      <w:marLeft w:val="0"/>
      <w:marRight w:val="0"/>
      <w:marTop w:val="0"/>
      <w:marBottom w:val="0"/>
      <w:divBdr>
        <w:top w:val="none" w:sz="0" w:space="0" w:color="auto"/>
        <w:left w:val="none" w:sz="0" w:space="0" w:color="auto"/>
        <w:bottom w:val="none" w:sz="0" w:space="0" w:color="auto"/>
        <w:right w:val="none" w:sz="0" w:space="0" w:color="auto"/>
      </w:divBdr>
      <w:divsChild>
        <w:div w:id="1333796083">
          <w:marLeft w:val="1800"/>
          <w:marRight w:val="0"/>
          <w:marTop w:val="100"/>
          <w:marBottom w:val="0"/>
          <w:divBdr>
            <w:top w:val="none" w:sz="0" w:space="0" w:color="auto"/>
            <w:left w:val="none" w:sz="0" w:space="0" w:color="auto"/>
            <w:bottom w:val="none" w:sz="0" w:space="0" w:color="auto"/>
            <w:right w:val="none" w:sz="0" w:space="0" w:color="auto"/>
          </w:divBdr>
        </w:div>
        <w:div w:id="1162769046">
          <w:marLeft w:val="1800"/>
          <w:marRight w:val="0"/>
          <w:marTop w:val="100"/>
          <w:marBottom w:val="0"/>
          <w:divBdr>
            <w:top w:val="none" w:sz="0" w:space="0" w:color="auto"/>
            <w:left w:val="none" w:sz="0" w:space="0" w:color="auto"/>
            <w:bottom w:val="none" w:sz="0" w:space="0" w:color="auto"/>
            <w:right w:val="none" w:sz="0" w:space="0" w:color="auto"/>
          </w:divBdr>
        </w:div>
      </w:divsChild>
    </w:div>
    <w:div w:id="436870655">
      <w:bodyDiv w:val="1"/>
      <w:marLeft w:val="0"/>
      <w:marRight w:val="0"/>
      <w:marTop w:val="0"/>
      <w:marBottom w:val="0"/>
      <w:divBdr>
        <w:top w:val="none" w:sz="0" w:space="0" w:color="auto"/>
        <w:left w:val="none" w:sz="0" w:space="0" w:color="auto"/>
        <w:bottom w:val="none" w:sz="0" w:space="0" w:color="auto"/>
        <w:right w:val="none" w:sz="0" w:space="0" w:color="auto"/>
      </w:divBdr>
    </w:div>
    <w:div w:id="1371492040">
      <w:bodyDiv w:val="1"/>
      <w:marLeft w:val="0"/>
      <w:marRight w:val="0"/>
      <w:marTop w:val="0"/>
      <w:marBottom w:val="0"/>
      <w:divBdr>
        <w:top w:val="none" w:sz="0" w:space="0" w:color="auto"/>
        <w:left w:val="none" w:sz="0" w:space="0" w:color="auto"/>
        <w:bottom w:val="none" w:sz="0" w:space="0" w:color="auto"/>
        <w:right w:val="none" w:sz="0" w:space="0" w:color="auto"/>
      </w:divBdr>
    </w:div>
    <w:div w:id="1379083600">
      <w:bodyDiv w:val="1"/>
      <w:marLeft w:val="0"/>
      <w:marRight w:val="0"/>
      <w:marTop w:val="0"/>
      <w:marBottom w:val="0"/>
      <w:divBdr>
        <w:top w:val="none" w:sz="0" w:space="0" w:color="auto"/>
        <w:left w:val="none" w:sz="0" w:space="0" w:color="auto"/>
        <w:bottom w:val="none" w:sz="0" w:space="0" w:color="auto"/>
        <w:right w:val="none" w:sz="0" w:space="0" w:color="auto"/>
      </w:divBdr>
    </w:div>
    <w:div w:id="139874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vsdx"/><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c.europa.eu/jrc/en" TargetMode="External"/><Relationship Id="rId5" Type="http://schemas.openxmlformats.org/officeDocument/2006/relationships/numbering" Target="numbering.xml"/><Relationship Id="rId15" Type="http://schemas.openxmlformats.org/officeDocument/2006/relationships/package" Target="embeddings/Microsoft_Visio_Drawing1.vsdx"/><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ource xmlns="2bbcbfee-ef75-4640-bf1f-c9ccc1b0a93b" xsi:nil="true"/>
    <Meeting_x0020_type xmlns="2bbcbfee-ef75-4640-bf1f-c9ccc1b0a93b" xsi:nil="true"/>
    <Meeting_x0020_date xmlns="2bbcbfee-ef75-4640-bf1f-c9ccc1b0a93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E4C52D97D38247955F09C9658D48E2" ma:contentTypeVersion="4" ma:contentTypeDescription="Create a new document." ma:contentTypeScope="" ma:versionID="5992affca28afbc6804d412df4ba4075">
  <xsd:schema xmlns:xsd="http://www.w3.org/2001/XMLSchema" xmlns:xs="http://www.w3.org/2001/XMLSchema" xmlns:p="http://schemas.microsoft.com/office/2006/metadata/properties" xmlns:ns2="2bbcbfee-ef75-4640-bf1f-c9ccc1b0a93b" xmlns:ns3="64d8393d-0026-4b35-9d5b-d6bda7539b41" targetNamespace="http://schemas.microsoft.com/office/2006/metadata/properties" ma:root="true" ma:fieldsID="a07f6251db65fc718fc4f01f5ce6d944" ns2:_="" ns3:_="">
    <xsd:import namespace="2bbcbfee-ef75-4640-bf1f-c9ccc1b0a93b"/>
    <xsd:import namespace="64d8393d-0026-4b35-9d5b-d6bda7539b41"/>
    <xsd:element name="properties">
      <xsd:complexType>
        <xsd:sequence>
          <xsd:element name="documentManagement">
            <xsd:complexType>
              <xsd:all>
                <xsd:element ref="ns2:Meeting_x0020_date" minOccurs="0"/>
                <xsd:element ref="ns2:Source" minOccurs="0"/>
                <xsd:element ref="ns2:Meeting_x0020_type"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bcbfee-ef75-4640-bf1f-c9ccc1b0a93b" elementFormDefault="qualified">
    <xsd:import namespace="http://schemas.microsoft.com/office/2006/documentManagement/types"/>
    <xsd:import namespace="http://schemas.microsoft.com/office/infopath/2007/PartnerControls"/>
    <xsd:element name="Meeting_x0020_date" ma:index="8" nillable="true" ma:displayName="Meeting date" ma:description="Date of the meeting." ma:format="DateOnly" ma:internalName="Meeting_x0020_date">
      <xsd:simpleType>
        <xsd:restriction base="dms:DateTime"/>
      </xsd:simpleType>
    </xsd:element>
    <xsd:element name="Source" ma:index="9" nillable="true" ma:displayName="Source" ma:description="Submitter's organization or company." ma:internalName="Source">
      <xsd:simpleType>
        <xsd:restriction base="dms:Text">
          <xsd:maxLength value="255"/>
        </xsd:restriction>
      </xsd:simpleType>
    </xsd:element>
    <xsd:element name="Meeting_x0020_type" ma:index="10" nillable="true" ma:displayName="Meeting type" ma:description="Type of meeting." ma:format="Dropdown" ma:internalName="Meeting_x0020_type">
      <xsd:simpleType>
        <xsd:restriction base="dms:Choice">
          <xsd:enumeration value="Conference call"/>
          <xsd:enumeration value="Face to face"/>
        </xsd:restriction>
      </xsd:simpleType>
    </xsd:element>
  </xsd:schema>
  <xsd:schema xmlns:xsd="http://www.w3.org/2001/XMLSchema" xmlns:xs="http://www.w3.org/2001/XMLSchema" xmlns:dms="http://schemas.microsoft.com/office/2006/documentManagement/types" xmlns:pc="http://schemas.microsoft.com/office/infopath/2007/PartnerControls" targetNamespace="64d8393d-0026-4b35-9d5b-d6bda7539b41"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8DCC5-25E0-4E05-B100-C8CDE4FDE6E5}">
  <ds:schemaRefs>
    <ds:schemaRef ds:uri="http://schemas.microsoft.com/office/2006/metadata/properties"/>
    <ds:schemaRef ds:uri="http://schemas.microsoft.com/office/infopath/2007/PartnerControls"/>
    <ds:schemaRef ds:uri="2bbcbfee-ef75-4640-bf1f-c9ccc1b0a93b"/>
  </ds:schemaRefs>
</ds:datastoreItem>
</file>

<file path=customXml/itemProps2.xml><?xml version="1.0" encoding="utf-8"?>
<ds:datastoreItem xmlns:ds="http://schemas.openxmlformats.org/officeDocument/2006/customXml" ds:itemID="{E2841ED0-0032-4026-91F7-12496C5070F7}">
  <ds:schemaRefs>
    <ds:schemaRef ds:uri="http://schemas.microsoft.com/sharepoint/v3/contenttype/forms"/>
  </ds:schemaRefs>
</ds:datastoreItem>
</file>

<file path=customXml/itemProps3.xml><?xml version="1.0" encoding="utf-8"?>
<ds:datastoreItem xmlns:ds="http://schemas.openxmlformats.org/officeDocument/2006/customXml" ds:itemID="{CFC76F07-27AE-4156-B242-C4D883E418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bcbfee-ef75-4640-bf1f-c9ccc1b0a93b"/>
    <ds:schemaRef ds:uri="64d8393d-0026-4b35-9d5b-d6bda7539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863F08-522C-4A55-9892-657085403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1696</Words>
  <Characters>9670</Characters>
  <Application>Microsoft Office Word</Application>
  <DocSecurity>0</DocSecurity>
  <Lines>80</Lines>
  <Paragraphs>22</Paragraphs>
  <ScaleCrop>false</ScaleCrop>
  <HeadingPairs>
    <vt:vector size="6" baseType="variant">
      <vt:variant>
        <vt:lpstr>Title</vt:lpstr>
      </vt:variant>
      <vt:variant>
        <vt:i4>1</vt:i4>
      </vt:variant>
      <vt:variant>
        <vt:lpstr>Titre</vt:lpstr>
      </vt:variant>
      <vt:variant>
        <vt:i4>1</vt:i4>
      </vt:variant>
      <vt:variant>
        <vt:lpstr>Название</vt:lpstr>
      </vt:variant>
      <vt:variant>
        <vt:i4>1</vt:i4>
      </vt:variant>
    </vt:vector>
  </HeadingPairs>
  <TitlesOfParts>
    <vt:vector size="3" baseType="lpstr">
      <vt:lpstr>Draft of the Working group 2 Template for Use cases Information Collected</vt:lpstr>
      <vt:lpstr>Draft of the Working group 2 Application &amp; Services Plan</vt:lpstr>
      <vt:lpstr>Draft of the Working group 2 Application &amp; Services Plan</vt:lpstr>
    </vt:vector>
  </TitlesOfParts>
  <Manager>ITU-T</Manager>
  <Company>International Telecommunication Union (ITU)</Company>
  <LinksUpToDate>false</LinksUpToDate>
  <CharactersWithSpaces>11344</CharactersWithSpaces>
  <SharedDoc>false</SharedDoc>
  <HLinks>
    <vt:vector size="12" baseType="variant">
      <vt:variant>
        <vt:i4>4653110</vt:i4>
      </vt:variant>
      <vt:variant>
        <vt:i4>3</vt:i4>
      </vt:variant>
      <vt:variant>
        <vt:i4>0</vt:i4>
      </vt:variant>
      <vt:variant>
        <vt:i4>5</vt:i4>
      </vt:variant>
      <vt:variant>
        <vt:lpwstr>mailto:gmlee@kaist.ac.kr</vt:lpwstr>
      </vt:variant>
      <vt:variant>
        <vt:lpwstr/>
      </vt:variant>
      <vt:variant>
        <vt:i4>458780</vt:i4>
      </vt:variant>
      <vt:variant>
        <vt:i4>0</vt:i4>
      </vt:variant>
      <vt:variant>
        <vt:i4>0</vt:i4>
      </vt:variant>
      <vt:variant>
        <vt:i4>5</vt:i4>
      </vt:variant>
      <vt:variant>
        <vt:lpwstr>http://handle.itu.int/11.1002/ls/sp16-sg20-oLS-00061.zip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of the Working group 2 Template for Use cases Information Collected</dc:title>
  <dc:creator>Билык Татьяна Александровна</dc:creator>
  <cp:keywords>Distributed Ledger Technologies; Use Case</cp:keywords>
  <dc:description>DLT-I-010.docx  For: _x000d_Document date: _x000d_Saved by ITU51011775 at 14:08:19 on 03/10/2017</dc:description>
  <cp:lastModifiedBy>Makamara, Gillian</cp:lastModifiedBy>
  <cp:revision>21</cp:revision>
  <cp:lastPrinted>2017-11-13T11:37:00Z</cp:lastPrinted>
  <dcterms:created xsi:type="dcterms:W3CDTF">2018-10-12T07:41:00Z</dcterms:created>
  <dcterms:modified xsi:type="dcterms:W3CDTF">2019-07-30T15:11:00Z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DLT-I-010.docx</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y fmtid="{D5CDD505-2E9C-101B-9397-08002B2CF9AE}" pid="8" name="ContentTypeId">
    <vt:lpwstr>0x01010069E4C52D97D38247955F09C9658D48E2</vt:lpwstr>
  </property>
</Properties>
</file>