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C63" w:rsidRPr="00A41C63" w:rsidRDefault="00A41C63" w:rsidP="00A41C63">
      <w:pPr>
        <w:overflowPunct w:val="0"/>
        <w:autoSpaceDE w:val="0"/>
        <w:autoSpaceDN w:val="0"/>
        <w:adjustRightInd w:val="0"/>
        <w:jc w:val="center"/>
        <w:rPr>
          <w:b/>
          <w:sz w:val="32"/>
          <w:szCs w:val="24"/>
        </w:rPr>
      </w:pPr>
      <w:r w:rsidRPr="00A41C63">
        <w:rPr>
          <w:b/>
          <w:sz w:val="32"/>
          <w:szCs w:val="24"/>
        </w:rPr>
        <w:t>Emoney Token Standard</w:t>
      </w:r>
    </w:p>
    <w:p w:rsidR="00811492" w:rsidRDefault="007D4CF9" w:rsidP="008B0B33">
      <w:pPr>
        <w:jc w:val="center"/>
        <w:outlineLvl w:val="0"/>
      </w:pPr>
      <w:r>
        <w:rPr>
          <w:b/>
          <w:szCs w:val="24"/>
          <w:u w:val="single"/>
          <w:lang w:val="en-US"/>
        </w:rPr>
        <w:t>Section 1: Summary</w:t>
      </w:r>
    </w:p>
    <w:tbl>
      <w:tblPr>
        <w:tblpPr w:leftFromText="180" w:rightFromText="180" w:vertAnchor="text" w:horzAnchor="margin" w:tblpY="147"/>
        <w:tblW w:w="893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0" w:type="dxa"/>
        </w:tblCellMar>
        <w:tblLook w:val="04A0" w:firstRow="1" w:lastRow="0" w:firstColumn="1" w:lastColumn="0" w:noHBand="0" w:noVBand="1"/>
      </w:tblPr>
      <w:tblGrid>
        <w:gridCol w:w="1675"/>
        <w:gridCol w:w="2653"/>
        <w:gridCol w:w="1947"/>
        <w:gridCol w:w="3104"/>
      </w:tblGrid>
      <w:tr w:rsidR="00811492" w:rsidTr="006564DB">
        <w:trPr>
          <w:trHeight w:val="146"/>
        </w:trPr>
        <w:tc>
          <w:tcPr>
            <w:tcW w:w="8934" w:type="dxa"/>
            <w:gridSpan w:val="4"/>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rPr>
                <w:sz w:val="24"/>
                <w:szCs w:val="24"/>
              </w:rPr>
            </w:pPr>
            <w:r>
              <w:rPr>
                <w:sz w:val="24"/>
                <w:szCs w:val="24"/>
              </w:rPr>
              <w:t>Use Case Summary</w:t>
            </w:r>
          </w:p>
        </w:tc>
      </w:tr>
      <w:tr w:rsidR="00811492" w:rsidTr="006564DB">
        <w:trPr>
          <w:trHeight w:val="146"/>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Use Case ID:</w:t>
            </w:r>
          </w:p>
        </w:tc>
        <w:tc>
          <w:tcPr>
            <w:tcW w:w="274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F56605">
            <w:pPr>
              <w:pStyle w:val="BodyText"/>
              <w:rPr>
                <w:szCs w:val="24"/>
                <w:lang w:val="en-US"/>
              </w:rPr>
            </w:pPr>
            <w:r>
              <w:rPr>
                <w:rFonts w:eastAsia="Malgun Gothic"/>
                <w:szCs w:val="24"/>
                <w:lang w:val="en-US" w:eastAsia="ko-KR"/>
              </w:rPr>
              <w:t>FIN-008</w:t>
            </w:r>
          </w:p>
        </w:tc>
        <w:tc>
          <w:tcPr>
            <w:tcW w:w="1780"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Use Case Type:</w:t>
            </w:r>
          </w:p>
        </w:tc>
        <w:tc>
          <w:tcPr>
            <w:tcW w:w="312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D70004">
            <w:pPr>
              <w:pStyle w:val="FigureTitle"/>
              <w:keepLines w:val="0"/>
              <w:spacing w:before="0" w:after="0"/>
              <w:jc w:val="left"/>
              <w:rPr>
                <w:b w:val="0"/>
                <w:i/>
                <w:sz w:val="24"/>
                <w:szCs w:val="24"/>
              </w:rPr>
            </w:pPr>
            <w:r>
              <w:rPr>
                <w:b w:val="0"/>
                <w:i/>
                <w:sz w:val="24"/>
                <w:szCs w:val="24"/>
              </w:rPr>
              <w:t>Vertical</w:t>
            </w:r>
          </w:p>
        </w:tc>
      </w:tr>
      <w:tr w:rsidR="00811492" w:rsidTr="006564DB">
        <w:trPr>
          <w:trHeight w:val="146"/>
        </w:trPr>
        <w:tc>
          <w:tcPr>
            <w:tcW w:w="1282"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100" w:type="dxa"/>
            </w:tcMar>
          </w:tcPr>
          <w:p w:rsidR="00811492" w:rsidRDefault="007D4CF9">
            <w:pPr>
              <w:pStyle w:val="FigureTitle"/>
              <w:keepLines w:val="0"/>
              <w:tabs>
                <w:tab w:val="left" w:pos="1944"/>
              </w:tabs>
              <w:spacing w:before="0" w:after="0"/>
              <w:jc w:val="left"/>
              <w:rPr>
                <w:sz w:val="24"/>
                <w:szCs w:val="24"/>
              </w:rPr>
            </w:pPr>
            <w:r>
              <w:rPr>
                <w:sz w:val="24"/>
                <w:szCs w:val="24"/>
              </w:rPr>
              <w:t>Submission Date:</w:t>
            </w:r>
            <w:r>
              <w:rPr>
                <w:sz w:val="24"/>
                <w:szCs w:val="24"/>
              </w:rPr>
              <w:tab/>
            </w:r>
          </w:p>
        </w:tc>
        <w:tc>
          <w:tcPr>
            <w:tcW w:w="274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Pr="008B0B33" w:rsidRDefault="008B0B33" w:rsidP="008B0B33">
            <w:pPr>
              <w:pStyle w:val="FigureTitle"/>
              <w:keepLines w:val="0"/>
              <w:tabs>
                <w:tab w:val="left" w:pos="1944"/>
              </w:tabs>
              <w:spacing w:before="0" w:after="0"/>
              <w:jc w:val="left"/>
              <w:rPr>
                <w:b w:val="0"/>
                <w:sz w:val="24"/>
                <w:szCs w:val="24"/>
              </w:rPr>
            </w:pPr>
            <w:r w:rsidRPr="008B0B33">
              <w:rPr>
                <w:b w:val="0"/>
                <w:sz w:val="24"/>
                <w:szCs w:val="24"/>
              </w:rPr>
              <w:t xml:space="preserve">July 19, </w:t>
            </w:r>
            <w:r w:rsidR="007D4CF9" w:rsidRPr="008B0B33">
              <w:rPr>
                <w:b w:val="0"/>
                <w:sz w:val="24"/>
                <w:szCs w:val="24"/>
              </w:rPr>
              <w:t>20</w:t>
            </w:r>
            <w:bookmarkStart w:id="0" w:name="_GoBack"/>
            <w:bookmarkEnd w:id="0"/>
            <w:r w:rsidR="007D4CF9" w:rsidRPr="008B0B33">
              <w:rPr>
                <w:b w:val="0"/>
                <w:sz w:val="24"/>
                <w:szCs w:val="24"/>
              </w:rPr>
              <w:t>19</w:t>
            </w:r>
          </w:p>
        </w:tc>
        <w:tc>
          <w:tcPr>
            <w:tcW w:w="1780"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Is Use Case supporting SDGs</w:t>
            </w:r>
          </w:p>
        </w:tc>
        <w:tc>
          <w:tcPr>
            <w:tcW w:w="312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FigureTitle"/>
              <w:keepLines w:val="0"/>
              <w:spacing w:before="0" w:after="0"/>
              <w:jc w:val="left"/>
              <w:rPr>
                <w:b w:val="0"/>
                <w:i/>
                <w:sz w:val="24"/>
                <w:szCs w:val="24"/>
              </w:rPr>
            </w:pPr>
            <w:r>
              <w:rPr>
                <w:b w:val="0"/>
                <w:i/>
                <w:sz w:val="24"/>
                <w:szCs w:val="24"/>
              </w:rPr>
              <w:t>Yes</w:t>
            </w:r>
          </w:p>
        </w:tc>
      </w:tr>
      <w:tr w:rsidR="00811492" w:rsidTr="006564DB">
        <w:trPr>
          <w:trHeight w:val="146"/>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Use Case Title:</w:t>
            </w:r>
          </w:p>
        </w:tc>
        <w:tc>
          <w:tcPr>
            <w:tcW w:w="274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BodyText"/>
              <w:rPr>
                <w:szCs w:val="24"/>
                <w:lang w:val="en-US"/>
              </w:rPr>
            </w:pPr>
            <w:r>
              <w:rPr>
                <w:szCs w:val="24"/>
                <w:lang w:val="en-US"/>
              </w:rPr>
              <w:t>Emoney Token Standard</w:t>
            </w:r>
          </w:p>
        </w:tc>
        <w:tc>
          <w:tcPr>
            <w:tcW w:w="1780"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Domain:</w:t>
            </w:r>
          </w:p>
        </w:tc>
        <w:tc>
          <w:tcPr>
            <w:tcW w:w="312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D70004">
            <w:pPr>
              <w:pStyle w:val="FigureTitle"/>
              <w:keepLines w:val="0"/>
              <w:spacing w:before="0" w:after="0"/>
              <w:jc w:val="left"/>
              <w:rPr>
                <w:b w:val="0"/>
                <w:i/>
                <w:sz w:val="24"/>
                <w:szCs w:val="24"/>
              </w:rPr>
            </w:pPr>
            <w:r>
              <w:rPr>
                <w:b w:val="0"/>
                <w:i/>
                <w:sz w:val="24"/>
                <w:szCs w:val="24"/>
              </w:rPr>
              <w:t>1</w:t>
            </w:r>
          </w:p>
        </w:tc>
      </w:tr>
      <w:tr w:rsidR="00811492" w:rsidTr="006564DB">
        <w:trPr>
          <w:trHeight w:val="146"/>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Status of Case</w:t>
            </w:r>
          </w:p>
        </w:tc>
        <w:tc>
          <w:tcPr>
            <w:tcW w:w="274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674607">
            <w:pPr>
              <w:pStyle w:val="FigureTitle"/>
              <w:keepLines w:val="0"/>
              <w:spacing w:before="0" w:after="0"/>
              <w:jc w:val="left"/>
              <w:rPr>
                <w:i/>
                <w:iCs/>
                <w:sz w:val="24"/>
                <w:szCs w:val="24"/>
                <w:lang w:val="fr-CH"/>
              </w:rPr>
            </w:pPr>
            <w:r>
              <w:rPr>
                <w:b w:val="0"/>
                <w:i/>
                <w:color w:val="000000"/>
                <w:sz w:val="24"/>
                <w:szCs w:val="24"/>
                <w:lang w:val="fr-CH"/>
              </w:rPr>
              <w:t xml:space="preserve">In </w:t>
            </w:r>
            <w:r w:rsidR="007D4CF9">
              <w:rPr>
                <w:b w:val="0"/>
                <w:i/>
                <w:color w:val="000000"/>
                <w:sz w:val="24"/>
                <w:szCs w:val="24"/>
                <w:lang w:val="fr-CH"/>
              </w:rPr>
              <w:t>Production</w:t>
            </w:r>
            <w:r>
              <w:rPr>
                <w:b w:val="0"/>
                <w:i/>
                <w:color w:val="000000"/>
                <w:sz w:val="24"/>
                <w:szCs w:val="24"/>
                <w:lang w:val="fr-CH"/>
              </w:rPr>
              <w:t xml:space="preserve">, </w:t>
            </w:r>
            <w:r w:rsidR="007D4CF9">
              <w:rPr>
                <w:b w:val="0"/>
                <w:i/>
                <w:color w:val="000000"/>
                <w:sz w:val="24"/>
                <w:szCs w:val="24"/>
                <w:lang w:val="fr-CH"/>
              </w:rPr>
              <w:t>ready</w:t>
            </w:r>
            <w:r>
              <w:rPr>
                <w:b w:val="0"/>
                <w:i/>
                <w:color w:val="000000"/>
                <w:sz w:val="24"/>
                <w:szCs w:val="24"/>
                <w:lang w:val="fr-CH"/>
              </w:rPr>
              <w:t xml:space="preserve">. </w:t>
            </w:r>
          </w:p>
        </w:tc>
        <w:tc>
          <w:tcPr>
            <w:tcW w:w="1780"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Sub-Domain</w:t>
            </w:r>
          </w:p>
        </w:tc>
        <w:tc>
          <w:tcPr>
            <w:tcW w:w="312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D70004" w:rsidRDefault="00D70004" w:rsidP="00D70004">
            <w:pPr>
              <w:spacing w:line="276" w:lineRule="auto"/>
              <w:jc w:val="both"/>
            </w:pPr>
            <w:r w:rsidRPr="00D70004">
              <w:rPr>
                <w:b/>
                <w:i/>
                <w:szCs w:val="24"/>
              </w:rPr>
              <w:t>B-</w:t>
            </w:r>
            <w:r>
              <w:t xml:space="preserve"> International &amp; interbank payments </w:t>
            </w:r>
          </w:p>
          <w:p w:rsidR="00811492" w:rsidRDefault="00811492">
            <w:pPr>
              <w:pStyle w:val="FigureTitle"/>
              <w:keepLines w:val="0"/>
              <w:spacing w:before="0" w:after="0"/>
              <w:jc w:val="left"/>
              <w:rPr>
                <w:b w:val="0"/>
                <w:i/>
                <w:sz w:val="24"/>
                <w:szCs w:val="24"/>
              </w:rPr>
            </w:pPr>
          </w:p>
        </w:tc>
      </w:tr>
      <w:tr w:rsidR="00811492" w:rsidTr="006564DB">
        <w:trPr>
          <w:trHeight w:val="146"/>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color w:val="000000"/>
                <w:sz w:val="24"/>
                <w:szCs w:val="24"/>
                <w:lang w:val="en-GB"/>
              </w:rPr>
            </w:pPr>
            <w:r>
              <w:rPr>
                <w:color w:val="000000"/>
                <w:sz w:val="24"/>
                <w:szCs w:val="24"/>
                <w:lang w:val="en-GB"/>
              </w:rPr>
              <w:t>Contact information of person submitting/</w:t>
            </w:r>
          </w:p>
          <w:p w:rsidR="00811492" w:rsidRDefault="007D4CF9">
            <w:pPr>
              <w:pStyle w:val="FigureTitle"/>
              <w:keepLines w:val="0"/>
              <w:spacing w:before="0" w:after="0"/>
              <w:jc w:val="left"/>
              <w:rPr>
                <w:sz w:val="24"/>
                <w:szCs w:val="24"/>
              </w:rPr>
            </w:pPr>
            <w:r>
              <w:rPr>
                <w:color w:val="000000"/>
                <w:sz w:val="24"/>
                <w:szCs w:val="24"/>
                <w:lang w:val="en-GB"/>
              </w:rPr>
              <w:t>managing the use-case</w:t>
            </w:r>
          </w:p>
        </w:tc>
        <w:tc>
          <w:tcPr>
            <w:tcW w:w="7652" w:type="dxa"/>
            <w:gridSpan w:val="3"/>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FigureTitle"/>
              <w:keepLines w:val="0"/>
              <w:spacing w:before="0" w:after="0"/>
              <w:jc w:val="left"/>
              <w:rPr>
                <w:b w:val="0"/>
                <w:i/>
                <w:color w:val="000000"/>
                <w:sz w:val="24"/>
                <w:szCs w:val="24"/>
                <w:lang w:val="en-GB"/>
              </w:rPr>
            </w:pPr>
            <w:r>
              <w:rPr>
                <w:b w:val="0"/>
                <w:i/>
                <w:color w:val="000000"/>
                <w:sz w:val="24"/>
                <w:szCs w:val="24"/>
                <w:lang w:val="en-GB"/>
              </w:rPr>
              <w:t xml:space="preserve">Full Name: Ismael Arribas </w:t>
            </w:r>
          </w:p>
          <w:p w:rsidR="00811492" w:rsidRDefault="007D4CF9">
            <w:pPr>
              <w:pStyle w:val="FigureTitle"/>
              <w:keepLines w:val="0"/>
              <w:spacing w:before="0" w:after="0"/>
              <w:jc w:val="left"/>
            </w:pPr>
            <w:r>
              <w:rPr>
                <w:b w:val="0"/>
                <w:i/>
                <w:color w:val="000000"/>
                <w:sz w:val="24"/>
                <w:szCs w:val="24"/>
              </w:rPr>
              <w:t>Web site:</w:t>
            </w:r>
            <w:r>
              <w:rPr>
                <w:i/>
                <w:color w:val="000000"/>
                <w:sz w:val="24"/>
                <w:szCs w:val="24"/>
              </w:rPr>
              <w:t xml:space="preserve"> </w:t>
            </w:r>
            <w:hyperlink r:id="rId11">
              <w:r>
                <w:rPr>
                  <w:rStyle w:val="InternetLink"/>
                  <w:i/>
                  <w:color w:val="000000"/>
                  <w:sz w:val="24"/>
                  <w:szCs w:val="24"/>
                </w:rPr>
                <w:t>https://emoneytokenstandard.org/</w:t>
              </w:r>
            </w:hyperlink>
          </w:p>
          <w:p w:rsidR="00811492" w:rsidRDefault="00DA7321">
            <w:pPr>
              <w:pStyle w:val="FigureTitle"/>
              <w:keepLines w:val="0"/>
              <w:spacing w:before="0" w:after="0"/>
              <w:jc w:val="left"/>
              <w:rPr>
                <w:i/>
                <w:sz w:val="24"/>
                <w:szCs w:val="24"/>
              </w:rPr>
            </w:pPr>
            <w:hyperlink r:id="rId12" w:history="1">
              <w:r w:rsidR="0050462C" w:rsidRPr="00851052">
                <w:rPr>
                  <w:rStyle w:val="Hyperlink"/>
                  <w:i/>
                  <w:sz w:val="24"/>
                  <w:szCs w:val="24"/>
                </w:rPr>
                <w:t>standards@alastria.io</w:t>
              </w:r>
            </w:hyperlink>
            <w:r w:rsidR="0050462C">
              <w:rPr>
                <w:i/>
                <w:color w:val="000000"/>
                <w:sz w:val="24"/>
                <w:szCs w:val="24"/>
              </w:rPr>
              <w:t xml:space="preserve"> </w:t>
            </w:r>
            <w:r w:rsidR="007D4CF9">
              <w:rPr>
                <w:i/>
                <w:color w:val="000000"/>
                <w:sz w:val="24"/>
                <w:szCs w:val="24"/>
              </w:rPr>
              <w:t xml:space="preserve"> </w:t>
            </w:r>
          </w:p>
        </w:tc>
      </w:tr>
      <w:tr w:rsidR="00811492" w:rsidTr="006564DB">
        <w:trPr>
          <w:trHeight w:val="146"/>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color w:val="000000"/>
                <w:sz w:val="24"/>
                <w:szCs w:val="24"/>
                <w:lang w:val="en-GB"/>
              </w:rPr>
              <w:t>Proposing Organization</w:t>
            </w:r>
          </w:p>
        </w:tc>
        <w:tc>
          <w:tcPr>
            <w:tcW w:w="7652" w:type="dxa"/>
            <w:gridSpan w:val="3"/>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BodyText"/>
            </w:pPr>
            <w:r>
              <w:rPr>
                <w:b/>
                <w:lang w:val="en-US"/>
              </w:rPr>
              <w:t>Iobuilders  (</w:t>
            </w:r>
            <w:r>
              <w:rPr>
                <w:lang w:val="en-US"/>
              </w:rPr>
              <w:t xml:space="preserve">Kingdom of Spain). </w:t>
            </w:r>
          </w:p>
          <w:p w:rsidR="00811492" w:rsidRDefault="007D4CF9">
            <w:pPr>
              <w:pStyle w:val="FigureTitle"/>
              <w:keepLines w:val="0"/>
              <w:spacing w:before="0" w:after="0"/>
              <w:jc w:val="left"/>
              <w:rPr>
                <w:b w:val="0"/>
                <w:sz w:val="24"/>
                <w:szCs w:val="24"/>
              </w:rPr>
            </w:pPr>
            <w:r>
              <w:rPr>
                <w:rFonts w:eastAsia="Malgun Gothic"/>
                <w:b w:val="0"/>
                <w:color w:val="24292E"/>
                <w:sz w:val="24"/>
                <w:szCs w:val="24"/>
                <w:lang w:eastAsia="ko-KR"/>
              </w:rPr>
              <w:t>B-88104054</w:t>
            </w:r>
          </w:p>
        </w:tc>
      </w:tr>
      <w:tr w:rsidR="00811492" w:rsidTr="006564DB">
        <w:trPr>
          <w:trHeight w:val="146"/>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color w:val="000000"/>
                <w:sz w:val="24"/>
                <w:szCs w:val="24"/>
                <w:lang w:val="en-GB"/>
              </w:rPr>
              <w:t>Short Description</w:t>
            </w:r>
          </w:p>
        </w:tc>
        <w:tc>
          <w:tcPr>
            <w:tcW w:w="7652" w:type="dxa"/>
            <w:gridSpan w:val="3"/>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FigureTitle"/>
              <w:keepLines w:val="0"/>
              <w:spacing w:before="0" w:after="0"/>
              <w:jc w:val="left"/>
              <w:rPr>
                <w:b w:val="0"/>
                <w:sz w:val="24"/>
                <w:szCs w:val="24"/>
              </w:rPr>
            </w:pPr>
            <w:r>
              <w:rPr>
                <w:rFonts w:eastAsia="Malgun Gothic"/>
                <w:b w:val="0"/>
                <w:color w:val="555555"/>
                <w:sz w:val="24"/>
                <w:szCs w:val="24"/>
                <w:lang w:eastAsia="ko-KR"/>
              </w:rPr>
              <w:t>A proposed standard for e-money, bank and central bank money issued tokens</w:t>
            </w:r>
          </w:p>
        </w:tc>
      </w:tr>
      <w:tr w:rsidR="00811492" w:rsidTr="006564DB">
        <w:trPr>
          <w:trHeight w:val="146"/>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color w:val="000000"/>
                <w:sz w:val="24"/>
                <w:szCs w:val="24"/>
                <w:lang w:val="en-GB"/>
              </w:rPr>
              <w:t>Long description</w:t>
            </w:r>
          </w:p>
        </w:tc>
        <w:tc>
          <w:tcPr>
            <w:tcW w:w="7652" w:type="dxa"/>
            <w:gridSpan w:val="3"/>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BodyText"/>
              <w:rPr>
                <w:rFonts w:eastAsia="Malgun Gothic"/>
                <w:color w:val="24292E"/>
                <w:szCs w:val="24"/>
                <w:lang w:val="en-US" w:eastAsia="ko-KR"/>
              </w:rPr>
            </w:pPr>
            <w:r>
              <w:rPr>
                <w:rFonts w:eastAsia="Malgun Gothic"/>
                <w:color w:val="24292E"/>
                <w:szCs w:val="24"/>
                <w:lang w:val="en-US" w:eastAsia="ko-KR"/>
              </w:rP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rsidR="00811492" w:rsidRDefault="007D4CF9">
            <w:pPr>
              <w:pStyle w:val="BodyText"/>
            </w:pPr>
            <w:r>
              <w:rPr>
                <w:rFonts w:eastAsia="Malgun Gothic"/>
                <w:color w:val="24292E"/>
                <w:szCs w:val="24"/>
                <w:lang w:val="en-US" w:eastAsia="ko-KR"/>
              </w:rPr>
              <w:t>here are only a number of potential regulatory license frameworks that allow institutions to issue and hold money balances for customers (be it retail corporate or institutional types). The most important and practical ones are three:</w:t>
            </w:r>
          </w:p>
          <w:p w:rsidR="00811492" w:rsidRDefault="007D4CF9">
            <w:pPr>
              <w:pStyle w:val="BodyText"/>
            </w:pPr>
            <w:r>
              <w:rPr>
                <w:rFonts w:eastAsia="Malgun Gothic"/>
                <w:color w:val="24292E"/>
                <w:szCs w:val="24"/>
                <w:lang w:val="en-US" w:eastAsia="ko-KR"/>
              </w:rPr>
              <w:br/>
              <w:t xml:space="preserve">Electronic money entities: these are legally regulated vehicles that are mostly used today for cash and payments services, instead of more complex financial services. For example prepaid cards or online payment systems such as PayPal run on such schemes. In most jurisdictions, electronic money balances are required to be 100% backed by assets, which often entails holding cash on an omnibus account at a bank with 100% of the funds issued to clients in the electronic money ledger </w:t>
            </w:r>
          </w:p>
          <w:p w:rsidR="00811492" w:rsidRDefault="00811492">
            <w:pPr>
              <w:pStyle w:val="BodyText"/>
              <w:rPr>
                <w:rFonts w:eastAsia="Malgun Gothic"/>
                <w:color w:val="24292E"/>
                <w:szCs w:val="24"/>
                <w:lang w:val="en-US" w:eastAsia="ko-KR"/>
              </w:rPr>
            </w:pPr>
          </w:p>
          <w:p w:rsidR="00811492" w:rsidRDefault="007D4CF9">
            <w:pPr>
              <w:pStyle w:val="BodyText"/>
            </w:pPr>
            <w:r>
              <w:rPr>
                <w:rFonts w:eastAsia="Malgun Gothic"/>
                <w:color w:val="24292E"/>
                <w:szCs w:val="24"/>
                <w:lang w:val="en-US" w:eastAsia="ko-KR"/>
              </w:rPr>
              <w:t xml:space="preserve">Banking licenses: these include commercial and investment banks, which segregate client funds using current and other type of accounts implemented on core banking systems. Banks can create money by lending to clients, so bank money can be backed by promises to pay and other illiquid assets </w:t>
            </w:r>
          </w:p>
          <w:p w:rsidR="00811492" w:rsidRDefault="007D4CF9">
            <w:pPr>
              <w:pStyle w:val="BodyText"/>
            </w:pPr>
            <w:r>
              <w:rPr>
                <w:rFonts w:eastAsia="Malgun Gothic"/>
                <w:color w:val="24292E"/>
                <w:szCs w:val="24"/>
                <w:lang w:val="en-US" w:eastAsia="ko-KR"/>
              </w:rPr>
              <w:t>Central banks: central banks hold balances for banks in RTGS systems, similar to core banking systems but with much more restricted yet critical functionality. Central banks create money by lending it to banks, which pledge their assets to central banks as a lender of last resort for an official interest rate</w:t>
            </w:r>
          </w:p>
          <w:p w:rsidR="00811492" w:rsidRDefault="007D4CF9">
            <w:pPr>
              <w:pStyle w:val="BodyText"/>
            </w:pPr>
            <w:r>
              <w:rPr>
                <w:rFonts w:eastAsia="Malgun Gothic"/>
                <w:color w:val="24292E"/>
                <w:szCs w:val="24"/>
                <w:lang w:val="en-US" w:eastAsia="ko-KR"/>
              </w:rPr>
              <w:br/>
              <w:t>Regulations for all these types of electronic money are local, i.e. only valid for each jurisdiction and not valid in others. And regulations can vary dramatically in different jurisdictions - for example there are places with no electronic money frameworks, on everything has to be done through banking licenses or directly with a central bank. But in all cases compliance with existing regulation needs to ensured, in particular:</w:t>
            </w:r>
          </w:p>
          <w:p w:rsidR="00811492" w:rsidRDefault="00811492">
            <w:pPr>
              <w:pStyle w:val="BodyText"/>
              <w:rPr>
                <w:rFonts w:eastAsia="Malgun Gothic"/>
                <w:color w:val="24292E"/>
                <w:szCs w:val="24"/>
                <w:lang w:val="en-US" w:eastAsia="ko-KR"/>
              </w:rPr>
            </w:pPr>
          </w:p>
          <w:p w:rsidR="00811492" w:rsidRDefault="007D4CF9">
            <w:pPr>
              <w:pStyle w:val="BodyText"/>
            </w:pPr>
            <w:r>
              <w:rPr>
                <w:rFonts w:eastAsia="Malgun Gothic"/>
                <w:color w:val="24292E"/>
                <w:szCs w:val="24"/>
                <w:lang w:val="en-US" w:eastAsia="ko-KR"/>
              </w:rPr>
              <w:t>Know Your Customer (KYC): the institution needs to identify the client before providing them with the possibility of depositing money or transact. In different jurisdictions and for different types of licenses there are different levels of balance and activity that can be allowed for different levels of KYC. For example, low KYC requirements with little checks or even no checks at all can usually be acceptable in many jurisdictions if cashin balances are kept low (i.e. hundreds of dollars)</w:t>
            </w:r>
          </w:p>
          <w:p w:rsidR="00811492" w:rsidRDefault="007D4CF9">
            <w:pPr>
              <w:pStyle w:val="BodyText"/>
            </w:pPr>
            <w:r>
              <w:rPr>
                <w:rFonts w:eastAsia="Malgun Gothic"/>
                <w:color w:val="24292E"/>
                <w:szCs w:val="24"/>
                <w:lang w:val="en-US" w:eastAsia="ko-KR"/>
              </w:rPr>
              <w:t>Anti Money Laundering (AML): the institution needs to perform checks of parties transacting with its clients, typically checking against black lists and doing sanction screening, most notably in the context of international transactions</w:t>
            </w:r>
            <w:r>
              <w:rPr>
                <w:rFonts w:eastAsia="Malgun Gothic"/>
                <w:color w:val="24292E"/>
                <w:szCs w:val="24"/>
                <w:lang w:val="en-US" w:eastAsia="ko-KR"/>
              </w:rPr>
              <w:br/>
              <w:t>Beyond cash, financial instruments such as equities or bonds are also registered in electronic systems in most cases, although all these systems and the bank accounting systems are only connected through rudimentary messaging means, which leads to the need for reconciliations and manual management in many cases. Cash systems to provide settlement of transactions in the capital markets are not well connected to the transactional systems, and often entail delays and settlement risk.</w:t>
            </w:r>
          </w:p>
          <w:p w:rsidR="00811492" w:rsidRDefault="007D4CF9">
            <w:pPr>
              <w:pStyle w:val="BodyText"/>
            </w:pPr>
            <w:r>
              <w:rPr>
                <w:rFonts w:eastAsia="Malgun Gothic"/>
                <w:color w:val="24292E"/>
                <w:szCs w:val="24"/>
                <w:lang w:val="en-US" w:eastAsia="ko-KR"/>
              </w:rPr>
              <w:br/>
              <w:t>The EM Token builds on Ethereum ( Corda  and others is under study), standards currently in use such as ERC20, but it extends them to provide few key additional pieces of functionality, needed in the regulated financial world:</w:t>
            </w:r>
          </w:p>
          <w:p w:rsidR="00811492" w:rsidRDefault="007D4CF9">
            <w:pPr>
              <w:pStyle w:val="BodyText"/>
            </w:pPr>
            <w:r>
              <w:rPr>
                <w:rFonts w:eastAsia="Malgun Gothic"/>
                <w:color w:val="24292E"/>
                <w:szCs w:val="24"/>
                <w:lang w:val="en-US" w:eastAsia="ko-KR"/>
              </w:rPr>
              <w:t>Compliance: EM Tokens implement a set of methods to check in advance whether user-initiated transactions can be done from a compliance point of view. Implementations must `require` that these methods return a positive answer before executing the transaction</w:t>
            </w:r>
          </w:p>
          <w:p w:rsidR="00811492" w:rsidRDefault="00811492">
            <w:pPr>
              <w:pStyle w:val="BodyText"/>
              <w:rPr>
                <w:rFonts w:eastAsia="Malgun Gothic"/>
                <w:color w:val="24292E"/>
                <w:szCs w:val="24"/>
                <w:lang w:val="en-US" w:eastAsia="ko-KR"/>
              </w:rPr>
            </w:pPr>
          </w:p>
          <w:p w:rsidR="00811492" w:rsidRDefault="007D4CF9">
            <w:pPr>
              <w:pStyle w:val="BodyText"/>
            </w:pPr>
            <w:r>
              <w:rPr>
                <w:rFonts w:eastAsia="Malgun Gothic"/>
                <w:color w:val="24292E"/>
                <w:szCs w:val="24"/>
                <w:lang w:val="en-US" w:eastAsia="ko-KR"/>
              </w:rPr>
              <w:lastRenderedPageBreak/>
              <w:t>Clearing: In addition to the standard ERC20 `transfer` method, EM Token provides a way to submit transfers that need to be cleared by the token issuing authority offchain. These transfers are then executed in two steps: 1. transfers are ordered 1. after clearing them, transfers are executed or rejected by the operator of the token contract</w:t>
            </w:r>
          </w:p>
          <w:p w:rsidR="00811492" w:rsidRDefault="007D4CF9">
            <w:pPr>
              <w:pStyle w:val="BodyText"/>
            </w:pPr>
            <w:r>
              <w:rPr>
                <w:rFonts w:eastAsia="Malgun Gothic"/>
                <w:color w:val="24292E"/>
                <w:szCs w:val="24"/>
                <w:lang w:val="en-US" w:eastAsia="ko-KR"/>
              </w:rPr>
              <w:t>Holds: token balances can be put on hold, which will make the held amount unavailable for further use until the hold is resolved (i.e. either executed or released). Holds have a payer, a payee, and a notary who is in charge of resolving the hold. Holds also implement expiration periods, after which anyone can release the hold Holds are similar to escrows in that are firm and lead to final settlement. Holds can also be used to implement collateralization</w:t>
            </w:r>
          </w:p>
          <w:p w:rsidR="00811492" w:rsidRDefault="007D4CF9">
            <w:pPr>
              <w:pStyle w:val="BodyText"/>
            </w:pPr>
            <w:r>
              <w:rPr>
                <w:rFonts w:eastAsia="Malgun Gothic"/>
                <w:color w:val="24292E"/>
                <w:szCs w:val="24"/>
                <w:lang w:val="en-US" w:eastAsia="ko-KR"/>
              </w:rPr>
              <w:t xml:space="preserve">Funding requests: users can request for a wallet to be funded by calling the smart contract and attaching a debit instruction string. The tokenizer reads this request, interprets the debit instructions, and triggers a transfer in the bank ledger to initiate the tokenization process </w:t>
            </w:r>
          </w:p>
          <w:p w:rsidR="00811492" w:rsidRDefault="007D4CF9">
            <w:pPr>
              <w:pStyle w:val="BodyText"/>
            </w:pPr>
            <w:r>
              <w:rPr>
                <w:rFonts w:eastAsia="Malgun Gothic"/>
                <w:color w:val="24292E"/>
                <w:szCs w:val="24"/>
                <w:lang w:val="en-US" w:eastAsia="ko-KR"/>
              </w:rPr>
              <w:t>Payouts : users can request payouts by calling the smart contract and attaching a payment instruction string. The (de)tokenizer reads this request, interprets the payment instructions, and triggers the transfer of funds (typically from the omnibus account) into the destination account, if possible. Note that a redemption request is an special type of payout in which the destination (bank) account for the payout is the bank account linked to the token wallet</w:t>
            </w:r>
          </w:p>
          <w:p w:rsidR="00811492" w:rsidRDefault="007D4CF9">
            <w:pPr>
              <w:pStyle w:val="BodyText"/>
            </w:pPr>
            <w:r>
              <w:rPr>
                <w:rFonts w:eastAsia="Malgun Gothic"/>
                <w:color w:val="24292E"/>
                <w:szCs w:val="24"/>
                <w:lang w:val="en-US" w:eastAsia="ko-KR"/>
              </w:rPr>
              <w:br/>
              <w:t>The EM Token is thus different from other tokens commonly referred to as "stable coins" in that it is designed to be issued, burnt and made available to users in a compliant manner (i.e. with full KYC and AML compliance) through a licensed vehicle (an electronic money entity, a bank, or a central bank), and in that it provides the additional functionality described above so it can be used by other smart contracts implementing more complex financial applications such as interbank payments, supply chain finance instruments, or the creation of EM-Token denominated bonds and equities with automatic delivery-vs-payment</w:t>
            </w:r>
          </w:p>
          <w:p w:rsidR="00811492" w:rsidRDefault="00811492">
            <w:pPr>
              <w:pStyle w:val="FigureTitle"/>
              <w:keepLines w:val="0"/>
              <w:spacing w:before="0" w:after="0"/>
              <w:jc w:val="left"/>
              <w:rPr>
                <w:b w:val="0"/>
                <w:sz w:val="24"/>
                <w:szCs w:val="24"/>
              </w:rPr>
            </w:pPr>
          </w:p>
        </w:tc>
      </w:tr>
      <w:tr w:rsidR="00811492" w:rsidTr="006564DB">
        <w:trPr>
          <w:trHeight w:val="1178"/>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color w:val="000000"/>
                <w:sz w:val="24"/>
                <w:szCs w:val="24"/>
                <w:lang w:val="en-GB"/>
              </w:rPr>
            </w:pPr>
            <w:r>
              <w:rPr>
                <w:color w:val="000000"/>
                <w:sz w:val="24"/>
                <w:szCs w:val="24"/>
                <w:lang w:val="en-GB"/>
              </w:rPr>
              <w:lastRenderedPageBreak/>
              <w:t>SDG in Focus (when applicable)</w:t>
            </w:r>
          </w:p>
        </w:tc>
        <w:tc>
          <w:tcPr>
            <w:tcW w:w="7652" w:type="dxa"/>
            <w:gridSpan w:val="3"/>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BodyText"/>
              <w:rPr>
                <w:rFonts w:eastAsia="Times New Roman"/>
                <w:i/>
                <w:color w:val="000000"/>
                <w:szCs w:val="24"/>
              </w:rPr>
            </w:pPr>
            <w:r>
              <w:rPr>
                <w:rFonts w:eastAsia="Times New Roman"/>
                <w:i/>
                <w:color w:val="000000"/>
                <w:szCs w:val="24"/>
              </w:rPr>
              <w:t xml:space="preserve">SDG9 and SDG17 </w:t>
            </w:r>
          </w:p>
        </w:tc>
      </w:tr>
      <w:tr w:rsidR="00811492" w:rsidTr="006564DB">
        <w:trPr>
          <w:trHeight w:val="1586"/>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Value Transfer:</w:t>
            </w:r>
          </w:p>
        </w:tc>
        <w:tc>
          <w:tcPr>
            <w:tcW w:w="274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FigureTitle"/>
              <w:keepLines w:val="0"/>
              <w:spacing w:before="0" w:after="0"/>
              <w:jc w:val="left"/>
              <w:rPr>
                <w:b w:val="0"/>
                <w:i/>
                <w:sz w:val="24"/>
                <w:szCs w:val="24"/>
              </w:rPr>
            </w:pPr>
            <w:r>
              <w:rPr>
                <w:rFonts w:ascii="Montserrat" w:hAnsi="Montserrat"/>
                <w:color w:val="000000"/>
                <w:szCs w:val="22"/>
              </w:rPr>
              <w:t>We will transfer claims off-chain with on-chain proofs. Ponderation of attributes by causality. Verified authority to attest and authenticate an attribute.</w:t>
            </w:r>
          </w:p>
        </w:tc>
        <w:tc>
          <w:tcPr>
            <w:tcW w:w="1780"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Number of Users:</w:t>
            </w:r>
          </w:p>
        </w:tc>
        <w:tc>
          <w:tcPr>
            <w:tcW w:w="312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NormalWeb"/>
              <w:spacing w:before="0" w:beforeAutospacing="0" w:afterAutospacing="0"/>
            </w:pPr>
            <w:r>
              <w:rPr>
                <w:rFonts w:ascii="Montserrat" w:hAnsi="Montserrat"/>
                <w:color w:val="000000"/>
                <w:sz w:val="22"/>
                <w:szCs w:val="22"/>
              </w:rPr>
              <w:t>First Po will happen in Spain (&gt;45MM) but this solution aims to establish a global Identity system as an interplanetary badge.  European Population and LAC.</w:t>
            </w:r>
          </w:p>
          <w:p w:rsidR="00811492" w:rsidRDefault="00811492">
            <w:pPr>
              <w:pStyle w:val="FigureTitle"/>
              <w:keepLines w:val="0"/>
              <w:spacing w:before="0" w:after="0"/>
              <w:rPr>
                <w:b w:val="0"/>
                <w:i/>
                <w:sz w:val="24"/>
                <w:szCs w:val="24"/>
              </w:rPr>
            </w:pPr>
          </w:p>
        </w:tc>
      </w:tr>
      <w:tr w:rsidR="00811492" w:rsidTr="006564DB">
        <w:trPr>
          <w:trHeight w:val="569"/>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Types of Users:</w:t>
            </w:r>
          </w:p>
        </w:tc>
        <w:tc>
          <w:tcPr>
            <w:tcW w:w="7652" w:type="dxa"/>
            <w:gridSpan w:val="3"/>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FigureTitle"/>
              <w:keepLines w:val="0"/>
              <w:spacing w:before="0" w:after="0"/>
              <w:jc w:val="left"/>
              <w:rPr>
                <w:i/>
                <w:sz w:val="24"/>
                <w:szCs w:val="24"/>
              </w:rPr>
            </w:pPr>
            <w:r>
              <w:rPr>
                <w:rFonts w:ascii="Montserrat" w:hAnsi="Montserrat"/>
                <w:color w:val="000000"/>
                <w:szCs w:val="22"/>
              </w:rPr>
              <w:t>People, Organizations, E.money entities,  Banks, Central Banks</w:t>
            </w:r>
          </w:p>
        </w:tc>
      </w:tr>
      <w:tr w:rsidR="00811492" w:rsidTr="006564DB">
        <w:trPr>
          <w:trHeight w:val="549"/>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lastRenderedPageBreak/>
              <w:t>Stakeholders</w:t>
            </w:r>
          </w:p>
        </w:tc>
        <w:tc>
          <w:tcPr>
            <w:tcW w:w="7652" w:type="dxa"/>
            <w:gridSpan w:val="3"/>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FigureTitle"/>
              <w:keepLines w:val="0"/>
              <w:spacing w:before="0" w:after="0"/>
              <w:jc w:val="left"/>
              <w:rPr>
                <w:i/>
                <w:sz w:val="24"/>
                <w:szCs w:val="24"/>
              </w:rPr>
            </w:pPr>
            <w:r>
              <w:rPr>
                <w:b w:val="0"/>
                <w:i/>
                <w:color w:val="000000"/>
                <w:sz w:val="24"/>
                <w:szCs w:val="24"/>
                <w:lang w:val="en-GB"/>
              </w:rPr>
              <w:t>As we are proposing a money standards issuer and token holders are involved, that means any stakeholder is applied,</w:t>
            </w:r>
          </w:p>
        </w:tc>
      </w:tr>
      <w:tr w:rsidR="00811492" w:rsidTr="006564DB">
        <w:trPr>
          <w:trHeight w:val="6509"/>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Data:</w:t>
            </w:r>
          </w:p>
        </w:tc>
        <w:tc>
          <w:tcPr>
            <w:tcW w:w="7652" w:type="dxa"/>
            <w:gridSpan w:val="3"/>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DA7321">
            <w:pPr>
              <w:pStyle w:val="FigureTitle"/>
              <w:spacing w:before="0" w:after="0"/>
              <w:jc w:val="left"/>
            </w:pPr>
            <w:hyperlink r:id="rId13">
              <w:r w:rsidR="007D4CF9">
                <w:rPr>
                  <w:rStyle w:val="InternetLink"/>
                  <w:b w:val="0"/>
                  <w:i/>
                  <w:color w:val="000000"/>
                  <w:sz w:val="24"/>
                  <w:szCs w:val="24"/>
                </w:rPr>
                <w:t>https://github.com/ethereum/EIPs/pull/2020</w:t>
              </w:r>
            </w:hyperlink>
          </w:p>
          <w:p w:rsidR="00811492" w:rsidRDefault="00DA7321">
            <w:pPr>
              <w:pStyle w:val="FigureTitle"/>
              <w:keepLines w:val="0"/>
              <w:spacing w:before="0" w:after="0"/>
              <w:jc w:val="left"/>
            </w:pPr>
            <w:hyperlink r:id="rId14">
              <w:r w:rsidR="007D4CF9">
                <w:rPr>
                  <w:rStyle w:val="InternetLink"/>
                  <w:b w:val="0"/>
                  <w:i/>
                  <w:sz w:val="24"/>
                  <w:szCs w:val="24"/>
                </w:rPr>
                <w:t>https://emoneytokenstandard.org</w:t>
              </w:r>
            </w:hyperlink>
          </w:p>
          <w:p w:rsidR="00811492" w:rsidRDefault="00811492">
            <w:pPr>
              <w:pStyle w:val="FigureTitle"/>
              <w:spacing w:before="0" w:after="0"/>
              <w:jc w:val="left"/>
              <w:rPr>
                <w:rStyle w:val="InternetLink"/>
                <w:b w:val="0"/>
                <w:i/>
                <w:sz w:val="24"/>
                <w:szCs w:val="24"/>
              </w:rPr>
            </w:pPr>
          </w:p>
          <w:tbl>
            <w:tblPr>
              <w:tblW w:w="748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7480"/>
            </w:tblGrid>
            <w:tr w:rsidR="00811492" w:rsidTr="006564DB">
              <w:trPr>
                <w:cantSplit/>
                <w:trHeight w:val="549"/>
                <w:tblHeader/>
              </w:trPr>
              <w:tc>
                <w:tcPr>
                  <w:tcW w:w="74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7D4CF9" w:rsidP="008B0B33">
                  <w:pPr>
                    <w:framePr w:hSpace="180" w:wrap="around" w:vAnchor="text" w:hAnchor="margin" w:y="147"/>
                  </w:pPr>
                  <w:r>
                    <w:rPr>
                      <w:szCs w:val="24"/>
                    </w:rPr>
                    <w:t xml:space="preserve">All the data flow is fully detailed at </w:t>
                  </w:r>
                </w:p>
                <w:p w:rsidR="00811492" w:rsidRDefault="00811492" w:rsidP="008B0B33">
                  <w:pPr>
                    <w:framePr w:hSpace="180" w:wrap="around" w:vAnchor="text" w:hAnchor="margin" w:y="147"/>
                    <w:rPr>
                      <w:szCs w:val="24"/>
                    </w:rPr>
                  </w:pPr>
                </w:p>
                <w:p w:rsidR="00811492" w:rsidRDefault="00DA7321" w:rsidP="008B0B33">
                  <w:pPr>
                    <w:framePr w:hSpace="180" w:wrap="around" w:vAnchor="text" w:hAnchor="margin" w:y="147"/>
                  </w:pPr>
                  <w:hyperlink r:id="rId15">
                    <w:r w:rsidR="007D4CF9">
                      <w:rPr>
                        <w:rStyle w:val="InternetLink"/>
                        <w:szCs w:val="24"/>
                      </w:rPr>
                      <w:t>https://github.com/IoBuilders/holdable-token</w:t>
                    </w:r>
                  </w:hyperlink>
                </w:p>
                <w:p w:rsidR="00811492" w:rsidRDefault="00811492" w:rsidP="008B0B33">
                  <w:pPr>
                    <w:framePr w:hSpace="180" w:wrap="around" w:vAnchor="text" w:hAnchor="margin" w:y="147"/>
                    <w:rPr>
                      <w:szCs w:val="24"/>
                    </w:rPr>
                  </w:pPr>
                </w:p>
                <w:p w:rsidR="00811492" w:rsidRDefault="00DA7321" w:rsidP="008B0B33">
                  <w:pPr>
                    <w:framePr w:hSpace="180" w:wrap="around" w:vAnchor="text" w:hAnchor="margin" w:y="147"/>
                  </w:pPr>
                  <w:hyperlink r:id="rId16">
                    <w:r w:rsidR="007D4CF9">
                      <w:rPr>
                        <w:rStyle w:val="InternetLink"/>
                        <w:szCs w:val="24"/>
                      </w:rPr>
                      <w:t>https://github.com/IoBuilders/payoutable-token</w:t>
                    </w:r>
                  </w:hyperlink>
                </w:p>
                <w:p w:rsidR="00811492" w:rsidRDefault="00811492" w:rsidP="008B0B33">
                  <w:pPr>
                    <w:framePr w:hSpace="180" w:wrap="around" w:vAnchor="text" w:hAnchor="margin" w:y="147"/>
                    <w:rPr>
                      <w:szCs w:val="24"/>
                    </w:rPr>
                  </w:pPr>
                </w:p>
                <w:p w:rsidR="00811492" w:rsidRDefault="00811492" w:rsidP="008B0B33">
                  <w:pPr>
                    <w:framePr w:hSpace="180" w:wrap="around" w:vAnchor="text" w:hAnchor="margin" w:y="147"/>
                    <w:rPr>
                      <w:szCs w:val="24"/>
                    </w:rPr>
                  </w:pPr>
                </w:p>
                <w:p w:rsidR="00811492" w:rsidRDefault="00DA7321" w:rsidP="008B0B33">
                  <w:pPr>
                    <w:framePr w:hSpace="180" w:wrap="around" w:vAnchor="text" w:hAnchor="margin" w:y="147"/>
                  </w:pPr>
                  <w:hyperlink r:id="rId17">
                    <w:r w:rsidR="007D4CF9">
                      <w:rPr>
                        <w:rStyle w:val="InternetLink"/>
                        <w:szCs w:val="24"/>
                      </w:rPr>
                      <w:t>https://github.com/IoBuilders/clearable-token</w:t>
                    </w:r>
                  </w:hyperlink>
                </w:p>
                <w:p w:rsidR="00811492" w:rsidRDefault="00811492" w:rsidP="008B0B33">
                  <w:pPr>
                    <w:framePr w:hSpace="180" w:wrap="around" w:vAnchor="text" w:hAnchor="margin" w:y="147"/>
                    <w:rPr>
                      <w:szCs w:val="24"/>
                    </w:rPr>
                  </w:pPr>
                </w:p>
                <w:p w:rsidR="00811492" w:rsidRDefault="00811492" w:rsidP="008B0B33">
                  <w:pPr>
                    <w:framePr w:hSpace="180" w:wrap="around" w:vAnchor="text" w:hAnchor="margin" w:y="147"/>
                    <w:rPr>
                      <w:szCs w:val="24"/>
                    </w:rPr>
                  </w:pPr>
                </w:p>
                <w:p w:rsidR="00811492" w:rsidRDefault="00DA7321" w:rsidP="008B0B33">
                  <w:pPr>
                    <w:framePr w:hSpace="180" w:wrap="around" w:vAnchor="text" w:hAnchor="margin" w:y="147"/>
                  </w:pPr>
                  <w:hyperlink r:id="rId18">
                    <w:r w:rsidR="007D4CF9">
                      <w:rPr>
                        <w:rStyle w:val="InternetLink"/>
                        <w:szCs w:val="24"/>
                      </w:rPr>
                      <w:t>https://github.com/IoBuilders/fundable-token</w:t>
                    </w:r>
                  </w:hyperlink>
                </w:p>
                <w:p w:rsidR="00811492" w:rsidRDefault="00811492" w:rsidP="008B0B33">
                  <w:pPr>
                    <w:framePr w:hSpace="180" w:wrap="around" w:vAnchor="text" w:hAnchor="margin" w:y="147"/>
                    <w:jc w:val="center"/>
                    <w:rPr>
                      <w:szCs w:val="24"/>
                    </w:rPr>
                  </w:pPr>
                </w:p>
                <w:p w:rsidR="00811492" w:rsidRDefault="00811492" w:rsidP="008B0B33">
                  <w:pPr>
                    <w:framePr w:hSpace="180" w:wrap="around" w:vAnchor="text" w:hAnchor="margin" w:y="147"/>
                    <w:jc w:val="center"/>
                    <w:rPr>
                      <w:szCs w:val="24"/>
                    </w:rPr>
                  </w:pPr>
                </w:p>
                <w:p w:rsidR="00811492" w:rsidRDefault="00811492" w:rsidP="008B0B33">
                  <w:pPr>
                    <w:framePr w:hSpace="180" w:wrap="around" w:vAnchor="text" w:hAnchor="margin" w:y="147"/>
                    <w:rPr>
                      <w:szCs w:val="24"/>
                    </w:rPr>
                  </w:pPr>
                </w:p>
              </w:tc>
            </w:tr>
          </w:tbl>
          <w:p w:rsidR="00811492" w:rsidRDefault="007D4CF9">
            <w:pPr>
              <w:pStyle w:val="BodyText"/>
            </w:pPr>
            <w:r>
              <w:t>Privacy by design: unlinkable actions.</w:t>
            </w:r>
          </w:p>
        </w:tc>
      </w:tr>
      <w:tr w:rsidR="00811492" w:rsidTr="006564DB">
        <w:trPr>
          <w:trHeight w:val="1383"/>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Identification:</w:t>
            </w:r>
          </w:p>
        </w:tc>
        <w:tc>
          <w:tcPr>
            <w:tcW w:w="7652" w:type="dxa"/>
            <w:gridSpan w:val="3"/>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7D4CF9">
            <w:pPr>
              <w:pStyle w:val="FigureTitle"/>
              <w:keepLines w:val="0"/>
              <w:spacing w:before="0" w:after="0"/>
              <w:jc w:val="left"/>
              <w:rPr>
                <w:b w:val="0"/>
              </w:rPr>
            </w:pPr>
            <w:r>
              <w:rPr>
                <w:b w:val="0"/>
                <w:i/>
                <w:sz w:val="24"/>
                <w:szCs w:val="24"/>
              </w:rPr>
              <w:t>On next releases the idea is to link the identity to SSI schemas. Having said that all the information, balances, accumulates etc, want to be kept confidential. The standard wor</w:t>
            </w:r>
            <w:r w:rsidR="006564DB">
              <w:rPr>
                <w:b w:val="0"/>
                <w:i/>
                <w:sz w:val="24"/>
                <w:szCs w:val="24"/>
              </w:rPr>
              <w:t>kgroup is actively working on a confi</w:t>
            </w:r>
            <w:r>
              <w:rPr>
                <w:b w:val="0"/>
                <w:i/>
                <w:sz w:val="24"/>
                <w:szCs w:val="24"/>
              </w:rPr>
              <w:t>dential token approach, researching and implementing homomorphic encryption, range proofs, nnd pedersen commitments.</w:t>
            </w:r>
          </w:p>
          <w:p w:rsidR="00811492" w:rsidRDefault="007D4CF9">
            <w:pPr>
              <w:pStyle w:val="FigureTitle"/>
              <w:keepLines w:val="0"/>
              <w:spacing w:before="0" w:after="0"/>
              <w:jc w:val="left"/>
              <w:rPr>
                <w:i/>
                <w:sz w:val="24"/>
                <w:szCs w:val="24"/>
              </w:rPr>
            </w:pPr>
            <w:r>
              <w:rPr>
                <w:b w:val="0"/>
                <w:i/>
                <w:sz w:val="24"/>
                <w:szCs w:val="24"/>
              </w:rPr>
              <w:t>https://crypto.stanford.edu/bulletproofs/</w:t>
            </w:r>
          </w:p>
        </w:tc>
      </w:tr>
      <w:tr w:rsidR="00811492" w:rsidTr="006564DB">
        <w:trPr>
          <w:trHeight w:val="1952"/>
        </w:trPr>
        <w:tc>
          <w:tcPr>
            <w:tcW w:w="1282" w:type="dxa"/>
            <w:tcBorders>
              <w:top w:val="single" w:sz="6" w:space="0" w:color="00000A"/>
              <w:left w:val="single" w:sz="6" w:space="0" w:color="00000A"/>
              <w:bottom w:val="single" w:sz="6" w:space="0" w:color="00000A"/>
              <w:right w:val="single" w:sz="6" w:space="0" w:color="00000A"/>
            </w:tcBorders>
            <w:shd w:val="pct15" w:color="auto" w:fill="FFFFFF"/>
            <w:tcMar>
              <w:left w:w="100" w:type="dxa"/>
            </w:tcMar>
          </w:tcPr>
          <w:p w:rsidR="00811492" w:rsidRDefault="007D4CF9">
            <w:pPr>
              <w:pStyle w:val="FigureTitle"/>
              <w:keepLines w:val="0"/>
              <w:spacing w:before="0" w:after="0"/>
              <w:jc w:val="left"/>
              <w:rPr>
                <w:sz w:val="24"/>
                <w:szCs w:val="24"/>
              </w:rPr>
            </w:pPr>
            <w:r>
              <w:rPr>
                <w:sz w:val="24"/>
                <w:szCs w:val="24"/>
              </w:rPr>
              <w:t>Predicted Outcomes:</w:t>
            </w:r>
          </w:p>
        </w:tc>
        <w:tc>
          <w:tcPr>
            <w:tcW w:w="7652" w:type="dxa"/>
            <w:gridSpan w:val="3"/>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811492" w:rsidRDefault="00DA7321">
            <w:pPr>
              <w:pStyle w:val="FigureTitle"/>
              <w:keepLines w:val="0"/>
              <w:spacing w:before="0" w:after="0"/>
              <w:jc w:val="left"/>
            </w:pPr>
            <w:hyperlink r:id="rId19" w:history="1">
              <w:r w:rsidR="007D4CF9" w:rsidRPr="0060596A">
                <w:rPr>
                  <w:rStyle w:val="Hyperlink"/>
                  <w:b w:val="0"/>
                  <w:sz w:val="24"/>
                  <w:szCs w:val="24"/>
                </w:rPr>
                <w:t xml:space="preserve">Ourion.io </w:t>
              </w:r>
            </w:hyperlink>
            <w:r w:rsidR="007D4CF9">
              <w:rPr>
                <w:b w:val="0"/>
                <w:sz w:val="24"/>
                <w:szCs w:val="24"/>
              </w:rPr>
              <w:t xml:space="preserve"> ( IoBuilders project) is already live and shows a production ready application, working under the </w:t>
            </w:r>
            <w:r w:rsidR="006564DB">
              <w:rPr>
                <w:b w:val="0"/>
                <w:sz w:val="24"/>
                <w:szCs w:val="24"/>
              </w:rPr>
              <w:t>A</w:t>
            </w:r>
            <w:r w:rsidR="007D4CF9">
              <w:rPr>
                <w:b w:val="0"/>
                <w:sz w:val="24"/>
                <w:szCs w:val="24"/>
              </w:rPr>
              <w:t>lastria network,  managing real tokenized euros. Other uses cases have deployed under Pegasys Pantheon and JP Morgan Quorum based networks.</w:t>
            </w:r>
          </w:p>
          <w:p w:rsidR="00811492" w:rsidRDefault="007D4CF9">
            <w:pPr>
              <w:pStyle w:val="FigureTitle"/>
              <w:spacing w:before="0" w:after="0"/>
              <w:jc w:val="left"/>
              <w:rPr>
                <w:b w:val="0"/>
              </w:rPr>
            </w:pPr>
            <w:r>
              <w:rPr>
                <w:b w:val="0"/>
                <w:sz w:val="24"/>
                <w:szCs w:val="24"/>
              </w:rPr>
              <w:t>Adhara, has already deployed the standard under a Sing</w:t>
            </w:r>
            <w:r w:rsidR="006564DB">
              <w:rPr>
                <w:b w:val="0"/>
                <w:sz w:val="24"/>
                <w:szCs w:val="24"/>
              </w:rPr>
              <w:t>apo</w:t>
            </w:r>
            <w:r>
              <w:rPr>
                <w:b w:val="0"/>
                <w:sz w:val="24"/>
                <w:szCs w:val="24"/>
              </w:rPr>
              <w:t>r</w:t>
            </w:r>
            <w:r w:rsidR="006564DB">
              <w:rPr>
                <w:b w:val="0"/>
                <w:sz w:val="24"/>
                <w:szCs w:val="24"/>
              </w:rPr>
              <w:t>e</w:t>
            </w:r>
            <w:r>
              <w:rPr>
                <w:b w:val="0"/>
                <w:sz w:val="24"/>
                <w:szCs w:val="24"/>
              </w:rPr>
              <w:t xml:space="preserve">, </w:t>
            </w:r>
            <w:r w:rsidR="006564DB">
              <w:rPr>
                <w:b w:val="0"/>
                <w:sz w:val="24"/>
                <w:szCs w:val="24"/>
              </w:rPr>
              <w:t>Philippines payment corri</w:t>
            </w:r>
            <w:r>
              <w:rPr>
                <w:b w:val="0"/>
                <w:sz w:val="24"/>
                <w:szCs w:val="24"/>
              </w:rPr>
              <w:t>dor project.</w:t>
            </w:r>
          </w:p>
          <w:p w:rsidR="00811492" w:rsidRDefault="007D4CF9">
            <w:pPr>
              <w:pStyle w:val="FigureTitle"/>
              <w:spacing w:before="0" w:after="0"/>
              <w:jc w:val="left"/>
              <w:rPr>
                <w:b w:val="0"/>
              </w:rPr>
            </w:pPr>
            <w:r>
              <w:rPr>
                <w:b w:val="0"/>
                <w:sz w:val="24"/>
                <w:szCs w:val="24"/>
              </w:rPr>
              <w:t>Adhara is going to deploy a use case with the South African Rerserve Bank in Q4 2019.</w:t>
            </w:r>
          </w:p>
          <w:p w:rsidR="00811492" w:rsidRDefault="007D4CF9">
            <w:pPr>
              <w:pStyle w:val="FigureTitle"/>
              <w:spacing w:before="0" w:after="0"/>
              <w:jc w:val="left"/>
              <w:rPr>
                <w:b w:val="0"/>
              </w:rPr>
            </w:pPr>
            <w:r>
              <w:rPr>
                <w:b w:val="0"/>
                <w:sz w:val="24"/>
                <w:szCs w:val="24"/>
              </w:rPr>
              <w:t>IoBuilders is going to deploy a use case with the BME, the Spanish CSD, on a bond issuing platform  in Q4 2019.</w:t>
            </w:r>
          </w:p>
        </w:tc>
      </w:tr>
    </w:tbl>
    <w:p w:rsidR="00811492" w:rsidRDefault="00811492">
      <w:pPr>
        <w:rPr>
          <w:b/>
          <w:szCs w:val="24"/>
          <w:lang w:val="en-US"/>
        </w:rPr>
      </w:pPr>
    </w:p>
    <w:tbl>
      <w:tblPr>
        <w:tblW w:w="9781"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81"/>
      </w:tblGrid>
      <w:tr w:rsidR="00811492">
        <w:tc>
          <w:tcPr>
            <w:tcW w:w="9781"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Overview of the Business Problem or Opportunity</w:t>
            </w:r>
          </w:p>
        </w:tc>
      </w:tr>
      <w:tr w:rsidR="00811492">
        <w:tc>
          <w:tcPr>
            <w:tcW w:w="978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7D4CF9">
            <w:pPr>
              <w:pStyle w:val="FigureTitle"/>
              <w:keepLines w:val="0"/>
              <w:spacing w:before="0" w:after="0"/>
              <w:jc w:val="left"/>
              <w:rPr>
                <w:rFonts w:eastAsia="Malgun Gothic"/>
                <w:b w:val="0"/>
                <w:color w:val="24292E"/>
                <w:sz w:val="24"/>
                <w:szCs w:val="24"/>
                <w:lang w:eastAsia="ko-KR"/>
              </w:rPr>
            </w:pPr>
            <w:r>
              <w:rPr>
                <w:rFonts w:eastAsia="Malgun Gothic"/>
                <w:b w:val="0"/>
                <w:color w:val="24292E"/>
                <w:sz w:val="24"/>
                <w:szCs w:val="24"/>
                <w:lang w:eastAsia="ko-KR"/>
              </w:rPr>
              <w:t xml:space="preserve">Blockchain technology is starting to be seen with huge potential to  speed up the the fintech innovation. Banks and financial institutions, are envisioning smart money and payments scenarios leveraged by blockchain and smart execution. To enable fully regulated payment scenarios, with </w:t>
            </w:r>
            <w:r>
              <w:rPr>
                <w:rFonts w:eastAsia="Malgun Gothic"/>
                <w:b w:val="0"/>
                <w:color w:val="24292E"/>
                <w:sz w:val="24"/>
                <w:szCs w:val="24"/>
                <w:lang w:eastAsia="ko-KR"/>
              </w:rPr>
              <w:lastRenderedPageBreak/>
              <w:t>fiat tokenized money, tokens must be issued under e-money/ bank / central bank rules, and directives.</w:t>
            </w:r>
          </w:p>
          <w:p w:rsidR="00811492" w:rsidRDefault="00811492">
            <w:pPr>
              <w:pStyle w:val="FigureTitle"/>
              <w:spacing w:before="0" w:after="0"/>
              <w:jc w:val="left"/>
              <w:rPr>
                <w:rFonts w:eastAsia="Malgun Gothic"/>
                <w:b w:val="0"/>
                <w:color w:val="24292E"/>
                <w:sz w:val="24"/>
                <w:szCs w:val="24"/>
                <w:lang w:eastAsia="ko-KR"/>
              </w:rPr>
            </w:pPr>
          </w:p>
          <w:p w:rsidR="00811492" w:rsidRDefault="007D4CF9">
            <w:pPr>
              <w:pStyle w:val="FigureTitle"/>
              <w:keepLines w:val="0"/>
              <w:spacing w:before="0" w:after="0"/>
              <w:jc w:val="left"/>
              <w:rPr>
                <w:i/>
                <w:szCs w:val="24"/>
              </w:rPr>
            </w:pPr>
            <w:r>
              <w:rPr>
                <w:rFonts w:eastAsia="Malgun Gothic"/>
                <w:b w:val="0"/>
                <w:color w:val="24292E"/>
                <w:sz w:val="24"/>
                <w:szCs w:val="24"/>
                <w:lang w:eastAsia="ko-KR"/>
              </w:rPr>
              <w:t>Standar</w:t>
            </w:r>
            <w:r w:rsidR="006564DB">
              <w:rPr>
                <w:rFonts w:eastAsia="Malgun Gothic"/>
                <w:b w:val="0"/>
                <w:color w:val="24292E"/>
                <w:sz w:val="24"/>
                <w:szCs w:val="24"/>
                <w:lang w:eastAsia="ko-KR"/>
              </w:rPr>
              <w:t>d</w:t>
            </w:r>
            <w:r>
              <w:rPr>
                <w:rFonts w:eastAsia="Malgun Gothic"/>
                <w:b w:val="0"/>
                <w:color w:val="24292E"/>
                <w:sz w:val="24"/>
                <w:szCs w:val="24"/>
                <w:lang w:eastAsia="ko-KR"/>
              </w:rPr>
              <w:t>ization is key to  enable interoperabil</w:t>
            </w:r>
            <w:r w:rsidR="006564DB">
              <w:rPr>
                <w:rFonts w:eastAsia="Malgun Gothic"/>
                <w:b w:val="0"/>
                <w:color w:val="24292E"/>
                <w:sz w:val="24"/>
                <w:szCs w:val="24"/>
                <w:lang w:eastAsia="ko-KR"/>
              </w:rPr>
              <w:t>i</w:t>
            </w:r>
            <w:r>
              <w:rPr>
                <w:rFonts w:eastAsia="Malgun Gothic"/>
                <w:b w:val="0"/>
                <w:color w:val="24292E"/>
                <w:sz w:val="24"/>
                <w:szCs w:val="24"/>
                <w:lang w:eastAsia="ko-KR"/>
              </w:rPr>
              <w:t>ty and cross use case integration. The standard has been started and developed with  the aim of enable global interoperability, on tokenized fiat money issuances and payments.</w:t>
            </w:r>
            <w:r>
              <w:rPr>
                <w:b w:val="0"/>
                <w:i/>
                <w:color w:val="000000"/>
                <w:sz w:val="24"/>
                <w:szCs w:val="24"/>
                <w:lang w:val="en-GB"/>
              </w:rPr>
              <w:t>.</w:t>
            </w:r>
          </w:p>
        </w:tc>
      </w:tr>
      <w:tr w:rsidR="00811492">
        <w:tc>
          <w:tcPr>
            <w:tcW w:w="9781"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lastRenderedPageBreak/>
              <w:t>Why Distributed Ledger Technology?</w:t>
            </w:r>
          </w:p>
        </w:tc>
      </w:tr>
      <w:tr w:rsidR="00811492">
        <w:tc>
          <w:tcPr>
            <w:tcW w:w="978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7D4CF9">
            <w:pPr>
              <w:pStyle w:val="BodyText"/>
              <w:spacing w:before="0" w:after="0"/>
              <w:rPr>
                <w:rFonts w:eastAsia="Malgun Gothic"/>
                <w:color w:val="24292E"/>
                <w:szCs w:val="24"/>
                <w:lang w:val="en-US" w:eastAsia="ko-KR"/>
              </w:rPr>
            </w:pPr>
            <w:r>
              <w:rPr>
                <w:rFonts w:eastAsia="Malgun Gothic"/>
                <w:color w:val="24292E"/>
                <w:szCs w:val="24"/>
                <w:lang w:val="en-US" w:eastAsia="ko-KR"/>
              </w:rPr>
              <w:t xml:space="preserve">Advantages of fiat money tokenization on the blockchain are as following: </w:t>
            </w:r>
          </w:p>
          <w:p w:rsidR="00811492" w:rsidRDefault="007D4CF9">
            <w:pPr>
              <w:pStyle w:val="BodyText"/>
              <w:spacing w:line="379" w:lineRule="auto"/>
              <w:rPr>
                <w:rFonts w:eastAsia="Malgun Gothic"/>
                <w:color w:val="24292E"/>
                <w:szCs w:val="24"/>
                <w:lang w:val="en-US" w:eastAsia="ko-KR"/>
              </w:rPr>
            </w:pPr>
            <w:bookmarkStart w:id="1" w:name="0eb5"/>
            <w:bookmarkEnd w:id="1"/>
            <w:r>
              <w:rPr>
                <w:rFonts w:eastAsia="Malgun Gothic"/>
                <w:color w:val="24292E"/>
                <w:szCs w:val="24"/>
                <w:lang w:val="en-US" w:eastAsia="ko-KR"/>
              </w:rPr>
              <w:t>- Use of the universal blockchain protocol based on a continuous and interconnected chain of blocks that provides unification and universality of interactions for various market participants;</w:t>
            </w:r>
          </w:p>
          <w:p w:rsidR="00811492" w:rsidRDefault="007D4CF9">
            <w:pPr>
              <w:pStyle w:val="BodyText"/>
              <w:spacing w:line="379" w:lineRule="auto"/>
              <w:rPr>
                <w:rFonts w:eastAsia="Malgun Gothic"/>
                <w:color w:val="24292E"/>
                <w:szCs w:val="24"/>
                <w:lang w:val="en-US" w:eastAsia="ko-KR"/>
              </w:rPr>
            </w:pPr>
            <w:bookmarkStart w:id="2" w:name="9674"/>
            <w:bookmarkEnd w:id="2"/>
            <w:r>
              <w:rPr>
                <w:rFonts w:eastAsia="Malgun Gothic"/>
                <w:color w:val="24292E"/>
                <w:szCs w:val="24"/>
                <w:lang w:val="en-US" w:eastAsia="ko-KR"/>
              </w:rPr>
              <w:t>- High level of security due to inability to post-factum change the chain of blocks  / tamper proof)</w:t>
            </w:r>
          </w:p>
          <w:p w:rsidR="00811492" w:rsidRDefault="007D4CF9">
            <w:pPr>
              <w:pStyle w:val="BodyText"/>
              <w:spacing w:line="379" w:lineRule="auto"/>
              <w:rPr>
                <w:rFonts w:eastAsia="Malgun Gothic"/>
                <w:color w:val="24292E"/>
                <w:szCs w:val="24"/>
                <w:lang w:val="en-US" w:eastAsia="ko-KR"/>
              </w:rPr>
            </w:pPr>
            <w:bookmarkStart w:id="3" w:name="8c40"/>
            <w:bookmarkEnd w:id="3"/>
            <w:r>
              <w:rPr>
                <w:rFonts w:eastAsia="Malgun Gothic"/>
                <w:color w:val="24292E"/>
                <w:szCs w:val="24"/>
                <w:lang w:val="en-US" w:eastAsia="ko-KR"/>
              </w:rPr>
              <w:t>- Token issuers can directly communicate with parties interested in any payment use case</w:t>
            </w:r>
          </w:p>
          <w:p w:rsidR="00811492" w:rsidRDefault="007D4CF9">
            <w:pPr>
              <w:pStyle w:val="BodyText"/>
              <w:spacing w:line="379" w:lineRule="auto"/>
              <w:rPr>
                <w:rFonts w:eastAsia="Malgun Gothic"/>
                <w:color w:val="24292E"/>
                <w:szCs w:val="24"/>
                <w:lang w:val="en-US" w:eastAsia="ko-KR"/>
              </w:rPr>
            </w:pPr>
            <w:r>
              <w:rPr>
                <w:rFonts w:eastAsia="Malgun Gothic"/>
                <w:color w:val="24292E"/>
                <w:szCs w:val="24"/>
                <w:lang w:val="en-US" w:eastAsia="ko-KR"/>
              </w:rPr>
              <w:t>- Traceability</w:t>
            </w:r>
          </w:p>
          <w:p w:rsidR="00811492" w:rsidRDefault="007D4CF9">
            <w:pPr>
              <w:pStyle w:val="BodyText"/>
              <w:spacing w:line="379" w:lineRule="auto"/>
              <w:rPr>
                <w:rFonts w:eastAsia="Malgun Gothic"/>
                <w:color w:val="24292E"/>
                <w:szCs w:val="24"/>
                <w:lang w:val="en-US" w:eastAsia="ko-KR"/>
              </w:rPr>
            </w:pPr>
            <w:r>
              <w:rPr>
                <w:rFonts w:eastAsia="Malgun Gothic"/>
                <w:color w:val="24292E"/>
                <w:szCs w:val="24"/>
                <w:lang w:val="en-US" w:eastAsia="ko-KR"/>
              </w:rPr>
              <w:t>-  Unique source of truth</w:t>
            </w:r>
          </w:p>
          <w:p w:rsidR="00811492" w:rsidRDefault="007D4CF9">
            <w:pPr>
              <w:pStyle w:val="BodyText"/>
              <w:spacing w:line="379" w:lineRule="auto"/>
              <w:rPr>
                <w:rFonts w:eastAsia="Malgun Gothic"/>
                <w:color w:val="24292E"/>
                <w:szCs w:val="24"/>
                <w:lang w:val="en-US" w:eastAsia="ko-KR"/>
              </w:rPr>
            </w:pPr>
            <w:r>
              <w:rPr>
                <w:rFonts w:eastAsia="Malgun Gothic"/>
                <w:color w:val="24292E"/>
                <w:szCs w:val="24"/>
                <w:lang w:val="en-US" w:eastAsia="ko-KR"/>
              </w:rPr>
              <w:t xml:space="preserve">- </w:t>
            </w:r>
            <w:bookmarkStart w:id="4" w:name="__DdeLink__730_182667543"/>
            <w:r>
              <w:rPr>
                <w:rFonts w:eastAsia="Malgun Gothic"/>
                <w:color w:val="24292E"/>
                <w:szCs w:val="24"/>
                <w:lang w:val="en-US" w:eastAsia="ko-KR"/>
              </w:rPr>
              <w:t>Auditabil</w:t>
            </w:r>
            <w:r w:rsidR="00674607">
              <w:rPr>
                <w:rFonts w:eastAsia="Malgun Gothic"/>
                <w:color w:val="24292E"/>
                <w:szCs w:val="24"/>
                <w:lang w:val="en-US" w:eastAsia="ko-KR"/>
              </w:rPr>
              <w:t>i</w:t>
            </w:r>
            <w:r>
              <w:rPr>
                <w:rFonts w:eastAsia="Malgun Gothic"/>
                <w:color w:val="24292E"/>
                <w:szCs w:val="24"/>
                <w:lang w:val="en-US" w:eastAsia="ko-KR"/>
              </w:rPr>
              <w:t>ty</w:t>
            </w:r>
            <w:bookmarkEnd w:id="4"/>
            <w:r>
              <w:rPr>
                <w:rFonts w:eastAsia="Malgun Gothic"/>
                <w:color w:val="24292E"/>
                <w:szCs w:val="24"/>
                <w:lang w:val="en-US" w:eastAsia="ko-KR"/>
              </w:rPr>
              <w:t xml:space="preserve"> and transparency  (by regulators)</w:t>
            </w:r>
          </w:p>
        </w:tc>
      </w:tr>
    </w:tbl>
    <w:p w:rsidR="00811492" w:rsidRDefault="00811492">
      <w:pPr>
        <w:overflowPunct w:val="0"/>
        <w:spacing w:before="0"/>
        <w:textAlignment w:val="auto"/>
        <w:rPr>
          <w:b/>
          <w:szCs w:val="24"/>
          <w:lang w:val="en-US"/>
        </w:rPr>
      </w:pPr>
    </w:p>
    <w:p w:rsidR="0060596A" w:rsidRDefault="0060596A">
      <w:pPr>
        <w:jc w:val="center"/>
        <w:outlineLvl w:val="0"/>
        <w:rPr>
          <w:b/>
          <w:szCs w:val="24"/>
          <w:u w:val="single"/>
          <w:lang w:val="en-US"/>
        </w:rPr>
      </w:pPr>
    </w:p>
    <w:p w:rsidR="0060596A" w:rsidRDefault="0060596A">
      <w:pPr>
        <w:jc w:val="center"/>
        <w:outlineLvl w:val="0"/>
        <w:rPr>
          <w:b/>
          <w:szCs w:val="24"/>
          <w:u w:val="single"/>
          <w:lang w:val="en-US"/>
        </w:rPr>
      </w:pPr>
    </w:p>
    <w:p w:rsidR="0060596A" w:rsidRDefault="0060596A">
      <w:pPr>
        <w:jc w:val="center"/>
        <w:outlineLvl w:val="0"/>
        <w:rPr>
          <w:b/>
          <w:szCs w:val="24"/>
          <w:u w:val="single"/>
          <w:lang w:val="en-US"/>
        </w:rPr>
      </w:pPr>
    </w:p>
    <w:p w:rsidR="0060596A" w:rsidRDefault="0060596A">
      <w:pPr>
        <w:jc w:val="center"/>
        <w:outlineLvl w:val="0"/>
        <w:rPr>
          <w:b/>
          <w:szCs w:val="24"/>
          <w:u w:val="single"/>
          <w:lang w:val="en-US"/>
        </w:rPr>
      </w:pPr>
    </w:p>
    <w:p w:rsidR="0060596A" w:rsidRDefault="0060596A">
      <w:pPr>
        <w:jc w:val="center"/>
        <w:outlineLvl w:val="0"/>
        <w:rPr>
          <w:b/>
          <w:szCs w:val="24"/>
          <w:u w:val="single"/>
          <w:lang w:val="en-US"/>
        </w:rPr>
      </w:pPr>
    </w:p>
    <w:p w:rsidR="0060596A" w:rsidRDefault="0060596A">
      <w:pPr>
        <w:jc w:val="center"/>
        <w:outlineLvl w:val="0"/>
        <w:rPr>
          <w:b/>
          <w:szCs w:val="24"/>
          <w:u w:val="single"/>
          <w:lang w:val="en-US"/>
        </w:rPr>
      </w:pPr>
    </w:p>
    <w:p w:rsidR="00811492" w:rsidRDefault="007D4CF9">
      <w:pPr>
        <w:jc w:val="center"/>
        <w:outlineLvl w:val="0"/>
        <w:rPr>
          <w:b/>
          <w:szCs w:val="24"/>
          <w:u w:val="single"/>
          <w:lang w:val="en-US"/>
        </w:rPr>
      </w:pPr>
      <w:r>
        <w:rPr>
          <w:b/>
          <w:szCs w:val="24"/>
          <w:u w:val="single"/>
          <w:lang w:val="en-US"/>
        </w:rPr>
        <w:t>Section 2: Current process</w:t>
      </w:r>
    </w:p>
    <w:p w:rsidR="00811492" w:rsidRDefault="00811492">
      <w:pPr>
        <w:rPr>
          <w:b/>
          <w:szCs w:val="24"/>
          <w:lang w:val="en-US"/>
        </w:rPr>
      </w:pPr>
    </w:p>
    <w:tbl>
      <w:tblPr>
        <w:tblW w:w="9781"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81"/>
      </w:tblGrid>
      <w:tr w:rsidR="00811492">
        <w:tc>
          <w:tcPr>
            <w:tcW w:w="9781"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Current Solutions</w:t>
            </w:r>
          </w:p>
        </w:tc>
      </w:tr>
      <w:tr w:rsidR="00811492">
        <w:tc>
          <w:tcPr>
            <w:tcW w:w="978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896B63">
            <w:pPr>
              <w:pStyle w:val="FigureTitle"/>
              <w:keepLines w:val="0"/>
              <w:spacing w:before="0" w:after="0"/>
              <w:jc w:val="left"/>
            </w:pPr>
            <w:r>
              <w:rPr>
                <w:color w:val="00000A"/>
                <w:szCs w:val="24"/>
              </w:rPr>
              <w:t xml:space="preserve">On </w:t>
            </w:r>
            <w:hyperlink r:id="rId20" w:history="1">
              <w:r w:rsidRPr="00896B63">
                <w:rPr>
                  <w:rStyle w:val="Hyperlink"/>
                  <w:szCs w:val="24"/>
                </w:rPr>
                <w:t>Eurion.io</w:t>
              </w:r>
            </w:hyperlink>
            <w:r>
              <w:rPr>
                <w:color w:val="00000A"/>
                <w:szCs w:val="24"/>
              </w:rPr>
              <w:t xml:space="preserve"> lowest KYC level, has been implemented, allowing to have a yearly 1000 € limit and 250 per operation</w:t>
            </w:r>
          </w:p>
        </w:tc>
      </w:tr>
    </w:tbl>
    <w:p w:rsidR="00811492" w:rsidRDefault="00811492">
      <w:pPr>
        <w:rPr>
          <w:b/>
          <w:szCs w:val="24"/>
          <w:lang w:val="en-US"/>
        </w:rPr>
      </w:pPr>
    </w:p>
    <w:tbl>
      <w:tblPr>
        <w:tblW w:w="9781" w:type="dxa"/>
        <w:tblInd w:w="-8"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26"/>
        <w:gridCol w:w="3240"/>
        <w:gridCol w:w="5615"/>
      </w:tblGrid>
      <w:tr w:rsidR="00811492">
        <w:trPr>
          <w:cantSplit/>
          <w:trHeight w:val="280"/>
          <w:tblHeader/>
        </w:trPr>
        <w:tc>
          <w:tcPr>
            <w:tcW w:w="9781" w:type="dxa"/>
            <w:gridSpan w:val="3"/>
            <w:tcBorders>
              <w:top w:val="single" w:sz="6" w:space="0" w:color="00000A"/>
              <w:left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b w:val="0"/>
                <w:sz w:val="24"/>
                <w:szCs w:val="24"/>
              </w:rPr>
            </w:pPr>
            <w:r>
              <w:rPr>
                <w:sz w:val="24"/>
                <w:szCs w:val="24"/>
              </w:rPr>
              <w:t>Existing Flow (as-is)</w:t>
            </w:r>
          </w:p>
        </w:tc>
      </w:tr>
      <w:tr w:rsidR="00811492">
        <w:trPr>
          <w:cantSplit/>
          <w:trHeight w:val="280"/>
          <w:tblHeader/>
        </w:trPr>
        <w:tc>
          <w:tcPr>
            <w:tcW w:w="926" w:type="dxa"/>
            <w:tcBorders>
              <w:top w:val="single" w:sz="6" w:space="0" w:color="00000A"/>
              <w:left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rPr>
                <w:sz w:val="24"/>
                <w:szCs w:val="24"/>
              </w:rPr>
            </w:pPr>
            <w:r>
              <w:rPr>
                <w:sz w:val="24"/>
                <w:szCs w:val="24"/>
              </w:rPr>
              <w:t>Step</w:t>
            </w:r>
          </w:p>
        </w:tc>
        <w:tc>
          <w:tcPr>
            <w:tcW w:w="3240" w:type="dxa"/>
            <w:tcBorders>
              <w:top w:val="single" w:sz="6" w:space="0" w:color="00000A"/>
              <w:left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rPr>
                <w:sz w:val="24"/>
                <w:szCs w:val="24"/>
              </w:rPr>
            </w:pPr>
            <w:r>
              <w:rPr>
                <w:sz w:val="24"/>
                <w:szCs w:val="24"/>
              </w:rPr>
              <w:t>User Actions</w:t>
            </w:r>
          </w:p>
        </w:tc>
        <w:tc>
          <w:tcPr>
            <w:tcW w:w="5615"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rPr>
                <w:sz w:val="24"/>
                <w:szCs w:val="24"/>
              </w:rPr>
            </w:pPr>
            <w:r>
              <w:rPr>
                <w:sz w:val="24"/>
                <w:szCs w:val="24"/>
              </w:rPr>
              <w:t>System Actions</w:t>
            </w:r>
          </w:p>
        </w:tc>
      </w:tr>
      <w:tr w:rsidR="00896B63">
        <w:trPr>
          <w:cantSplit/>
          <w:trHeight w:val="540"/>
        </w:trPr>
        <w:tc>
          <w:tcPr>
            <w:tcW w:w="9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rPr>
                <w:szCs w:val="24"/>
              </w:rPr>
              <w:t>1.</w:t>
            </w:r>
          </w:p>
        </w:tc>
        <w:tc>
          <w:tcPr>
            <w:tcW w:w="324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User Identification (KYC)</w:t>
            </w:r>
          </w:p>
        </w:tc>
        <w:tc>
          <w:tcPr>
            <w:tcW w:w="5615"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 xml:space="preserve">As money holders, all users need to be identified. Either central banks, banks or e-money entities need to identify users, following the  established KYC rules. Based on the level of identification, users are able to manage different amounts of money. </w:t>
            </w:r>
          </w:p>
        </w:tc>
      </w:tr>
      <w:tr w:rsidR="00896B63">
        <w:trPr>
          <w:cantSplit/>
          <w:trHeight w:val="577"/>
        </w:trPr>
        <w:tc>
          <w:tcPr>
            <w:tcW w:w="9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rPr>
                <w:szCs w:val="24"/>
              </w:rPr>
              <w:t>2.</w:t>
            </w:r>
          </w:p>
        </w:tc>
        <w:tc>
          <w:tcPr>
            <w:tcW w:w="324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Cashin</w:t>
            </w:r>
          </w:p>
        </w:tc>
        <w:tc>
          <w:tcPr>
            <w:tcW w:w="5615"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Cashin is done via the banking system, either using payment gateways or SEPA, SWIFT communication</w:t>
            </w:r>
          </w:p>
        </w:tc>
      </w:tr>
      <w:tr w:rsidR="00896B63">
        <w:trPr>
          <w:cantSplit/>
          <w:trHeight w:val="577"/>
        </w:trPr>
        <w:tc>
          <w:tcPr>
            <w:tcW w:w="926"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lastRenderedPageBreak/>
              <w:t>3.</w:t>
            </w:r>
          </w:p>
        </w:tc>
        <w:tc>
          <w:tcPr>
            <w:tcW w:w="3240"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 xml:space="preserve"> Transfer</w:t>
            </w:r>
          </w:p>
        </w:tc>
        <w:tc>
          <w:tcPr>
            <w:tcW w:w="5615"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SEPA, SWIFT communication based on ISO 20022 payments standards and bank integrations</w:t>
            </w:r>
          </w:p>
        </w:tc>
      </w:tr>
      <w:tr w:rsidR="00896B63">
        <w:trPr>
          <w:cantSplit/>
          <w:trHeight w:val="577"/>
        </w:trPr>
        <w:tc>
          <w:tcPr>
            <w:tcW w:w="926"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t>4,</w:t>
            </w:r>
          </w:p>
        </w:tc>
        <w:tc>
          <w:tcPr>
            <w:tcW w:w="3240"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Transfer with Hold</w:t>
            </w:r>
          </w:p>
        </w:tc>
        <w:tc>
          <w:tcPr>
            <w:tcW w:w="5615"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SEPA, SWIFT communication with ISO 20022 payments standards and bank integrations</w:t>
            </w:r>
          </w:p>
        </w:tc>
      </w:tr>
      <w:tr w:rsidR="00896B63">
        <w:trPr>
          <w:cantSplit/>
          <w:trHeight w:val="577"/>
        </w:trPr>
        <w:tc>
          <w:tcPr>
            <w:tcW w:w="926"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t>5.</w:t>
            </w:r>
          </w:p>
        </w:tc>
        <w:tc>
          <w:tcPr>
            <w:tcW w:w="3240"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Cashout</w:t>
            </w:r>
          </w:p>
        </w:tc>
        <w:tc>
          <w:tcPr>
            <w:tcW w:w="5615"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SEPA, SWIFT communication with ISO20022 payments standards and bank integrations</w:t>
            </w:r>
          </w:p>
        </w:tc>
      </w:tr>
    </w:tbl>
    <w:p w:rsidR="00811492" w:rsidRDefault="00811492">
      <w:pPr>
        <w:rPr>
          <w:b/>
          <w:szCs w:val="24"/>
          <w:lang w:val="en-US"/>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811492">
        <w:trPr>
          <w:cantSplit/>
          <w:trHeight w:val="280"/>
          <w:tblHeader/>
        </w:trPr>
        <w:tc>
          <w:tcPr>
            <w:tcW w:w="9773" w:type="dxa"/>
            <w:tcBorders>
              <w:top w:val="single" w:sz="6" w:space="0" w:color="00000A"/>
              <w:left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Process scheme (as-is)</w:t>
            </w:r>
          </w:p>
        </w:tc>
      </w:tr>
      <w:tr w:rsidR="00811492">
        <w:trPr>
          <w:cantSplit/>
          <w:trHeight w:val="540"/>
        </w:trPr>
        <w:tc>
          <w:tcPr>
            <w:tcW w:w="97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811492">
            <w:pPr>
              <w:rPr>
                <w:szCs w:val="24"/>
              </w:rPr>
            </w:pPr>
          </w:p>
          <w:p w:rsidR="00811492" w:rsidRDefault="00896B63">
            <w:pPr>
              <w:rPr>
                <w:szCs w:val="24"/>
              </w:rPr>
            </w:pPr>
            <w:r>
              <w:rPr>
                <w:b/>
                <w:noProof/>
                <w:szCs w:val="24"/>
                <w:lang w:eastAsia="en-GB"/>
              </w:rPr>
              <w:drawing>
                <wp:anchor distT="0" distB="0" distL="0" distR="0" simplePos="0" relativeHeight="251661312" behindDoc="0" locked="0" layoutInCell="1" allowOverlap="1" wp14:anchorId="1650241D" wp14:editId="1B862E1A">
                  <wp:simplePos x="0" y="0"/>
                  <wp:positionH relativeFrom="column">
                    <wp:posOffset>-9525</wp:posOffset>
                  </wp:positionH>
                  <wp:positionV relativeFrom="paragraph">
                    <wp:posOffset>266065</wp:posOffset>
                  </wp:positionV>
                  <wp:extent cx="5300980" cy="2350135"/>
                  <wp:effectExtent l="0" t="0" r="0" b="254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1"/>
                          <a:stretch>
                            <a:fillRect/>
                          </a:stretch>
                        </pic:blipFill>
                        <pic:spPr bwMode="auto">
                          <a:xfrm>
                            <a:off x="0" y="0"/>
                            <a:ext cx="5300980" cy="2350135"/>
                          </a:xfrm>
                          <a:prstGeom prst="rect">
                            <a:avLst/>
                          </a:prstGeom>
                        </pic:spPr>
                      </pic:pic>
                    </a:graphicData>
                  </a:graphic>
                  <wp14:sizeRelH relativeFrom="margin">
                    <wp14:pctWidth>0</wp14:pctWidth>
                  </wp14:sizeRelH>
                  <wp14:sizeRelV relativeFrom="margin">
                    <wp14:pctHeight>0</wp14:pctHeight>
                  </wp14:sizeRelV>
                </wp:anchor>
              </w:drawing>
            </w:r>
          </w:p>
          <w:p w:rsidR="00811492" w:rsidRDefault="00811492">
            <w:pPr>
              <w:rPr>
                <w:szCs w:val="24"/>
              </w:rPr>
            </w:pPr>
          </w:p>
          <w:p w:rsidR="00811492" w:rsidRDefault="00811492">
            <w:pPr>
              <w:rPr>
                <w:szCs w:val="24"/>
              </w:rPr>
            </w:pPr>
          </w:p>
          <w:p w:rsidR="00811492" w:rsidRDefault="00811492">
            <w:pPr>
              <w:rPr>
                <w:szCs w:val="24"/>
              </w:rPr>
            </w:pPr>
          </w:p>
          <w:p w:rsidR="00811492" w:rsidRDefault="00811492">
            <w:pPr>
              <w:rPr>
                <w:szCs w:val="24"/>
              </w:rPr>
            </w:pPr>
          </w:p>
          <w:p w:rsidR="00811492" w:rsidRDefault="00811492">
            <w:pPr>
              <w:rPr>
                <w:szCs w:val="24"/>
              </w:rPr>
            </w:pPr>
          </w:p>
          <w:p w:rsidR="00811492" w:rsidRDefault="00811492">
            <w:pPr>
              <w:rPr>
                <w:szCs w:val="24"/>
              </w:rPr>
            </w:pPr>
          </w:p>
          <w:p w:rsidR="00811492" w:rsidRDefault="00811492">
            <w:pPr>
              <w:rPr>
                <w:szCs w:val="24"/>
              </w:rPr>
            </w:pPr>
          </w:p>
          <w:p w:rsidR="00811492" w:rsidRDefault="00811492">
            <w:pPr>
              <w:rPr>
                <w:szCs w:val="24"/>
              </w:rPr>
            </w:pPr>
          </w:p>
          <w:p w:rsidR="00811492" w:rsidRDefault="00811492">
            <w:pPr>
              <w:rPr>
                <w:szCs w:val="24"/>
              </w:rPr>
            </w:pPr>
          </w:p>
          <w:p w:rsidR="00811492" w:rsidRDefault="00811492">
            <w:pPr>
              <w:rPr>
                <w:szCs w:val="24"/>
              </w:rPr>
            </w:pPr>
          </w:p>
          <w:p w:rsidR="00811492" w:rsidRDefault="00811492">
            <w:pPr>
              <w:rPr>
                <w:szCs w:val="24"/>
              </w:rPr>
            </w:pPr>
          </w:p>
        </w:tc>
      </w:tr>
    </w:tbl>
    <w:p w:rsidR="00811492" w:rsidRDefault="00811492">
      <w:pPr>
        <w:rPr>
          <w:b/>
          <w:szCs w:val="24"/>
          <w:lang w:val="en-US"/>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17"/>
        <w:gridCol w:w="2476"/>
        <w:gridCol w:w="6380"/>
      </w:tblGrid>
      <w:tr w:rsidR="00811492">
        <w:trPr>
          <w:cantSplit/>
          <w:trHeight w:val="280"/>
          <w:tblHeader/>
        </w:trPr>
        <w:tc>
          <w:tcPr>
            <w:tcW w:w="9773" w:type="dxa"/>
            <w:gridSpan w:val="3"/>
            <w:tcBorders>
              <w:top w:val="single" w:sz="6" w:space="0" w:color="00000A"/>
              <w:left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Data and information (as-is)</w:t>
            </w:r>
          </w:p>
        </w:tc>
      </w:tr>
      <w:tr w:rsidR="00811492">
        <w:trPr>
          <w:cantSplit/>
          <w:trHeight w:val="280"/>
          <w:tblHeader/>
        </w:trPr>
        <w:tc>
          <w:tcPr>
            <w:tcW w:w="917" w:type="dxa"/>
            <w:tcBorders>
              <w:top w:val="single" w:sz="6" w:space="0" w:color="00000A"/>
              <w:left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Data</w:t>
            </w:r>
          </w:p>
        </w:tc>
        <w:tc>
          <w:tcPr>
            <w:tcW w:w="2476" w:type="dxa"/>
            <w:tcBorders>
              <w:top w:val="single" w:sz="6" w:space="0" w:color="00000A"/>
              <w:left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Type</w:t>
            </w:r>
          </w:p>
        </w:tc>
        <w:tc>
          <w:tcPr>
            <w:tcW w:w="6380"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Description</w:t>
            </w:r>
          </w:p>
        </w:tc>
      </w:tr>
      <w:tr w:rsidR="00896B63">
        <w:trPr>
          <w:cantSplit/>
          <w:trHeight w:val="540"/>
        </w:trPr>
        <w:tc>
          <w:tcPr>
            <w:tcW w:w="91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rPr>
                <w:b/>
                <w:szCs w:val="24"/>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rPr>
                <w:i/>
                <w:szCs w:val="24"/>
              </w:rPr>
              <w:t>Documents</w:t>
            </w:r>
          </w:p>
        </w:tc>
        <w:tc>
          <w:tcPr>
            <w:tcW w:w="63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rPr>
                <w:szCs w:val="24"/>
              </w:rPr>
              <w:t xml:space="preserve"> All the identification process has important documents associated:</w:t>
            </w:r>
          </w:p>
          <w:p w:rsidR="00896B63" w:rsidRDefault="00896B63" w:rsidP="00896B63">
            <w:r>
              <w:rPr>
                <w:szCs w:val="24"/>
              </w:rPr>
              <w:t>KYC0: OTP validated mobile phone</w:t>
            </w:r>
          </w:p>
          <w:p w:rsidR="00896B63" w:rsidRDefault="00896B63" w:rsidP="00896B63">
            <w:r>
              <w:rPr>
                <w:szCs w:val="24"/>
              </w:rPr>
              <w:t>KYC1: Validated ID document</w:t>
            </w:r>
          </w:p>
          <w:p w:rsidR="00896B63" w:rsidRDefault="00896B63" w:rsidP="00896B63">
            <w:r>
              <w:rPr>
                <w:szCs w:val="24"/>
              </w:rPr>
              <w:t>KYC2: Biometric patterns linked to ID, income data, and personal  IBAN Information</w:t>
            </w:r>
          </w:p>
          <w:p w:rsidR="00896B63" w:rsidRDefault="00896B63" w:rsidP="00896B63">
            <w:r>
              <w:rPr>
                <w:szCs w:val="24"/>
              </w:rPr>
              <w:t>KYC4: KYC template</w:t>
            </w:r>
          </w:p>
        </w:tc>
      </w:tr>
      <w:tr w:rsidR="00896B63">
        <w:trPr>
          <w:cantSplit/>
          <w:trHeight w:val="540"/>
        </w:trPr>
        <w:tc>
          <w:tcPr>
            <w:tcW w:w="91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rPr>
                <w:b/>
                <w:szCs w:val="24"/>
              </w:rPr>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i/>
                <w:color w:val="00000A"/>
                <w:szCs w:val="24"/>
              </w:rPr>
              <w:t>Payment transactions</w:t>
            </w:r>
          </w:p>
        </w:tc>
        <w:tc>
          <w:tcPr>
            <w:tcW w:w="63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Cashin, Transfer and cashout</w:t>
            </w:r>
          </w:p>
        </w:tc>
      </w:tr>
    </w:tbl>
    <w:p w:rsidR="00811492" w:rsidRDefault="00811492">
      <w:pPr>
        <w:rPr>
          <w:b/>
          <w:szCs w:val="24"/>
          <w:lang w:val="en-US"/>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17"/>
        <w:gridCol w:w="2476"/>
        <w:gridCol w:w="6380"/>
      </w:tblGrid>
      <w:tr w:rsidR="00811492">
        <w:trPr>
          <w:cantSplit/>
          <w:trHeight w:val="280"/>
          <w:tblHeader/>
        </w:trPr>
        <w:tc>
          <w:tcPr>
            <w:tcW w:w="9773" w:type="dxa"/>
            <w:gridSpan w:val="3"/>
            <w:tcBorders>
              <w:top w:val="single" w:sz="6" w:space="0" w:color="00000A"/>
              <w:left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lastRenderedPageBreak/>
              <w:t>Participants and their roles (as-is)</w:t>
            </w:r>
          </w:p>
        </w:tc>
      </w:tr>
      <w:tr w:rsidR="00811492">
        <w:trPr>
          <w:cantSplit/>
          <w:trHeight w:val="280"/>
          <w:tblHeader/>
        </w:trPr>
        <w:tc>
          <w:tcPr>
            <w:tcW w:w="917" w:type="dxa"/>
            <w:tcBorders>
              <w:top w:val="single" w:sz="6" w:space="0" w:color="00000A"/>
              <w:left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Actor</w:t>
            </w:r>
          </w:p>
        </w:tc>
        <w:tc>
          <w:tcPr>
            <w:tcW w:w="2476" w:type="dxa"/>
            <w:tcBorders>
              <w:top w:val="single" w:sz="6" w:space="0" w:color="00000A"/>
              <w:left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Type/Role</w:t>
            </w:r>
          </w:p>
        </w:tc>
        <w:tc>
          <w:tcPr>
            <w:tcW w:w="6380"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Description</w:t>
            </w:r>
          </w:p>
        </w:tc>
      </w:tr>
      <w:tr w:rsidR="00896B63">
        <w:trPr>
          <w:cantSplit/>
          <w:trHeight w:val="540"/>
        </w:trPr>
        <w:tc>
          <w:tcPr>
            <w:tcW w:w="91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rPr>
                <w:b/>
                <w:szCs w:val="24"/>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rPr>
                <w:i/>
                <w:szCs w:val="24"/>
              </w:rPr>
              <w:t>Lawyers</w:t>
            </w:r>
          </w:p>
        </w:tc>
        <w:tc>
          <w:tcPr>
            <w:tcW w:w="63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rPr>
                <w:szCs w:val="24"/>
              </w:rPr>
              <w:t>Kyc and AML process definition</w:t>
            </w:r>
          </w:p>
        </w:tc>
      </w:tr>
      <w:tr w:rsidR="00896B63">
        <w:trPr>
          <w:cantSplit/>
          <w:trHeight w:val="540"/>
        </w:trPr>
        <w:tc>
          <w:tcPr>
            <w:tcW w:w="91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rPr>
                <w:b/>
                <w:szCs w:val="24"/>
              </w:rPr>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i/>
                <w:color w:val="00000A"/>
                <w:szCs w:val="24"/>
              </w:rPr>
              <w:t>Bank, Central Bank, and Emoney License</w:t>
            </w:r>
          </w:p>
        </w:tc>
        <w:tc>
          <w:tcPr>
            <w:tcW w:w="63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Money issuer</w:t>
            </w:r>
          </w:p>
          <w:p w:rsidR="00896B63" w:rsidRDefault="00896B63" w:rsidP="00896B63">
            <w:pPr>
              <w:pStyle w:val="NormalComment"/>
              <w:rPr>
                <w:color w:val="00000A"/>
                <w:szCs w:val="24"/>
              </w:rPr>
            </w:pPr>
          </w:p>
        </w:tc>
      </w:tr>
      <w:tr w:rsidR="00896B63">
        <w:trPr>
          <w:cantSplit/>
          <w:trHeight w:val="540"/>
        </w:trPr>
        <w:tc>
          <w:tcPr>
            <w:tcW w:w="917"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t>3</w:t>
            </w:r>
          </w:p>
        </w:tc>
        <w:tc>
          <w:tcPr>
            <w:tcW w:w="2476"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i/>
                <w:iCs/>
                <w:color w:val="00000A"/>
                <w:szCs w:val="24"/>
              </w:rPr>
              <w:t>User</w:t>
            </w:r>
          </w:p>
        </w:tc>
        <w:tc>
          <w:tcPr>
            <w:tcW w:w="6380"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Money holder</w:t>
            </w:r>
          </w:p>
        </w:tc>
      </w:tr>
      <w:tr w:rsidR="00896B63">
        <w:trPr>
          <w:cantSplit/>
          <w:trHeight w:val="540"/>
        </w:trPr>
        <w:tc>
          <w:tcPr>
            <w:tcW w:w="917"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t xml:space="preserve">4 </w:t>
            </w:r>
          </w:p>
        </w:tc>
        <w:tc>
          <w:tcPr>
            <w:tcW w:w="2476"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i/>
                <w:iCs/>
                <w:color w:val="00000A"/>
                <w:szCs w:val="24"/>
              </w:rPr>
              <w:t>Clearing Agent</w:t>
            </w:r>
          </w:p>
        </w:tc>
        <w:tc>
          <w:tcPr>
            <w:tcW w:w="6380"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Allows a clearable operation to be fulfilled</w:t>
            </w:r>
          </w:p>
        </w:tc>
      </w:tr>
    </w:tbl>
    <w:p w:rsidR="00811492" w:rsidRDefault="00811492">
      <w:pPr>
        <w:rPr>
          <w:b/>
          <w:szCs w:val="24"/>
          <w:lang w:val="en-US"/>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811492">
        <w:tc>
          <w:tcPr>
            <w:tcW w:w="9773"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HeadingBase"/>
              <w:spacing w:before="0" w:after="0"/>
              <w:rPr>
                <w:sz w:val="24"/>
                <w:szCs w:val="24"/>
              </w:rPr>
            </w:pPr>
            <w:r>
              <w:rPr>
                <w:sz w:val="24"/>
                <w:szCs w:val="24"/>
              </w:rPr>
              <w:t>Other Notes</w:t>
            </w:r>
          </w:p>
        </w:tc>
      </w:tr>
      <w:tr w:rsidR="00811492">
        <w:tc>
          <w:tcPr>
            <w:tcW w:w="97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674607">
            <w:pPr>
              <w:tabs>
                <w:tab w:val="left" w:pos="720"/>
              </w:tabs>
              <w:overflowPunct w:val="0"/>
              <w:spacing w:after="60"/>
              <w:textAlignment w:val="auto"/>
              <w:rPr>
                <w:i/>
                <w:szCs w:val="24"/>
              </w:rPr>
            </w:pPr>
            <w:r>
              <w:rPr>
                <w:i/>
                <w:szCs w:val="24"/>
              </w:rPr>
              <w:t>No.</w:t>
            </w:r>
          </w:p>
        </w:tc>
      </w:tr>
    </w:tbl>
    <w:p w:rsidR="00811492" w:rsidRDefault="00811492">
      <w:pPr>
        <w:rPr>
          <w:b/>
          <w:szCs w:val="24"/>
          <w:lang w:val="en-US"/>
        </w:rPr>
      </w:pPr>
    </w:p>
    <w:p w:rsidR="00811492" w:rsidRDefault="007D4CF9">
      <w:pPr>
        <w:overflowPunct w:val="0"/>
        <w:spacing w:before="0"/>
        <w:textAlignment w:val="auto"/>
        <w:rPr>
          <w:b/>
          <w:szCs w:val="24"/>
          <w:lang w:val="en-US"/>
        </w:rPr>
      </w:pPr>
      <w:r>
        <w:br w:type="page"/>
      </w:r>
    </w:p>
    <w:p w:rsidR="00811492" w:rsidRDefault="007D4CF9">
      <w:pPr>
        <w:jc w:val="center"/>
        <w:outlineLvl w:val="0"/>
        <w:rPr>
          <w:b/>
          <w:u w:val="single"/>
        </w:rPr>
      </w:pPr>
      <w:r>
        <w:rPr>
          <w:b/>
          <w:u w:val="single"/>
        </w:rPr>
        <w:lastRenderedPageBreak/>
        <w:t>Section 3: Expected process</w:t>
      </w:r>
    </w:p>
    <w:p w:rsidR="00811492" w:rsidRDefault="00811492">
      <w:pPr>
        <w:jc w:val="center"/>
        <w:rPr>
          <w:b/>
          <w:u w:val="single"/>
        </w:rPr>
      </w:pPr>
    </w:p>
    <w:tbl>
      <w:tblPr>
        <w:tblW w:w="9781" w:type="dxa"/>
        <w:tblInd w:w="-8"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31"/>
        <w:gridCol w:w="3238"/>
        <w:gridCol w:w="5612"/>
      </w:tblGrid>
      <w:tr w:rsidR="0060596A" w:rsidTr="005E4476">
        <w:trPr>
          <w:cantSplit/>
          <w:trHeight w:val="280"/>
          <w:tblHeader/>
        </w:trPr>
        <w:tc>
          <w:tcPr>
            <w:tcW w:w="9781" w:type="dxa"/>
            <w:gridSpan w:val="3"/>
            <w:tcBorders>
              <w:top w:val="single" w:sz="6" w:space="0" w:color="00000A"/>
              <w:left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jc w:val="left"/>
              <w:rPr>
                <w:b w:val="0"/>
                <w:sz w:val="24"/>
                <w:szCs w:val="24"/>
              </w:rPr>
            </w:pPr>
            <w:r>
              <w:rPr>
                <w:sz w:val="24"/>
                <w:szCs w:val="24"/>
              </w:rPr>
              <w:t>Expected Flow (TO BE)</w:t>
            </w:r>
          </w:p>
        </w:tc>
      </w:tr>
      <w:tr w:rsidR="0060596A" w:rsidTr="0060596A">
        <w:trPr>
          <w:cantSplit/>
          <w:trHeight w:val="280"/>
          <w:tblHeader/>
        </w:trPr>
        <w:tc>
          <w:tcPr>
            <w:tcW w:w="931" w:type="dxa"/>
            <w:tcBorders>
              <w:top w:val="single" w:sz="6" w:space="0" w:color="00000A"/>
              <w:left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rPr>
                <w:sz w:val="24"/>
                <w:szCs w:val="24"/>
              </w:rPr>
            </w:pPr>
            <w:r>
              <w:rPr>
                <w:sz w:val="24"/>
                <w:szCs w:val="24"/>
              </w:rPr>
              <w:t>Step</w:t>
            </w:r>
          </w:p>
        </w:tc>
        <w:tc>
          <w:tcPr>
            <w:tcW w:w="3238" w:type="dxa"/>
            <w:tcBorders>
              <w:top w:val="single" w:sz="6" w:space="0" w:color="00000A"/>
              <w:left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rPr>
                <w:sz w:val="24"/>
                <w:szCs w:val="24"/>
              </w:rPr>
            </w:pPr>
            <w:r>
              <w:rPr>
                <w:sz w:val="24"/>
                <w:szCs w:val="24"/>
              </w:rPr>
              <w:t>User Actions</w:t>
            </w:r>
          </w:p>
        </w:tc>
        <w:tc>
          <w:tcPr>
            <w:tcW w:w="5612"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rPr>
                <w:sz w:val="24"/>
                <w:szCs w:val="24"/>
              </w:rPr>
            </w:pPr>
            <w:r>
              <w:rPr>
                <w:sz w:val="24"/>
                <w:szCs w:val="24"/>
              </w:rPr>
              <w:t>System Actions</w:t>
            </w:r>
          </w:p>
        </w:tc>
      </w:tr>
      <w:tr w:rsidR="00896B63" w:rsidTr="0060596A">
        <w:trPr>
          <w:cantSplit/>
          <w:trHeight w:val="540"/>
        </w:trPr>
        <w:tc>
          <w:tcPr>
            <w:tcW w:w="93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rPr>
                <w:szCs w:val="24"/>
              </w:rPr>
            </w:pPr>
            <w:r>
              <w:rPr>
                <w:szCs w:val="24"/>
              </w:rPr>
              <w:t>1.</w:t>
            </w:r>
          </w:p>
        </w:tc>
        <w:tc>
          <w:tcPr>
            <w:tcW w:w="323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rPr>
                <w:color w:val="00000A"/>
                <w:szCs w:val="24"/>
              </w:rPr>
            </w:pPr>
            <w:r>
              <w:rPr>
                <w:color w:val="00000A"/>
                <w:szCs w:val="24"/>
              </w:rPr>
              <w:t>User Identification (KYC)</w:t>
            </w:r>
          </w:p>
        </w:tc>
        <w:tc>
          <w:tcPr>
            <w:tcW w:w="561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As money holders, all users need to be identified. Either central banks, banks or e-money entities need to identify users, following the established KYC rules. Based on the level of identification, users are able to manage different amounts of money. On Eurion.io lowest KYC level, has been implements, allowing to have a yearly 1000 € limit and 250 per operation. On chain configuration is done via EIP 2009</w:t>
            </w:r>
          </w:p>
        </w:tc>
      </w:tr>
      <w:tr w:rsidR="00896B63" w:rsidTr="0060596A">
        <w:trPr>
          <w:cantSplit/>
          <w:trHeight w:val="577"/>
        </w:trPr>
        <w:tc>
          <w:tcPr>
            <w:tcW w:w="93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rPr>
                <w:szCs w:val="24"/>
              </w:rPr>
            </w:pPr>
            <w:r>
              <w:rPr>
                <w:szCs w:val="24"/>
              </w:rPr>
              <w:t>2.</w:t>
            </w:r>
          </w:p>
        </w:tc>
        <w:tc>
          <w:tcPr>
            <w:tcW w:w="323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rPr>
                <w:color w:val="00000A"/>
                <w:szCs w:val="24"/>
              </w:rPr>
            </w:pPr>
            <w:r>
              <w:rPr>
                <w:color w:val="00000A"/>
                <w:szCs w:val="24"/>
              </w:rPr>
              <w:t>Cashin</w:t>
            </w:r>
          </w:p>
        </w:tc>
        <w:tc>
          <w:tcPr>
            <w:tcW w:w="561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rPr>
                <w:color w:val="00000A"/>
                <w:szCs w:val="24"/>
              </w:rPr>
            </w:pPr>
            <w:r>
              <w:rPr>
                <w:color w:val="00000A"/>
                <w:szCs w:val="24"/>
              </w:rPr>
              <w:t>Once users have been identified, they can start using tokenized cash. There are 2 ways of being able to receive tokenized money, via an existing user that nat</w:t>
            </w:r>
            <w:r w:rsidR="00D70004">
              <w:rPr>
                <w:color w:val="00000A"/>
                <w:szCs w:val="24"/>
              </w:rPr>
              <w:t>ively transfers money, or via</w:t>
            </w:r>
            <w:r>
              <w:rPr>
                <w:color w:val="00000A"/>
                <w:szCs w:val="24"/>
              </w:rPr>
              <w:t xml:space="preserve">  baking system based cashin operation, either via credit card or SEPA transfer. All Eurion users, have an unique IBAN associated to its ethereum address.</w:t>
            </w:r>
          </w:p>
          <w:p w:rsidR="00896B63" w:rsidRDefault="00896B63" w:rsidP="00896B63">
            <w:pPr>
              <w:pStyle w:val="NormalComment"/>
            </w:pPr>
            <w:r>
              <w:rPr>
                <w:color w:val="00000A"/>
                <w:szCs w:val="24"/>
              </w:rPr>
              <w:t>This cashin operation, can be executed on a centralized or  decentralized way, via the funding method provided by the standard. On invocation, the token issuer, will read the payment transaction and mint the required tokens (EIP 2019)</w:t>
            </w:r>
          </w:p>
        </w:tc>
      </w:tr>
      <w:tr w:rsidR="00896B63" w:rsidTr="0060596A">
        <w:trPr>
          <w:cantSplit/>
          <w:trHeight w:val="577"/>
        </w:trPr>
        <w:tc>
          <w:tcPr>
            <w:tcW w:w="931"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t>3.</w:t>
            </w:r>
          </w:p>
        </w:tc>
        <w:tc>
          <w:tcPr>
            <w:tcW w:w="3238"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rPr>
                <w:color w:val="00000A"/>
                <w:szCs w:val="24"/>
              </w:rPr>
            </w:pPr>
            <w:r>
              <w:rPr>
                <w:color w:val="00000A"/>
                <w:szCs w:val="24"/>
              </w:rPr>
              <w:t xml:space="preserve"> Transfer</w:t>
            </w:r>
          </w:p>
        </w:tc>
        <w:tc>
          <w:tcPr>
            <w:tcW w:w="5612"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rPr>
                <w:color w:val="00000A"/>
                <w:szCs w:val="24"/>
              </w:rPr>
            </w:pPr>
            <w:r>
              <w:rPr>
                <w:color w:val="00000A"/>
                <w:szCs w:val="24"/>
              </w:rPr>
              <w:t>A native transfer between token holders.</w:t>
            </w:r>
          </w:p>
        </w:tc>
      </w:tr>
      <w:tr w:rsidR="00896B63" w:rsidTr="0060596A">
        <w:trPr>
          <w:cantSplit/>
          <w:trHeight w:val="577"/>
        </w:trPr>
        <w:tc>
          <w:tcPr>
            <w:tcW w:w="931"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t>4,</w:t>
            </w:r>
          </w:p>
        </w:tc>
        <w:tc>
          <w:tcPr>
            <w:tcW w:w="3238"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rPr>
                <w:color w:val="00000A"/>
                <w:szCs w:val="24"/>
              </w:rPr>
            </w:pPr>
            <w:r>
              <w:rPr>
                <w:color w:val="00000A"/>
                <w:szCs w:val="24"/>
              </w:rPr>
              <w:t>Transfer with Hold</w:t>
            </w:r>
          </w:p>
        </w:tc>
        <w:tc>
          <w:tcPr>
            <w:tcW w:w="5612"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In some cases, native transfer want to be validate or cleared by a third party, On this case mixing the hold and clearing capabilities of the standard, such kind of transactions can be easily implemented.(EIP 2019)</w:t>
            </w:r>
          </w:p>
        </w:tc>
      </w:tr>
      <w:tr w:rsidR="00896B63" w:rsidTr="0060596A">
        <w:trPr>
          <w:cantSplit/>
          <w:trHeight w:val="577"/>
        </w:trPr>
        <w:tc>
          <w:tcPr>
            <w:tcW w:w="931"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r>
              <w:t>5.</w:t>
            </w:r>
          </w:p>
        </w:tc>
        <w:tc>
          <w:tcPr>
            <w:tcW w:w="3238"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rPr>
                <w:color w:val="00000A"/>
                <w:szCs w:val="24"/>
              </w:rPr>
            </w:pPr>
            <w:r>
              <w:rPr>
                <w:color w:val="00000A"/>
                <w:szCs w:val="24"/>
              </w:rPr>
              <w:t>Cashout</w:t>
            </w:r>
          </w:p>
        </w:tc>
        <w:tc>
          <w:tcPr>
            <w:tcW w:w="5612" w:type="dxa"/>
            <w:tcBorders>
              <w:left w:val="single" w:sz="6" w:space="0" w:color="00000A"/>
              <w:bottom w:val="single" w:sz="6" w:space="0" w:color="00000A"/>
              <w:right w:val="single" w:sz="6" w:space="0" w:color="00000A"/>
            </w:tcBorders>
            <w:shd w:val="clear" w:color="auto" w:fill="auto"/>
            <w:tcMar>
              <w:left w:w="107" w:type="dxa"/>
            </w:tcMar>
          </w:tcPr>
          <w:p w:rsidR="00896B63" w:rsidRDefault="00896B63" w:rsidP="00896B63">
            <w:pPr>
              <w:pStyle w:val="NormalComment"/>
            </w:pPr>
            <w:r>
              <w:rPr>
                <w:color w:val="00000A"/>
                <w:szCs w:val="24"/>
              </w:rPr>
              <w:t>An cashout operation, can be executed on a centralized or  decentralized way, via the payout method provided by the standard. On invocation, the token issuer, will read the payment transaction and burn the required tokens. (EIP 2021)</w:t>
            </w:r>
          </w:p>
        </w:tc>
      </w:tr>
    </w:tbl>
    <w:p w:rsidR="00811492" w:rsidRDefault="00811492">
      <w:pPr>
        <w:jc w:val="center"/>
        <w:rPr>
          <w:b/>
          <w:u w:val="single"/>
        </w:rPr>
      </w:pPr>
    </w:p>
    <w:p w:rsidR="0060596A" w:rsidRDefault="0060596A">
      <w:pPr>
        <w:jc w:val="center"/>
        <w:rPr>
          <w:b/>
          <w:u w:val="single"/>
        </w:rPr>
      </w:pPr>
    </w:p>
    <w:p w:rsidR="0060596A" w:rsidRDefault="0060596A">
      <w:pPr>
        <w:jc w:val="center"/>
        <w:rPr>
          <w:b/>
          <w:u w:val="single"/>
        </w:rPr>
      </w:pPr>
    </w:p>
    <w:p w:rsidR="0060596A" w:rsidRDefault="0060596A">
      <w:pPr>
        <w:jc w:val="center"/>
        <w:rPr>
          <w:b/>
          <w:u w:val="single"/>
        </w:rPr>
      </w:pPr>
    </w:p>
    <w:p w:rsidR="0060596A" w:rsidRDefault="0060596A">
      <w:pPr>
        <w:jc w:val="center"/>
        <w:rPr>
          <w:b/>
          <w:u w:val="single"/>
        </w:rPr>
      </w:pPr>
    </w:p>
    <w:p w:rsidR="0060596A" w:rsidRDefault="0060596A">
      <w:pPr>
        <w:jc w:val="center"/>
        <w:rPr>
          <w:b/>
          <w:u w:val="single"/>
        </w:rPr>
      </w:pPr>
    </w:p>
    <w:p w:rsidR="0060596A" w:rsidRDefault="0060596A">
      <w:pPr>
        <w:jc w:val="center"/>
        <w:rPr>
          <w:b/>
          <w:u w:val="single"/>
        </w:rPr>
      </w:pPr>
    </w:p>
    <w:p w:rsidR="0060596A" w:rsidRDefault="0060596A">
      <w:pPr>
        <w:jc w:val="center"/>
        <w:rPr>
          <w:b/>
          <w:u w:val="single"/>
        </w:rPr>
      </w:pPr>
    </w:p>
    <w:p w:rsidR="0060596A" w:rsidRDefault="0060596A">
      <w:pPr>
        <w:jc w:val="center"/>
        <w:rPr>
          <w:b/>
          <w:u w:val="single"/>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811492">
        <w:trPr>
          <w:cantSplit/>
          <w:trHeight w:val="280"/>
          <w:tblHeader/>
        </w:trPr>
        <w:tc>
          <w:tcPr>
            <w:tcW w:w="9773" w:type="dxa"/>
            <w:tcBorders>
              <w:top w:val="single" w:sz="6" w:space="0" w:color="00000A"/>
              <w:left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Process scheme (to-be)</w:t>
            </w:r>
          </w:p>
        </w:tc>
      </w:tr>
      <w:tr w:rsidR="00811492">
        <w:trPr>
          <w:cantSplit/>
          <w:trHeight w:hRule="exact" w:val="23"/>
        </w:trPr>
        <w:tc>
          <w:tcPr>
            <w:tcW w:w="97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811492">
            <w:pPr>
              <w:pStyle w:val="NormalComment"/>
              <w:rPr>
                <w:color w:val="00000A"/>
                <w:szCs w:val="24"/>
              </w:rPr>
            </w:pPr>
          </w:p>
        </w:tc>
      </w:tr>
    </w:tbl>
    <w:p w:rsidR="00811492" w:rsidRDefault="0060596A">
      <w:pPr>
        <w:jc w:val="center"/>
        <w:rPr>
          <w:b/>
          <w:u w:val="single"/>
        </w:rPr>
      </w:pPr>
      <w:r>
        <w:rPr>
          <w:noProof/>
          <w:szCs w:val="24"/>
          <w:lang w:eastAsia="en-GB"/>
        </w:rPr>
        <w:drawing>
          <wp:anchor distT="0" distB="0" distL="0" distR="0" simplePos="0" relativeHeight="251659264" behindDoc="0" locked="0" layoutInCell="1" allowOverlap="1" wp14:anchorId="0617309B" wp14:editId="42B05C96">
            <wp:simplePos x="0" y="0"/>
            <wp:positionH relativeFrom="column">
              <wp:posOffset>0</wp:posOffset>
            </wp:positionH>
            <wp:positionV relativeFrom="paragraph">
              <wp:posOffset>177800</wp:posOffset>
            </wp:positionV>
            <wp:extent cx="6064250" cy="25019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2"/>
                    <a:stretch>
                      <a:fillRect/>
                    </a:stretch>
                  </pic:blipFill>
                  <pic:spPr bwMode="auto">
                    <a:xfrm>
                      <a:off x="0" y="0"/>
                      <a:ext cx="6064250" cy="2501900"/>
                    </a:xfrm>
                    <a:prstGeom prst="rect">
                      <a:avLst/>
                    </a:prstGeom>
                  </pic:spPr>
                </pic:pic>
              </a:graphicData>
            </a:graphic>
          </wp:anchor>
        </w:drawing>
      </w: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17"/>
        <w:gridCol w:w="2476"/>
        <w:gridCol w:w="6380"/>
      </w:tblGrid>
      <w:tr w:rsidR="0060596A" w:rsidTr="005E4476">
        <w:trPr>
          <w:cantSplit/>
          <w:trHeight w:val="280"/>
          <w:tblHeader/>
        </w:trPr>
        <w:tc>
          <w:tcPr>
            <w:tcW w:w="9773" w:type="dxa"/>
            <w:gridSpan w:val="3"/>
            <w:tcBorders>
              <w:top w:val="single" w:sz="6" w:space="0" w:color="00000A"/>
              <w:left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jc w:val="left"/>
              <w:rPr>
                <w:sz w:val="24"/>
                <w:szCs w:val="24"/>
              </w:rPr>
            </w:pPr>
            <w:r>
              <w:rPr>
                <w:sz w:val="24"/>
                <w:szCs w:val="24"/>
              </w:rPr>
              <w:t xml:space="preserve">Participants and their roles </w:t>
            </w:r>
          </w:p>
        </w:tc>
      </w:tr>
      <w:tr w:rsidR="0060596A" w:rsidTr="005E4476">
        <w:trPr>
          <w:cantSplit/>
          <w:trHeight w:val="280"/>
          <w:tblHeader/>
        </w:trPr>
        <w:tc>
          <w:tcPr>
            <w:tcW w:w="917" w:type="dxa"/>
            <w:tcBorders>
              <w:top w:val="single" w:sz="6" w:space="0" w:color="00000A"/>
              <w:left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jc w:val="left"/>
              <w:rPr>
                <w:sz w:val="24"/>
                <w:szCs w:val="24"/>
              </w:rPr>
            </w:pPr>
            <w:r>
              <w:rPr>
                <w:sz w:val="24"/>
                <w:szCs w:val="24"/>
              </w:rPr>
              <w:t>Actor</w:t>
            </w:r>
          </w:p>
        </w:tc>
        <w:tc>
          <w:tcPr>
            <w:tcW w:w="2476" w:type="dxa"/>
            <w:tcBorders>
              <w:top w:val="single" w:sz="6" w:space="0" w:color="00000A"/>
              <w:left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jc w:val="left"/>
              <w:rPr>
                <w:sz w:val="24"/>
                <w:szCs w:val="24"/>
              </w:rPr>
            </w:pPr>
            <w:r>
              <w:rPr>
                <w:sz w:val="24"/>
                <w:szCs w:val="24"/>
              </w:rPr>
              <w:t>Type/Role</w:t>
            </w:r>
          </w:p>
        </w:tc>
        <w:tc>
          <w:tcPr>
            <w:tcW w:w="6380"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jc w:val="left"/>
              <w:rPr>
                <w:sz w:val="24"/>
                <w:szCs w:val="24"/>
              </w:rPr>
            </w:pPr>
            <w:r>
              <w:rPr>
                <w:sz w:val="24"/>
                <w:szCs w:val="24"/>
              </w:rPr>
              <w:t>Description</w:t>
            </w:r>
          </w:p>
        </w:tc>
      </w:tr>
      <w:tr w:rsidR="0060596A" w:rsidTr="005E4476">
        <w:trPr>
          <w:cantSplit/>
          <w:trHeight w:val="540"/>
        </w:trPr>
        <w:tc>
          <w:tcPr>
            <w:tcW w:w="91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rPr>
                <w:b/>
                <w:szCs w:val="24"/>
              </w:rPr>
            </w:pPr>
            <w:r>
              <w:rPr>
                <w:b/>
                <w:szCs w:val="24"/>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rPr>
                <w:i/>
                <w:szCs w:val="24"/>
              </w:rPr>
            </w:pPr>
            <w:r>
              <w:rPr>
                <w:i/>
                <w:szCs w:val="24"/>
              </w:rPr>
              <w:t>Lawyers</w:t>
            </w:r>
          </w:p>
        </w:tc>
        <w:tc>
          <w:tcPr>
            <w:tcW w:w="63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rPr>
                <w:szCs w:val="24"/>
              </w:rPr>
            </w:pPr>
            <w:r>
              <w:rPr>
                <w:szCs w:val="24"/>
              </w:rPr>
              <w:t>Kyc and AML process definition</w:t>
            </w:r>
          </w:p>
        </w:tc>
      </w:tr>
      <w:tr w:rsidR="0060596A" w:rsidTr="005E4476">
        <w:trPr>
          <w:cantSplit/>
          <w:trHeight w:val="540"/>
        </w:trPr>
        <w:tc>
          <w:tcPr>
            <w:tcW w:w="91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rPr>
                <w:b/>
                <w:szCs w:val="24"/>
              </w:rPr>
            </w:pPr>
            <w:r>
              <w:rPr>
                <w:b/>
                <w:szCs w:val="24"/>
              </w:rPr>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pStyle w:val="NormalComment"/>
            </w:pPr>
            <w:r>
              <w:rPr>
                <w:i/>
                <w:color w:val="00000A"/>
                <w:szCs w:val="24"/>
              </w:rPr>
              <w:t>Bank, Central Bank, and Emoney License</w:t>
            </w:r>
          </w:p>
        </w:tc>
        <w:tc>
          <w:tcPr>
            <w:tcW w:w="63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pStyle w:val="NormalComment"/>
              <w:rPr>
                <w:color w:val="00000A"/>
                <w:szCs w:val="24"/>
              </w:rPr>
            </w:pPr>
            <w:r>
              <w:rPr>
                <w:color w:val="00000A"/>
                <w:szCs w:val="24"/>
              </w:rPr>
              <w:t>Money issuer</w:t>
            </w:r>
          </w:p>
          <w:p w:rsidR="0060596A" w:rsidRDefault="0060596A" w:rsidP="005E4476">
            <w:pPr>
              <w:pStyle w:val="NormalComment"/>
              <w:rPr>
                <w:color w:val="00000A"/>
                <w:szCs w:val="24"/>
              </w:rPr>
            </w:pPr>
          </w:p>
        </w:tc>
      </w:tr>
      <w:tr w:rsidR="0060596A" w:rsidTr="005E4476">
        <w:trPr>
          <w:cantSplit/>
          <w:trHeight w:val="540"/>
        </w:trPr>
        <w:tc>
          <w:tcPr>
            <w:tcW w:w="917" w:type="dxa"/>
            <w:tcBorders>
              <w:left w:val="single" w:sz="6" w:space="0" w:color="00000A"/>
              <w:bottom w:val="single" w:sz="6" w:space="0" w:color="00000A"/>
              <w:right w:val="single" w:sz="6" w:space="0" w:color="00000A"/>
            </w:tcBorders>
            <w:shd w:val="clear" w:color="auto" w:fill="auto"/>
            <w:tcMar>
              <w:left w:w="107" w:type="dxa"/>
            </w:tcMar>
          </w:tcPr>
          <w:p w:rsidR="0060596A" w:rsidRDefault="0060596A" w:rsidP="005E4476">
            <w:r>
              <w:t>3</w:t>
            </w:r>
          </w:p>
        </w:tc>
        <w:tc>
          <w:tcPr>
            <w:tcW w:w="2476" w:type="dxa"/>
            <w:tcBorders>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pStyle w:val="NormalComment"/>
              <w:rPr>
                <w:i/>
                <w:iCs/>
                <w:color w:val="00000A"/>
                <w:szCs w:val="24"/>
              </w:rPr>
            </w:pPr>
            <w:r>
              <w:rPr>
                <w:i/>
                <w:iCs/>
                <w:color w:val="00000A"/>
                <w:szCs w:val="24"/>
              </w:rPr>
              <w:t>User</w:t>
            </w:r>
          </w:p>
        </w:tc>
        <w:tc>
          <w:tcPr>
            <w:tcW w:w="6380" w:type="dxa"/>
            <w:tcBorders>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pStyle w:val="NormalComment"/>
              <w:rPr>
                <w:color w:val="00000A"/>
                <w:szCs w:val="24"/>
              </w:rPr>
            </w:pPr>
            <w:r>
              <w:rPr>
                <w:color w:val="00000A"/>
                <w:szCs w:val="24"/>
              </w:rPr>
              <w:t>Money holder</w:t>
            </w:r>
          </w:p>
        </w:tc>
      </w:tr>
      <w:tr w:rsidR="0060596A" w:rsidTr="005E4476">
        <w:trPr>
          <w:cantSplit/>
          <w:trHeight w:val="540"/>
        </w:trPr>
        <w:tc>
          <w:tcPr>
            <w:tcW w:w="917" w:type="dxa"/>
            <w:tcBorders>
              <w:left w:val="single" w:sz="6" w:space="0" w:color="00000A"/>
              <w:bottom w:val="single" w:sz="6" w:space="0" w:color="00000A"/>
              <w:right w:val="single" w:sz="6" w:space="0" w:color="00000A"/>
            </w:tcBorders>
            <w:shd w:val="clear" w:color="auto" w:fill="auto"/>
            <w:tcMar>
              <w:left w:w="107" w:type="dxa"/>
            </w:tcMar>
          </w:tcPr>
          <w:p w:rsidR="0060596A" w:rsidRDefault="0060596A" w:rsidP="005E4476">
            <w:r>
              <w:t xml:space="preserve">4 </w:t>
            </w:r>
          </w:p>
        </w:tc>
        <w:tc>
          <w:tcPr>
            <w:tcW w:w="2476" w:type="dxa"/>
            <w:tcBorders>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pStyle w:val="NormalComment"/>
              <w:rPr>
                <w:i/>
                <w:iCs/>
                <w:color w:val="00000A"/>
                <w:szCs w:val="24"/>
              </w:rPr>
            </w:pPr>
            <w:r>
              <w:rPr>
                <w:i/>
                <w:iCs/>
                <w:color w:val="00000A"/>
                <w:szCs w:val="24"/>
              </w:rPr>
              <w:t>Clearing Agent</w:t>
            </w:r>
          </w:p>
        </w:tc>
        <w:tc>
          <w:tcPr>
            <w:tcW w:w="6380" w:type="dxa"/>
            <w:tcBorders>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pStyle w:val="NormalComment"/>
              <w:rPr>
                <w:color w:val="00000A"/>
                <w:szCs w:val="24"/>
              </w:rPr>
            </w:pPr>
            <w:r>
              <w:rPr>
                <w:color w:val="00000A"/>
                <w:szCs w:val="24"/>
              </w:rPr>
              <w:t>Allows a clearable operation to be fulfilled</w:t>
            </w:r>
          </w:p>
        </w:tc>
      </w:tr>
      <w:tr w:rsidR="0060596A" w:rsidTr="005E4476">
        <w:trPr>
          <w:cantSplit/>
          <w:trHeight w:val="540"/>
        </w:trPr>
        <w:tc>
          <w:tcPr>
            <w:tcW w:w="917" w:type="dxa"/>
            <w:tcBorders>
              <w:left w:val="single" w:sz="6" w:space="0" w:color="00000A"/>
              <w:bottom w:val="single" w:sz="6" w:space="0" w:color="00000A"/>
              <w:right w:val="single" w:sz="6" w:space="0" w:color="00000A"/>
            </w:tcBorders>
            <w:shd w:val="clear" w:color="auto" w:fill="auto"/>
            <w:tcMar>
              <w:left w:w="107" w:type="dxa"/>
            </w:tcMar>
          </w:tcPr>
          <w:p w:rsidR="0060596A" w:rsidRDefault="0060596A" w:rsidP="005E4476">
            <w:r>
              <w:t>5</w:t>
            </w:r>
          </w:p>
        </w:tc>
        <w:tc>
          <w:tcPr>
            <w:tcW w:w="2476" w:type="dxa"/>
            <w:tcBorders>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pStyle w:val="NormalComment"/>
              <w:rPr>
                <w:i/>
                <w:iCs/>
                <w:color w:val="00000A"/>
                <w:szCs w:val="24"/>
              </w:rPr>
            </w:pPr>
            <w:r>
              <w:rPr>
                <w:i/>
                <w:iCs/>
                <w:color w:val="00000A"/>
                <w:szCs w:val="24"/>
              </w:rPr>
              <w:t>Hold Operator</w:t>
            </w:r>
          </w:p>
        </w:tc>
        <w:tc>
          <w:tcPr>
            <w:tcW w:w="6380" w:type="dxa"/>
            <w:tcBorders>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pStyle w:val="NormalComment"/>
              <w:rPr>
                <w:color w:val="00000A"/>
                <w:szCs w:val="24"/>
              </w:rPr>
            </w:pPr>
            <w:r>
              <w:rPr>
                <w:color w:val="00000A"/>
                <w:szCs w:val="24"/>
              </w:rPr>
              <w:t>Allows a held operation to be fulfilled</w:t>
            </w:r>
          </w:p>
        </w:tc>
      </w:tr>
    </w:tbl>
    <w:p w:rsidR="00811492" w:rsidRDefault="00811492">
      <w:pPr>
        <w:rPr>
          <w:b/>
          <w:szCs w:val="24"/>
        </w:rPr>
      </w:pPr>
    </w:p>
    <w:tbl>
      <w:tblPr>
        <w:tblW w:w="9773" w:type="dxa"/>
        <w:tblBorders>
          <w:top w:val="single" w:sz="6" w:space="0" w:color="00000A"/>
          <w:left w:val="single" w:sz="6" w:space="0" w:color="00000A"/>
          <w:right w:val="single" w:sz="6" w:space="0" w:color="00000A"/>
          <w:insideV w:val="single" w:sz="6" w:space="0" w:color="00000A"/>
        </w:tblBorders>
        <w:tblCellMar>
          <w:left w:w="107" w:type="dxa"/>
        </w:tblCellMar>
        <w:tblLook w:val="04A0" w:firstRow="1" w:lastRow="0" w:firstColumn="1" w:lastColumn="0" w:noHBand="0" w:noVBand="1"/>
      </w:tblPr>
      <w:tblGrid>
        <w:gridCol w:w="917"/>
        <w:gridCol w:w="2476"/>
        <w:gridCol w:w="6380"/>
      </w:tblGrid>
      <w:tr w:rsidR="0060596A" w:rsidTr="005E4476">
        <w:trPr>
          <w:cantSplit/>
          <w:trHeight w:val="280"/>
          <w:tblHeader/>
        </w:trPr>
        <w:tc>
          <w:tcPr>
            <w:tcW w:w="9773" w:type="dxa"/>
            <w:gridSpan w:val="3"/>
            <w:tcBorders>
              <w:top w:val="single" w:sz="6" w:space="0" w:color="00000A"/>
              <w:left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jc w:val="left"/>
              <w:rPr>
                <w:sz w:val="24"/>
                <w:szCs w:val="24"/>
              </w:rPr>
            </w:pPr>
            <w:r>
              <w:rPr>
                <w:sz w:val="24"/>
                <w:szCs w:val="24"/>
              </w:rPr>
              <w:t xml:space="preserve">Data and information </w:t>
            </w:r>
          </w:p>
        </w:tc>
      </w:tr>
      <w:tr w:rsidR="0060596A" w:rsidTr="005E4476">
        <w:trPr>
          <w:cantSplit/>
          <w:trHeight w:val="280"/>
          <w:tblHeader/>
        </w:trPr>
        <w:tc>
          <w:tcPr>
            <w:tcW w:w="917" w:type="dxa"/>
            <w:tcBorders>
              <w:top w:val="single" w:sz="6" w:space="0" w:color="00000A"/>
              <w:left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jc w:val="left"/>
              <w:rPr>
                <w:sz w:val="24"/>
                <w:szCs w:val="24"/>
              </w:rPr>
            </w:pPr>
            <w:r>
              <w:rPr>
                <w:sz w:val="24"/>
                <w:szCs w:val="24"/>
              </w:rPr>
              <w:t>Data</w:t>
            </w:r>
          </w:p>
        </w:tc>
        <w:tc>
          <w:tcPr>
            <w:tcW w:w="2476" w:type="dxa"/>
            <w:tcBorders>
              <w:top w:val="single" w:sz="6" w:space="0" w:color="00000A"/>
              <w:left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jc w:val="left"/>
              <w:rPr>
                <w:sz w:val="24"/>
                <w:szCs w:val="24"/>
              </w:rPr>
            </w:pPr>
            <w:r>
              <w:rPr>
                <w:sz w:val="24"/>
                <w:szCs w:val="24"/>
              </w:rPr>
              <w:t>Type</w:t>
            </w:r>
          </w:p>
        </w:tc>
        <w:tc>
          <w:tcPr>
            <w:tcW w:w="6380"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60596A" w:rsidRDefault="0060596A" w:rsidP="005E4476">
            <w:pPr>
              <w:pStyle w:val="FigureTitle"/>
              <w:keepLines w:val="0"/>
              <w:spacing w:before="0" w:after="0"/>
              <w:jc w:val="left"/>
              <w:rPr>
                <w:sz w:val="24"/>
                <w:szCs w:val="24"/>
              </w:rPr>
            </w:pPr>
            <w:r>
              <w:rPr>
                <w:sz w:val="24"/>
                <w:szCs w:val="24"/>
              </w:rPr>
              <w:t>Description</w:t>
            </w:r>
          </w:p>
        </w:tc>
      </w:tr>
      <w:tr w:rsidR="0060596A" w:rsidTr="005E4476">
        <w:trPr>
          <w:cantSplit/>
          <w:trHeight w:val="540"/>
        </w:trPr>
        <w:tc>
          <w:tcPr>
            <w:tcW w:w="91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rPr>
                <w:b/>
                <w:szCs w:val="24"/>
              </w:rPr>
            </w:pPr>
            <w:r>
              <w:rPr>
                <w:b/>
                <w:szCs w:val="24"/>
              </w:rPr>
              <w:t>1</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rPr>
                <w:i/>
                <w:szCs w:val="24"/>
              </w:rPr>
            </w:pPr>
            <w:r>
              <w:rPr>
                <w:i/>
                <w:szCs w:val="24"/>
              </w:rPr>
              <w:t>Documents</w:t>
            </w:r>
          </w:p>
        </w:tc>
        <w:tc>
          <w:tcPr>
            <w:tcW w:w="63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rPr>
                <w:szCs w:val="24"/>
              </w:rPr>
            </w:pPr>
            <w:r>
              <w:rPr>
                <w:szCs w:val="24"/>
              </w:rPr>
              <w:t xml:space="preserve"> All the identification process has important documents associated:</w:t>
            </w:r>
          </w:p>
          <w:p w:rsidR="0060596A" w:rsidRDefault="0060596A" w:rsidP="005E4476">
            <w:pPr>
              <w:rPr>
                <w:szCs w:val="24"/>
              </w:rPr>
            </w:pPr>
            <w:r>
              <w:rPr>
                <w:szCs w:val="24"/>
              </w:rPr>
              <w:t>KYC0: OTP validated mobile phone</w:t>
            </w:r>
          </w:p>
          <w:p w:rsidR="0060596A" w:rsidRDefault="0060596A" w:rsidP="005E4476">
            <w:pPr>
              <w:rPr>
                <w:szCs w:val="24"/>
              </w:rPr>
            </w:pPr>
            <w:r>
              <w:rPr>
                <w:szCs w:val="24"/>
              </w:rPr>
              <w:t>KYC1: Validated ID document</w:t>
            </w:r>
          </w:p>
          <w:p w:rsidR="0060596A" w:rsidRDefault="0060596A" w:rsidP="005E4476">
            <w:pPr>
              <w:rPr>
                <w:szCs w:val="24"/>
              </w:rPr>
            </w:pPr>
            <w:r>
              <w:rPr>
                <w:szCs w:val="24"/>
              </w:rPr>
              <w:t>KYC2: Biometric patterns linked to ID, income data, and personal  IBAN Information</w:t>
            </w:r>
          </w:p>
          <w:p w:rsidR="0060596A" w:rsidRDefault="0060596A" w:rsidP="005E4476">
            <w:pPr>
              <w:rPr>
                <w:szCs w:val="24"/>
              </w:rPr>
            </w:pPr>
            <w:r>
              <w:rPr>
                <w:szCs w:val="24"/>
              </w:rPr>
              <w:t>KYC4: KYC template</w:t>
            </w:r>
          </w:p>
        </w:tc>
      </w:tr>
      <w:tr w:rsidR="0060596A" w:rsidTr="005E4476">
        <w:trPr>
          <w:cantSplit/>
          <w:trHeight w:val="540"/>
        </w:trPr>
        <w:tc>
          <w:tcPr>
            <w:tcW w:w="91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rPr>
                <w:b/>
                <w:szCs w:val="24"/>
              </w:rPr>
            </w:pPr>
            <w:r>
              <w:rPr>
                <w:b/>
                <w:szCs w:val="24"/>
              </w:rPr>
              <w:t>2</w:t>
            </w:r>
          </w:p>
        </w:tc>
        <w:tc>
          <w:tcPr>
            <w:tcW w:w="24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pStyle w:val="NormalComment"/>
              <w:rPr>
                <w:i/>
                <w:color w:val="00000A"/>
                <w:szCs w:val="24"/>
              </w:rPr>
            </w:pPr>
            <w:r>
              <w:rPr>
                <w:i/>
                <w:color w:val="00000A"/>
                <w:szCs w:val="24"/>
              </w:rPr>
              <w:t>Payment transactions</w:t>
            </w:r>
          </w:p>
        </w:tc>
        <w:tc>
          <w:tcPr>
            <w:tcW w:w="63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0596A" w:rsidRDefault="0060596A" w:rsidP="005E4476">
            <w:pPr>
              <w:pStyle w:val="NormalComment"/>
              <w:rPr>
                <w:color w:val="00000A"/>
                <w:szCs w:val="24"/>
              </w:rPr>
            </w:pPr>
            <w:r>
              <w:rPr>
                <w:color w:val="00000A"/>
                <w:szCs w:val="24"/>
              </w:rPr>
              <w:t>Cashin, Transfer and cashout</w:t>
            </w:r>
          </w:p>
        </w:tc>
      </w:tr>
    </w:tbl>
    <w:p w:rsidR="00811492" w:rsidRDefault="00811492">
      <w:pPr>
        <w:rPr>
          <w:b/>
          <w:szCs w:val="24"/>
        </w:rPr>
      </w:pPr>
    </w:p>
    <w:p w:rsidR="0060596A" w:rsidRDefault="0060596A">
      <w:pPr>
        <w:rPr>
          <w:b/>
          <w:szCs w:val="24"/>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811492">
        <w:tc>
          <w:tcPr>
            <w:tcW w:w="9773"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HeadingBase"/>
              <w:spacing w:before="0" w:after="0"/>
              <w:rPr>
                <w:sz w:val="24"/>
                <w:szCs w:val="24"/>
              </w:rPr>
            </w:pPr>
            <w:r>
              <w:rPr>
                <w:sz w:val="24"/>
                <w:szCs w:val="24"/>
              </w:rPr>
              <w:lastRenderedPageBreak/>
              <w:t>Security and privacy</w:t>
            </w:r>
          </w:p>
        </w:tc>
      </w:tr>
      <w:tr w:rsidR="00811492">
        <w:tc>
          <w:tcPr>
            <w:tcW w:w="97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896B63">
            <w:pPr>
              <w:tabs>
                <w:tab w:val="left" w:pos="720"/>
              </w:tabs>
              <w:overflowPunct w:val="0"/>
              <w:spacing w:after="60"/>
              <w:textAlignment w:val="auto"/>
              <w:rPr>
                <w:i/>
                <w:szCs w:val="24"/>
              </w:rPr>
            </w:pPr>
            <w:r>
              <w:rPr>
                <w:i/>
                <w:szCs w:val="24"/>
              </w:rPr>
              <w:t>All the standard is based on current ethereum capabilities and ourion.io has been developed following all the security and ISO standards and specifications.</w:t>
            </w:r>
          </w:p>
        </w:tc>
      </w:tr>
    </w:tbl>
    <w:p w:rsidR="00811492" w:rsidRDefault="00811492">
      <w:pPr>
        <w:rPr>
          <w:b/>
          <w:szCs w:val="24"/>
        </w:rPr>
      </w:pPr>
    </w:p>
    <w:tbl>
      <w:tblPr>
        <w:tblW w:w="9781"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81"/>
      </w:tblGrid>
      <w:tr w:rsidR="00811492">
        <w:tc>
          <w:tcPr>
            <w:tcW w:w="9781"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Main Success Scenario + expected time line</w:t>
            </w:r>
          </w:p>
        </w:tc>
      </w:tr>
      <w:tr w:rsidR="00811492">
        <w:tc>
          <w:tcPr>
            <w:tcW w:w="978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6564DB" w:rsidRDefault="00DA7321" w:rsidP="006564DB">
            <w:pPr>
              <w:pStyle w:val="FigureTitle"/>
              <w:keepLines w:val="0"/>
              <w:spacing w:before="0" w:after="0"/>
              <w:jc w:val="left"/>
            </w:pPr>
            <w:hyperlink r:id="rId23" w:history="1">
              <w:r w:rsidR="006564DB" w:rsidRPr="0060596A">
                <w:rPr>
                  <w:rStyle w:val="Hyperlink"/>
                  <w:b w:val="0"/>
                  <w:sz w:val="24"/>
                  <w:szCs w:val="24"/>
                </w:rPr>
                <w:t xml:space="preserve">Ourion.io </w:t>
              </w:r>
            </w:hyperlink>
            <w:r w:rsidR="006564DB">
              <w:rPr>
                <w:b w:val="0"/>
                <w:sz w:val="24"/>
                <w:szCs w:val="24"/>
              </w:rPr>
              <w:t xml:space="preserve"> ( IoBuilders project) is already live and shows a production ready application, working under the </w:t>
            </w:r>
            <w:hyperlink r:id="rId24" w:history="1">
              <w:r w:rsidR="006564DB" w:rsidRPr="006564DB">
                <w:rPr>
                  <w:rStyle w:val="Hyperlink"/>
                  <w:b w:val="0"/>
                  <w:sz w:val="24"/>
                  <w:szCs w:val="24"/>
                </w:rPr>
                <w:t>Alastria</w:t>
              </w:r>
            </w:hyperlink>
            <w:r w:rsidR="006564DB">
              <w:rPr>
                <w:b w:val="0"/>
                <w:sz w:val="24"/>
                <w:szCs w:val="24"/>
              </w:rPr>
              <w:t xml:space="preserve"> Ecosystem,  managing real tokenized euros. Other uses cases have deployed under Pegasys Pantheon and JP Morgan Quorum based networks.</w:t>
            </w:r>
          </w:p>
          <w:p w:rsidR="006564DB" w:rsidRDefault="00DA7321" w:rsidP="006564DB">
            <w:pPr>
              <w:pStyle w:val="FigureTitle"/>
              <w:spacing w:before="0" w:after="0"/>
              <w:jc w:val="left"/>
              <w:rPr>
                <w:b w:val="0"/>
              </w:rPr>
            </w:pPr>
            <w:hyperlink r:id="rId25" w:history="1">
              <w:r w:rsidR="006564DB" w:rsidRPr="006564DB">
                <w:rPr>
                  <w:rStyle w:val="Hyperlink"/>
                  <w:b w:val="0"/>
                  <w:sz w:val="24"/>
                  <w:szCs w:val="24"/>
                </w:rPr>
                <w:t>Adhara,</w:t>
              </w:r>
            </w:hyperlink>
            <w:r w:rsidR="006564DB">
              <w:rPr>
                <w:b w:val="0"/>
                <w:sz w:val="24"/>
                <w:szCs w:val="24"/>
              </w:rPr>
              <w:t xml:space="preserve"> has already deployed the standard under a Singapore, Philippines payment corridor project.</w:t>
            </w:r>
          </w:p>
          <w:p w:rsidR="006564DB" w:rsidRDefault="006564DB" w:rsidP="006564DB">
            <w:pPr>
              <w:pStyle w:val="FigureTitle"/>
              <w:spacing w:before="0" w:after="0"/>
              <w:jc w:val="left"/>
              <w:rPr>
                <w:b w:val="0"/>
              </w:rPr>
            </w:pPr>
            <w:r>
              <w:rPr>
                <w:b w:val="0"/>
                <w:sz w:val="24"/>
                <w:szCs w:val="24"/>
              </w:rPr>
              <w:t>Adhara is going to deploy a use case with the South African Reserve Bank in Q4 2019.</w:t>
            </w:r>
          </w:p>
          <w:p w:rsidR="00811492" w:rsidRDefault="00DA7321" w:rsidP="006564DB">
            <w:pPr>
              <w:rPr>
                <w:i/>
              </w:rPr>
            </w:pPr>
            <w:hyperlink r:id="rId26" w:history="1">
              <w:r w:rsidR="006564DB" w:rsidRPr="00B63811">
                <w:rPr>
                  <w:rStyle w:val="Hyperlink"/>
                  <w:szCs w:val="24"/>
                </w:rPr>
                <w:t>IoBuilders</w:t>
              </w:r>
            </w:hyperlink>
            <w:r w:rsidR="006564DB">
              <w:rPr>
                <w:szCs w:val="24"/>
              </w:rPr>
              <w:t xml:space="preserve"> is going to deploy a use case with the BME, the Spanish CSD, on a bond issuing platform  in Q4 2019.</w:t>
            </w:r>
          </w:p>
        </w:tc>
      </w:tr>
    </w:tbl>
    <w:p w:rsidR="00811492" w:rsidRDefault="00811492">
      <w:pPr>
        <w:rPr>
          <w:b/>
          <w:szCs w:val="24"/>
        </w:rPr>
      </w:pPr>
    </w:p>
    <w:tbl>
      <w:tblPr>
        <w:tblW w:w="9781"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81"/>
      </w:tblGrid>
      <w:tr w:rsidR="00811492">
        <w:tc>
          <w:tcPr>
            <w:tcW w:w="9781"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Conditions (pre- or post-)</w:t>
            </w:r>
          </w:p>
        </w:tc>
      </w:tr>
      <w:tr w:rsidR="00811492">
        <w:tc>
          <w:tcPr>
            <w:tcW w:w="978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6564DB">
            <w:pPr>
              <w:pStyle w:val="NormalComment"/>
              <w:rPr>
                <w:i/>
                <w:color w:val="00000A"/>
                <w:szCs w:val="24"/>
              </w:rPr>
            </w:pPr>
            <w:r>
              <w:rPr>
                <w:i/>
                <w:color w:val="00000A"/>
                <w:szCs w:val="24"/>
              </w:rPr>
              <w:t>Non applicable.</w:t>
            </w:r>
          </w:p>
        </w:tc>
      </w:tr>
    </w:tbl>
    <w:p w:rsidR="00811492" w:rsidRDefault="00811492">
      <w:pPr>
        <w:rPr>
          <w:szCs w:val="24"/>
          <w:lang w:val="en-US"/>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811492">
        <w:tc>
          <w:tcPr>
            <w:tcW w:w="9773"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FigureTitle"/>
              <w:keepLines w:val="0"/>
              <w:spacing w:before="0" w:after="0"/>
              <w:jc w:val="left"/>
              <w:rPr>
                <w:sz w:val="24"/>
                <w:szCs w:val="24"/>
              </w:rPr>
            </w:pPr>
            <w:r>
              <w:rPr>
                <w:sz w:val="24"/>
                <w:szCs w:val="24"/>
              </w:rPr>
              <w:t>Performance needs</w:t>
            </w:r>
          </w:p>
        </w:tc>
      </w:tr>
      <w:tr w:rsidR="00811492">
        <w:tc>
          <w:tcPr>
            <w:tcW w:w="97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896B63">
            <w:pPr>
              <w:jc w:val="both"/>
              <w:rPr>
                <w:i/>
              </w:rPr>
            </w:pPr>
            <w:r>
              <w:rPr>
                <w:i/>
              </w:rPr>
              <w:t>Current Ethereum landscape is totally focused on scalability, due the low transnationality, thoughput available either on private or public networks.</w:t>
            </w:r>
            <w:r w:rsidR="007D4CF9">
              <w:rPr>
                <w:i/>
              </w:rPr>
              <w:t>.</w:t>
            </w:r>
          </w:p>
        </w:tc>
      </w:tr>
    </w:tbl>
    <w:p w:rsidR="00811492" w:rsidRDefault="00811492">
      <w:pPr>
        <w:rPr>
          <w:rFonts w:asciiTheme="minorHAnsi" w:hAnsiTheme="minorHAnsi" w:cs="Cambria,Bold"/>
          <w:b/>
          <w:bCs/>
          <w:sz w:val="22"/>
          <w:szCs w:val="22"/>
          <w:lang w:val="en-US"/>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811492">
        <w:tc>
          <w:tcPr>
            <w:tcW w:w="9773"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HeadingBase"/>
              <w:spacing w:before="0" w:after="0"/>
              <w:rPr>
                <w:sz w:val="24"/>
                <w:szCs w:val="24"/>
              </w:rPr>
            </w:pPr>
            <w:r>
              <w:rPr>
                <w:sz w:val="24"/>
                <w:szCs w:val="24"/>
              </w:rPr>
              <w:t>Legal considerations</w:t>
            </w:r>
          </w:p>
        </w:tc>
      </w:tr>
      <w:tr w:rsidR="00811492">
        <w:tc>
          <w:tcPr>
            <w:tcW w:w="97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896B63">
            <w:pPr>
              <w:tabs>
                <w:tab w:val="left" w:pos="720"/>
              </w:tabs>
              <w:spacing w:after="60"/>
              <w:rPr>
                <w:i/>
              </w:rPr>
            </w:pPr>
            <w:r>
              <w:rPr>
                <w:i/>
              </w:rPr>
              <w:t>E</w:t>
            </w:r>
            <w:r w:rsidR="006564DB">
              <w:rPr>
                <w:i/>
              </w:rPr>
              <w:t>lectronic Money</w:t>
            </w:r>
            <w:r>
              <w:rPr>
                <w:i/>
              </w:rPr>
              <w:t xml:space="preserve"> License, Anti-money laundering compliance and KYC regulation.</w:t>
            </w:r>
          </w:p>
        </w:tc>
      </w:tr>
    </w:tbl>
    <w:p w:rsidR="00811492" w:rsidRDefault="00811492">
      <w:pPr>
        <w:rPr>
          <w:szCs w:val="24"/>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811492">
        <w:tc>
          <w:tcPr>
            <w:tcW w:w="9773"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HeadingBase"/>
              <w:spacing w:before="0" w:after="0"/>
              <w:rPr>
                <w:sz w:val="24"/>
                <w:szCs w:val="24"/>
              </w:rPr>
            </w:pPr>
            <w:r>
              <w:rPr>
                <w:sz w:val="24"/>
                <w:szCs w:val="24"/>
              </w:rPr>
              <w:t>Risks</w:t>
            </w:r>
          </w:p>
        </w:tc>
      </w:tr>
      <w:tr w:rsidR="00811492">
        <w:tc>
          <w:tcPr>
            <w:tcW w:w="97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896B63">
            <w:pPr>
              <w:tabs>
                <w:tab w:val="left" w:pos="720"/>
              </w:tabs>
              <w:overflowPunct w:val="0"/>
              <w:spacing w:after="60"/>
              <w:textAlignment w:val="auto"/>
              <w:rPr>
                <w:i/>
                <w:szCs w:val="24"/>
              </w:rPr>
            </w:pPr>
            <w:r>
              <w:rPr>
                <w:i/>
                <w:szCs w:val="24"/>
              </w:rPr>
              <w:t>Scalability and confidentiality. (mentioned before)</w:t>
            </w:r>
          </w:p>
        </w:tc>
      </w:tr>
    </w:tbl>
    <w:p w:rsidR="00811492" w:rsidRDefault="00811492">
      <w:pPr>
        <w:rPr>
          <w:szCs w:val="24"/>
          <w:lang w:val="en-US"/>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811492">
        <w:tc>
          <w:tcPr>
            <w:tcW w:w="9773"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HeadingBase"/>
              <w:spacing w:before="0" w:after="0"/>
              <w:rPr>
                <w:sz w:val="24"/>
                <w:szCs w:val="24"/>
              </w:rPr>
            </w:pPr>
            <w:r>
              <w:rPr>
                <w:sz w:val="24"/>
                <w:szCs w:val="24"/>
              </w:rPr>
              <w:t>Special Requirements</w:t>
            </w:r>
          </w:p>
        </w:tc>
      </w:tr>
      <w:tr w:rsidR="00811492">
        <w:tc>
          <w:tcPr>
            <w:tcW w:w="97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896B63">
            <w:pPr>
              <w:tabs>
                <w:tab w:val="left" w:pos="720"/>
              </w:tabs>
              <w:overflowPunct w:val="0"/>
              <w:spacing w:after="60"/>
              <w:textAlignment w:val="auto"/>
              <w:rPr>
                <w:i/>
                <w:szCs w:val="24"/>
              </w:rPr>
            </w:pPr>
            <w:r>
              <w:rPr>
                <w:i/>
                <w:szCs w:val="24"/>
              </w:rPr>
              <w:t>Financial institutions share a common platform and data overview.</w:t>
            </w:r>
          </w:p>
        </w:tc>
      </w:tr>
    </w:tbl>
    <w:p w:rsidR="00811492" w:rsidRDefault="00811492">
      <w:pPr>
        <w:rPr>
          <w:szCs w:val="24"/>
          <w:lang w:val="en-US"/>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811492">
        <w:tc>
          <w:tcPr>
            <w:tcW w:w="9773"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HeadingBase"/>
              <w:spacing w:before="0" w:after="0"/>
              <w:rPr>
                <w:sz w:val="24"/>
                <w:szCs w:val="24"/>
              </w:rPr>
            </w:pPr>
            <w:r>
              <w:rPr>
                <w:sz w:val="24"/>
                <w:szCs w:val="24"/>
              </w:rPr>
              <w:t>External References and Miscellaneous</w:t>
            </w:r>
          </w:p>
        </w:tc>
      </w:tr>
      <w:tr w:rsidR="00811492">
        <w:tc>
          <w:tcPr>
            <w:tcW w:w="97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Pr="00896B63" w:rsidRDefault="00DA7321" w:rsidP="00896B63">
            <w:pPr>
              <w:tabs>
                <w:tab w:val="clear" w:pos="794"/>
                <w:tab w:val="clear" w:pos="1191"/>
                <w:tab w:val="clear" w:pos="1588"/>
                <w:tab w:val="clear" w:pos="1985"/>
              </w:tabs>
              <w:spacing w:before="0"/>
              <w:textAlignment w:val="auto"/>
              <w:rPr>
                <w:lang w:val="es-ES"/>
              </w:rPr>
            </w:pPr>
            <w:hyperlink r:id="rId27" w:history="1">
              <w:r w:rsidR="00896B63">
                <w:rPr>
                  <w:rStyle w:val="Hyperlink"/>
                </w:rPr>
                <w:t>https://io.cash/product/</w:t>
              </w:r>
            </w:hyperlink>
          </w:p>
        </w:tc>
      </w:tr>
    </w:tbl>
    <w:p w:rsidR="00811492" w:rsidRDefault="00811492">
      <w:pPr>
        <w:pStyle w:val="FootnoteText"/>
        <w:rPr>
          <w:szCs w:val="24"/>
          <w:lang w:val="en-US"/>
        </w:rPr>
      </w:pPr>
    </w:p>
    <w:tbl>
      <w:tblPr>
        <w:tblW w:w="977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9773"/>
      </w:tblGrid>
      <w:tr w:rsidR="00811492">
        <w:tc>
          <w:tcPr>
            <w:tcW w:w="9773" w:type="dxa"/>
            <w:tcBorders>
              <w:top w:val="single" w:sz="6" w:space="0" w:color="00000A"/>
              <w:left w:val="single" w:sz="6" w:space="0" w:color="00000A"/>
              <w:bottom w:val="single" w:sz="6" w:space="0" w:color="00000A"/>
              <w:right w:val="single" w:sz="6" w:space="0" w:color="00000A"/>
            </w:tcBorders>
            <w:shd w:val="pct15" w:color="auto" w:fill="FFFFFF"/>
            <w:tcMar>
              <w:left w:w="107" w:type="dxa"/>
            </w:tcMar>
          </w:tcPr>
          <w:p w:rsidR="00811492" w:rsidRDefault="007D4CF9">
            <w:pPr>
              <w:pStyle w:val="HeadingBase"/>
              <w:spacing w:before="0" w:after="0"/>
              <w:rPr>
                <w:sz w:val="24"/>
                <w:szCs w:val="24"/>
              </w:rPr>
            </w:pPr>
            <w:r>
              <w:rPr>
                <w:sz w:val="24"/>
                <w:szCs w:val="24"/>
              </w:rPr>
              <w:t>Other Notes</w:t>
            </w:r>
          </w:p>
        </w:tc>
      </w:tr>
      <w:tr w:rsidR="00811492">
        <w:tc>
          <w:tcPr>
            <w:tcW w:w="97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811492" w:rsidRDefault="00674607">
            <w:pPr>
              <w:tabs>
                <w:tab w:val="left" w:pos="720"/>
              </w:tabs>
              <w:overflowPunct w:val="0"/>
              <w:spacing w:after="60"/>
              <w:textAlignment w:val="auto"/>
              <w:rPr>
                <w:i/>
                <w:szCs w:val="24"/>
              </w:rPr>
            </w:pPr>
            <w:r>
              <w:rPr>
                <w:i/>
                <w:szCs w:val="24"/>
              </w:rPr>
              <w:t>It is possible to be tested for free by the ITU-T FG DLT experts and members.</w:t>
            </w:r>
          </w:p>
        </w:tc>
      </w:tr>
    </w:tbl>
    <w:p w:rsidR="00811492" w:rsidRDefault="007D4CF9">
      <w:r>
        <w:br w:type="page"/>
      </w:r>
    </w:p>
    <w:p w:rsidR="00811492" w:rsidRDefault="007D4CF9">
      <w:pPr>
        <w:spacing w:before="0" w:after="160" w:line="259" w:lineRule="auto"/>
        <w:jc w:val="center"/>
        <w:outlineLvl w:val="0"/>
        <w:rPr>
          <w:b/>
          <w:szCs w:val="24"/>
        </w:rPr>
      </w:pPr>
      <w:r>
        <w:rPr>
          <w:b/>
          <w:szCs w:val="24"/>
        </w:rPr>
        <w:lastRenderedPageBreak/>
        <w:t xml:space="preserve">Appendix 1: </w:t>
      </w:r>
      <w:r>
        <w:rPr>
          <w:b/>
          <w:szCs w:val="24"/>
        </w:rPr>
        <w:br/>
        <w:t>Domains and subdomains for use cases categorization</w:t>
      </w:r>
    </w:p>
    <w:p w:rsidR="00811492" w:rsidRDefault="007D4CF9">
      <w:pPr>
        <w:overflowPunct w:val="0"/>
        <w:spacing w:before="0" w:after="240"/>
        <w:textAlignment w:val="auto"/>
        <w:rPr>
          <w:b/>
          <w:szCs w:val="24"/>
          <w:lang w:val="en-US"/>
        </w:rPr>
      </w:pPr>
      <w:r>
        <w:rPr>
          <w:b/>
        </w:rPr>
        <w:t>Vertical</w:t>
      </w:r>
      <w:r>
        <w:rPr>
          <w:lang w:val="en-US"/>
        </w:rPr>
        <w:t>:</w:t>
      </w:r>
    </w:p>
    <w:p w:rsidR="00811492" w:rsidRDefault="007D4CF9">
      <w:pPr>
        <w:pStyle w:val="ListParagraph"/>
        <w:numPr>
          <w:ilvl w:val="0"/>
          <w:numId w:val="1"/>
        </w:numPr>
        <w:spacing w:before="0" w:after="160" w:line="276" w:lineRule="auto"/>
      </w:pPr>
      <w:r>
        <w:t>Finance</w:t>
      </w:r>
    </w:p>
    <w:p w:rsidR="00811492" w:rsidRDefault="007D4CF9">
      <w:pPr>
        <w:pStyle w:val="ListParagraph"/>
        <w:numPr>
          <w:ilvl w:val="1"/>
          <w:numId w:val="1"/>
        </w:numPr>
        <w:spacing w:line="276" w:lineRule="auto"/>
        <w:jc w:val="both"/>
      </w:pPr>
      <w:r>
        <w:t>Financial management &amp; accounting</w:t>
      </w:r>
    </w:p>
    <w:p w:rsidR="00811492" w:rsidRDefault="007D4CF9">
      <w:pPr>
        <w:pStyle w:val="ListParagraph"/>
        <w:numPr>
          <w:ilvl w:val="1"/>
          <w:numId w:val="1"/>
        </w:numPr>
        <w:spacing w:line="276" w:lineRule="auto"/>
        <w:jc w:val="both"/>
      </w:pPr>
      <w:r>
        <w:t xml:space="preserve">International &amp; interbank payments </w:t>
      </w:r>
    </w:p>
    <w:p w:rsidR="00811492" w:rsidRDefault="007D4CF9">
      <w:pPr>
        <w:pStyle w:val="ListParagraph"/>
        <w:numPr>
          <w:ilvl w:val="1"/>
          <w:numId w:val="1"/>
        </w:numPr>
        <w:spacing w:line="276" w:lineRule="auto"/>
        <w:jc w:val="both"/>
      </w:pPr>
      <w:r>
        <w:rPr>
          <w:lang w:val="en-US"/>
        </w:rPr>
        <w:t>Clearing</w:t>
      </w:r>
      <w:r>
        <w:t xml:space="preserve"> and settlement</w:t>
      </w:r>
    </w:p>
    <w:p w:rsidR="00811492" w:rsidRDefault="007D4CF9">
      <w:pPr>
        <w:pStyle w:val="ListParagraph"/>
        <w:numPr>
          <w:ilvl w:val="1"/>
          <w:numId w:val="1"/>
        </w:numPr>
        <w:spacing w:line="276" w:lineRule="auto"/>
        <w:jc w:val="both"/>
      </w:pPr>
      <w:r>
        <w:t>Reduction of Fraud</w:t>
      </w:r>
    </w:p>
    <w:p w:rsidR="00811492" w:rsidRDefault="007D4CF9">
      <w:pPr>
        <w:pStyle w:val="ListParagraph"/>
        <w:numPr>
          <w:ilvl w:val="1"/>
          <w:numId w:val="1"/>
        </w:numPr>
        <w:spacing w:line="276" w:lineRule="auto"/>
        <w:jc w:val="both"/>
      </w:pPr>
      <w:r>
        <w:t>Financial messaging</w:t>
      </w:r>
    </w:p>
    <w:p w:rsidR="00811492" w:rsidRDefault="007D4CF9">
      <w:pPr>
        <w:pStyle w:val="ListParagraph"/>
        <w:numPr>
          <w:ilvl w:val="1"/>
          <w:numId w:val="1"/>
        </w:numPr>
        <w:spacing w:line="276" w:lineRule="auto"/>
        <w:jc w:val="both"/>
      </w:pPr>
      <w:r>
        <w:t>Asset lifecycles and history</w:t>
      </w:r>
    </w:p>
    <w:p w:rsidR="00811492" w:rsidRDefault="007D4CF9">
      <w:pPr>
        <w:pStyle w:val="ListParagraph"/>
        <w:numPr>
          <w:ilvl w:val="1"/>
          <w:numId w:val="1"/>
        </w:numPr>
        <w:spacing w:line="276" w:lineRule="auto"/>
        <w:jc w:val="both"/>
      </w:pPr>
      <w:r>
        <w:t>Trade finance</w:t>
      </w:r>
    </w:p>
    <w:p w:rsidR="00811492" w:rsidRDefault="007D4CF9">
      <w:pPr>
        <w:pStyle w:val="ListParagraph"/>
        <w:numPr>
          <w:ilvl w:val="1"/>
          <w:numId w:val="1"/>
        </w:numPr>
        <w:spacing w:line="276" w:lineRule="auto"/>
        <w:jc w:val="both"/>
      </w:pPr>
      <w:r>
        <w:t>Regulatory compliance &amp; audit</w:t>
      </w:r>
    </w:p>
    <w:p w:rsidR="00811492" w:rsidRDefault="007D4CF9">
      <w:pPr>
        <w:pStyle w:val="ListParagraph"/>
        <w:numPr>
          <w:ilvl w:val="1"/>
          <w:numId w:val="1"/>
        </w:numPr>
        <w:spacing w:line="276" w:lineRule="auto"/>
        <w:jc w:val="both"/>
      </w:pPr>
      <w:r>
        <w:t>AML/KYC</w:t>
      </w:r>
    </w:p>
    <w:p w:rsidR="00811492" w:rsidRDefault="007D4CF9">
      <w:pPr>
        <w:pStyle w:val="ListParagraph"/>
        <w:numPr>
          <w:ilvl w:val="1"/>
          <w:numId w:val="1"/>
        </w:numPr>
        <w:spacing w:line="276" w:lineRule="auto"/>
        <w:jc w:val="both"/>
      </w:pPr>
      <w:r>
        <w:t>Insurance</w:t>
      </w:r>
    </w:p>
    <w:p w:rsidR="00811492" w:rsidRDefault="007D4CF9">
      <w:pPr>
        <w:pStyle w:val="ListParagraph"/>
        <w:numPr>
          <w:ilvl w:val="1"/>
          <w:numId w:val="1"/>
        </w:numPr>
        <w:spacing w:line="276" w:lineRule="auto"/>
        <w:jc w:val="both"/>
      </w:pPr>
      <w:r>
        <w:t>Peer-to-peer transactions</w:t>
      </w:r>
    </w:p>
    <w:p w:rsidR="00811492" w:rsidRDefault="007D4CF9">
      <w:pPr>
        <w:pStyle w:val="ListParagraph"/>
        <w:numPr>
          <w:ilvl w:val="0"/>
          <w:numId w:val="1"/>
        </w:numPr>
        <w:spacing w:before="0" w:after="160" w:line="276" w:lineRule="auto"/>
      </w:pPr>
      <w:r>
        <w:t>Healthcare</w:t>
      </w:r>
    </w:p>
    <w:p w:rsidR="00811492" w:rsidRDefault="007D4CF9">
      <w:pPr>
        <w:pStyle w:val="ListParagraph"/>
        <w:numPr>
          <w:ilvl w:val="1"/>
          <w:numId w:val="1"/>
        </w:numPr>
        <w:spacing w:before="0" w:after="160" w:line="276" w:lineRule="auto"/>
      </w:pPr>
      <w:r>
        <w:t>Pharma</w:t>
      </w:r>
    </w:p>
    <w:p w:rsidR="00811492" w:rsidRDefault="007D4CF9">
      <w:pPr>
        <w:pStyle w:val="ListParagraph"/>
        <w:numPr>
          <w:ilvl w:val="1"/>
          <w:numId w:val="1"/>
        </w:numPr>
        <w:spacing w:before="0" w:after="160" w:line="276" w:lineRule="auto"/>
      </w:pPr>
      <w:r>
        <w:t>Biotechnology</w:t>
      </w:r>
    </w:p>
    <w:p w:rsidR="00811492" w:rsidRDefault="007D4CF9">
      <w:pPr>
        <w:pStyle w:val="ListParagraph"/>
        <w:numPr>
          <w:ilvl w:val="1"/>
          <w:numId w:val="1"/>
        </w:numPr>
        <w:spacing w:before="0" w:after="160" w:line="276" w:lineRule="auto"/>
      </w:pPr>
      <w:r>
        <w:t xml:space="preserve">Medicine </w:t>
      </w:r>
    </w:p>
    <w:p w:rsidR="00811492" w:rsidRDefault="007D4CF9">
      <w:pPr>
        <w:pStyle w:val="ListParagraph"/>
        <w:numPr>
          <w:ilvl w:val="0"/>
          <w:numId w:val="1"/>
        </w:numPr>
        <w:spacing w:before="0" w:after="160" w:line="276" w:lineRule="auto"/>
      </w:pPr>
      <w:r>
        <w:t>Industries</w:t>
      </w:r>
    </w:p>
    <w:p w:rsidR="00811492" w:rsidRDefault="007D4CF9">
      <w:pPr>
        <w:pStyle w:val="ListParagraph"/>
        <w:numPr>
          <w:ilvl w:val="1"/>
          <w:numId w:val="1"/>
        </w:numPr>
        <w:spacing w:before="0" w:after="160" w:line="276" w:lineRule="auto"/>
      </w:pPr>
      <w:r>
        <w:t>Manufacturing</w:t>
      </w:r>
    </w:p>
    <w:p w:rsidR="00811492" w:rsidRDefault="007D4CF9">
      <w:pPr>
        <w:pStyle w:val="ListParagraph"/>
        <w:numPr>
          <w:ilvl w:val="1"/>
          <w:numId w:val="1"/>
        </w:numPr>
        <w:spacing w:before="0" w:after="160" w:line="276" w:lineRule="auto"/>
      </w:pPr>
      <w:r>
        <w:t>Energy</w:t>
      </w:r>
    </w:p>
    <w:p w:rsidR="00811492" w:rsidRDefault="007D4CF9">
      <w:pPr>
        <w:pStyle w:val="ListParagraph"/>
        <w:numPr>
          <w:ilvl w:val="1"/>
          <w:numId w:val="1"/>
        </w:numPr>
        <w:spacing w:before="0" w:after="160" w:line="276" w:lineRule="auto"/>
      </w:pPr>
      <w:r>
        <w:t>Chemical</w:t>
      </w:r>
    </w:p>
    <w:p w:rsidR="00811492" w:rsidRDefault="007D4CF9">
      <w:pPr>
        <w:pStyle w:val="ListParagraph"/>
        <w:numPr>
          <w:ilvl w:val="1"/>
          <w:numId w:val="1"/>
        </w:numPr>
        <w:spacing w:before="0" w:after="160" w:line="276" w:lineRule="auto"/>
      </w:pPr>
      <w:r>
        <w:t>Retail</w:t>
      </w:r>
    </w:p>
    <w:p w:rsidR="00811492" w:rsidRDefault="007D4CF9">
      <w:pPr>
        <w:pStyle w:val="ListParagraph"/>
        <w:numPr>
          <w:ilvl w:val="1"/>
          <w:numId w:val="1"/>
        </w:numPr>
        <w:spacing w:before="0" w:after="160" w:line="276" w:lineRule="auto"/>
      </w:pPr>
      <w:r>
        <w:t>Real estate</w:t>
      </w:r>
    </w:p>
    <w:p w:rsidR="00811492" w:rsidRDefault="007D4CF9">
      <w:pPr>
        <w:pStyle w:val="ListParagraph"/>
        <w:numPr>
          <w:ilvl w:val="1"/>
          <w:numId w:val="1"/>
        </w:numPr>
        <w:spacing w:before="0" w:after="160" w:line="276" w:lineRule="auto"/>
      </w:pPr>
      <w:r>
        <w:t>IT and telco</w:t>
      </w:r>
    </w:p>
    <w:p w:rsidR="00811492" w:rsidRDefault="007D4CF9">
      <w:pPr>
        <w:pStyle w:val="ListParagraph"/>
        <w:numPr>
          <w:ilvl w:val="1"/>
          <w:numId w:val="1"/>
        </w:numPr>
        <w:spacing w:before="0" w:after="160" w:line="276" w:lineRule="auto"/>
      </w:pPr>
      <w:r>
        <w:t>Supply chain management</w:t>
      </w:r>
    </w:p>
    <w:p w:rsidR="00811492" w:rsidRDefault="007D4CF9">
      <w:pPr>
        <w:pStyle w:val="ListParagraph"/>
        <w:numPr>
          <w:ilvl w:val="1"/>
          <w:numId w:val="1"/>
        </w:numPr>
        <w:spacing w:before="0" w:after="160" w:line="276" w:lineRule="auto"/>
      </w:pPr>
      <w:r>
        <w:t>Transportation</w:t>
      </w:r>
    </w:p>
    <w:p w:rsidR="00811492" w:rsidRDefault="007D4CF9">
      <w:pPr>
        <w:pStyle w:val="ListParagraph"/>
        <w:numPr>
          <w:ilvl w:val="1"/>
          <w:numId w:val="1"/>
        </w:numPr>
        <w:spacing w:before="0" w:after="160" w:line="276" w:lineRule="auto"/>
      </w:pPr>
      <w:r>
        <w:t>Agriculture</w:t>
      </w:r>
    </w:p>
    <w:p w:rsidR="00811492" w:rsidRDefault="007D4CF9">
      <w:pPr>
        <w:pStyle w:val="ListParagraph"/>
        <w:numPr>
          <w:ilvl w:val="0"/>
          <w:numId w:val="1"/>
        </w:numPr>
        <w:spacing w:before="0" w:after="160" w:line="276" w:lineRule="auto"/>
      </w:pPr>
      <w:r>
        <w:t>Government and public sector</w:t>
      </w:r>
    </w:p>
    <w:p w:rsidR="00811492" w:rsidRDefault="007D4CF9">
      <w:pPr>
        <w:pStyle w:val="ListParagraph"/>
        <w:numPr>
          <w:ilvl w:val="1"/>
          <w:numId w:val="1"/>
        </w:numPr>
        <w:spacing w:line="276" w:lineRule="auto"/>
        <w:jc w:val="both"/>
      </w:pPr>
      <w:r>
        <w:t>Taxes</w:t>
      </w:r>
    </w:p>
    <w:p w:rsidR="00811492" w:rsidRDefault="007D4CF9">
      <w:pPr>
        <w:pStyle w:val="ListParagraph"/>
        <w:numPr>
          <w:ilvl w:val="1"/>
          <w:numId w:val="1"/>
        </w:numPr>
        <w:spacing w:line="276" w:lineRule="auto"/>
        <w:jc w:val="both"/>
      </w:pPr>
      <w:r>
        <w:t>Government and non-profit transparency</w:t>
      </w:r>
    </w:p>
    <w:p w:rsidR="00811492" w:rsidRDefault="007D4CF9">
      <w:pPr>
        <w:pStyle w:val="ListParagraph"/>
        <w:numPr>
          <w:ilvl w:val="1"/>
          <w:numId w:val="1"/>
        </w:numPr>
        <w:spacing w:line="276" w:lineRule="auto"/>
        <w:jc w:val="both"/>
      </w:pPr>
      <w:r>
        <w:t>Legislation, compliance &amp; regulatory oversight</w:t>
      </w:r>
    </w:p>
    <w:p w:rsidR="00811492" w:rsidRDefault="007D4CF9">
      <w:pPr>
        <w:pStyle w:val="ListParagraph"/>
        <w:numPr>
          <w:ilvl w:val="1"/>
          <w:numId w:val="1"/>
        </w:numPr>
        <w:spacing w:before="0" w:after="160" w:line="276" w:lineRule="auto"/>
      </w:pPr>
      <w:r>
        <w:rPr>
          <w:lang w:val="en-US"/>
        </w:rPr>
        <w:t>Voting</w:t>
      </w:r>
    </w:p>
    <w:p w:rsidR="00811492" w:rsidRDefault="007D4CF9">
      <w:pPr>
        <w:pStyle w:val="ListParagraph"/>
        <w:numPr>
          <w:ilvl w:val="1"/>
          <w:numId w:val="1"/>
        </w:numPr>
        <w:spacing w:before="0" w:after="160" w:line="276" w:lineRule="auto"/>
      </w:pPr>
      <w:r>
        <w:t>Taxation and customs</w:t>
      </w:r>
    </w:p>
    <w:p w:rsidR="00811492" w:rsidRDefault="007D4CF9">
      <w:pPr>
        <w:pStyle w:val="ListParagraph"/>
        <w:numPr>
          <w:ilvl w:val="1"/>
          <w:numId w:val="1"/>
        </w:numPr>
        <w:spacing w:before="0" w:after="160" w:line="276" w:lineRule="auto"/>
      </w:pPr>
      <w:r>
        <w:t>Intellectual property management</w:t>
      </w:r>
    </w:p>
    <w:p w:rsidR="00811492" w:rsidRDefault="007D4CF9">
      <w:pPr>
        <w:pStyle w:val="ListParagraph"/>
        <w:numPr>
          <w:ilvl w:val="1"/>
          <w:numId w:val="1"/>
        </w:numPr>
        <w:spacing w:before="0" w:after="160" w:line="276" w:lineRule="auto"/>
      </w:pPr>
      <w:r>
        <w:t>Land Registries</w:t>
      </w:r>
    </w:p>
    <w:p w:rsidR="00811492" w:rsidRDefault="007D4CF9">
      <w:pPr>
        <w:spacing w:before="0" w:after="240"/>
        <w:rPr>
          <w:lang w:val="en-US"/>
        </w:rPr>
      </w:pPr>
      <w:r>
        <w:rPr>
          <w:b/>
        </w:rPr>
        <w:t>Horizontal</w:t>
      </w:r>
      <w:r>
        <w:rPr>
          <w:lang w:val="en-US"/>
        </w:rPr>
        <w:t>:</w:t>
      </w:r>
    </w:p>
    <w:p w:rsidR="00811492" w:rsidRDefault="007D4CF9">
      <w:pPr>
        <w:pStyle w:val="ListParagraph"/>
        <w:numPr>
          <w:ilvl w:val="0"/>
          <w:numId w:val="2"/>
        </w:numPr>
        <w:spacing w:before="0" w:after="160" w:line="276" w:lineRule="auto"/>
      </w:pPr>
      <w:r>
        <w:t>Identity management</w:t>
      </w:r>
    </w:p>
    <w:p w:rsidR="00811492" w:rsidRDefault="007D4CF9">
      <w:pPr>
        <w:pStyle w:val="ListParagraph"/>
        <w:numPr>
          <w:ilvl w:val="0"/>
          <w:numId w:val="2"/>
        </w:numPr>
        <w:spacing w:before="0" w:after="160" w:line="276" w:lineRule="auto"/>
      </w:pPr>
      <w:r>
        <w:t>Security management</w:t>
      </w:r>
    </w:p>
    <w:p w:rsidR="00811492" w:rsidRDefault="007D4CF9">
      <w:pPr>
        <w:pStyle w:val="ListParagraph"/>
        <w:numPr>
          <w:ilvl w:val="1"/>
          <w:numId w:val="2"/>
        </w:numPr>
        <w:spacing w:before="0" w:after="160" w:line="276" w:lineRule="auto"/>
      </w:pPr>
      <w:r>
        <w:t>Public Key Infrastructure</w:t>
      </w:r>
    </w:p>
    <w:p w:rsidR="00811492" w:rsidRDefault="007D4CF9">
      <w:pPr>
        <w:pStyle w:val="ListParagraph"/>
        <w:numPr>
          <w:ilvl w:val="0"/>
          <w:numId w:val="2"/>
        </w:numPr>
        <w:spacing w:line="276" w:lineRule="auto"/>
        <w:jc w:val="both"/>
      </w:pPr>
      <w:r>
        <w:t>Internet of Things</w:t>
      </w:r>
    </w:p>
    <w:p w:rsidR="00811492" w:rsidRDefault="007D4CF9">
      <w:pPr>
        <w:pStyle w:val="ListParagraph"/>
        <w:numPr>
          <w:ilvl w:val="0"/>
          <w:numId w:val="2"/>
        </w:numPr>
        <w:spacing w:line="276" w:lineRule="auto"/>
        <w:jc w:val="both"/>
      </w:pPr>
      <w:r>
        <w:lastRenderedPageBreak/>
        <w:t xml:space="preserve">Data </w:t>
      </w:r>
      <w:r>
        <w:rPr>
          <w:lang w:val="en-US"/>
        </w:rPr>
        <w:t xml:space="preserve">processing, storage and </w:t>
      </w:r>
      <w:r>
        <w:t>management</w:t>
      </w:r>
      <w:r>
        <w:rPr>
          <w:lang w:val="en-US"/>
        </w:rPr>
        <w:t xml:space="preserve"> </w:t>
      </w:r>
    </w:p>
    <w:p w:rsidR="00811492" w:rsidRDefault="007D4CF9">
      <w:pPr>
        <w:pStyle w:val="ListParagraph"/>
        <w:numPr>
          <w:ilvl w:val="1"/>
          <w:numId w:val="2"/>
        </w:numPr>
        <w:spacing w:line="276" w:lineRule="auto"/>
        <w:jc w:val="both"/>
      </w:pPr>
      <w:r>
        <w:t>Data Validation  (includes provenance)</w:t>
      </w:r>
    </w:p>
    <w:p w:rsidR="00811492" w:rsidRDefault="007D4CF9">
      <w:pPr>
        <w:spacing w:line="276" w:lineRule="auto"/>
        <w:jc w:val="center"/>
      </w:pPr>
      <w:r>
        <w:t>_______________________</w:t>
      </w:r>
    </w:p>
    <w:sectPr w:rsidR="00811492">
      <w:headerReference w:type="default" r:id="rId28"/>
      <w:pgSz w:w="11906" w:h="16838"/>
      <w:pgMar w:top="1417" w:right="1134" w:bottom="1417" w:left="1134" w:header="720" w:footer="0"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321" w:rsidRDefault="00DA7321">
      <w:pPr>
        <w:spacing w:before="0"/>
      </w:pPr>
      <w:r>
        <w:separator/>
      </w:r>
    </w:p>
  </w:endnote>
  <w:endnote w:type="continuationSeparator" w:id="0">
    <w:p w:rsidR="00DA7321" w:rsidRDefault="00DA73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Montserrat">
    <w:altName w:val="Cambria"/>
    <w:charset w:val="01"/>
    <w:family w:val="roman"/>
    <w:pitch w:val="variable"/>
  </w:font>
  <w:font w:name="Calibri">
    <w:panose1 w:val="020F0502020204030204"/>
    <w:charset w:val="00"/>
    <w:family w:val="swiss"/>
    <w:pitch w:val="variable"/>
    <w:sig w:usb0="E0002EFF" w:usb1="C000247B" w:usb2="00000009" w:usb3="00000000" w:csb0="000001FF" w:csb1="00000000"/>
  </w:font>
  <w:font w:name="Cambria,Bold">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321" w:rsidRDefault="00DA7321">
      <w:pPr>
        <w:spacing w:before="0"/>
      </w:pPr>
      <w:r>
        <w:separator/>
      </w:r>
    </w:p>
  </w:footnote>
  <w:footnote w:type="continuationSeparator" w:id="0">
    <w:p w:rsidR="00DA7321" w:rsidRDefault="00DA732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492" w:rsidRDefault="007D4CF9">
    <w:pPr>
      <w:pStyle w:val="Header"/>
    </w:pPr>
    <w:r>
      <w:t xml:space="preserve">- </w:t>
    </w:r>
    <w:r>
      <w:fldChar w:fldCharType="begin"/>
    </w:r>
    <w:r>
      <w:instrText>PAGE</w:instrText>
    </w:r>
    <w:r>
      <w:fldChar w:fldCharType="separate"/>
    </w:r>
    <w:r w:rsidR="008B0B33">
      <w:rPr>
        <w:noProof/>
      </w:rPr>
      <w:t>12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2E11"/>
    <w:multiLevelType w:val="multilevel"/>
    <w:tmpl w:val="05CE2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1A3FA5"/>
    <w:multiLevelType w:val="multilevel"/>
    <w:tmpl w:val="CC56A7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BA0077F"/>
    <w:multiLevelType w:val="multilevel"/>
    <w:tmpl w:val="6B169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92"/>
    <w:rsid w:val="000015BE"/>
    <w:rsid w:val="002B1D40"/>
    <w:rsid w:val="0050462C"/>
    <w:rsid w:val="0060596A"/>
    <w:rsid w:val="006564DB"/>
    <w:rsid w:val="00674607"/>
    <w:rsid w:val="007D4CF9"/>
    <w:rsid w:val="00811492"/>
    <w:rsid w:val="00896B63"/>
    <w:rsid w:val="008B0B33"/>
    <w:rsid w:val="00A41C63"/>
    <w:rsid w:val="00B63811"/>
    <w:rsid w:val="00D70004"/>
    <w:rsid w:val="00DA7321"/>
    <w:rsid w:val="00EF5966"/>
    <w:rsid w:val="00F56605"/>
    <w:rsid w:val="00FE66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664C"/>
  <w15:docId w15:val="{19B24EE0-F205-F049-828A-03BBE3C0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link w:val="Heading8Char"/>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def">
    <w:name w:val="App_def"/>
    <w:qFormat/>
    <w:rsid w:val="0079336F"/>
    <w:rPr>
      <w:rFonts w:ascii="Times New Roman" w:hAnsi="Times New Roman"/>
      <w:b/>
    </w:rPr>
  </w:style>
  <w:style w:type="character" w:customStyle="1" w:styleId="Appref">
    <w:name w:val="App_ref"/>
    <w:basedOn w:val="DefaultParagraphFont"/>
    <w:qFormat/>
    <w:rsid w:val="0079336F"/>
  </w:style>
  <w:style w:type="character" w:customStyle="1" w:styleId="Artdef">
    <w:name w:val="Art_def"/>
    <w:qFormat/>
    <w:rsid w:val="0079336F"/>
    <w:rPr>
      <w:rFonts w:ascii="Times New Roman" w:hAnsi="Times New Roman"/>
      <w:b/>
    </w:rPr>
  </w:style>
  <w:style w:type="character" w:customStyle="1" w:styleId="Artref">
    <w:name w:val="Art_ref"/>
    <w:basedOn w:val="DefaultParagraphFont"/>
    <w:qFormat/>
    <w:rsid w:val="0079336F"/>
  </w:style>
  <w:style w:type="character" w:styleId="EndnoteReference">
    <w:name w:val="endnote reference"/>
    <w:semiHidden/>
    <w:qFormat/>
    <w:rsid w:val="0079336F"/>
    <w:rPr>
      <w:vertAlign w:val="superscript"/>
    </w:rPr>
  </w:style>
  <w:style w:type="character" w:styleId="FootnoteReference">
    <w:name w:val="footnote reference"/>
    <w:semiHidden/>
    <w:qFormat/>
    <w:rsid w:val="0079336F"/>
    <w:rPr>
      <w:sz w:val="18"/>
    </w:rPr>
  </w:style>
  <w:style w:type="character" w:styleId="PageNumber">
    <w:name w:val="page number"/>
    <w:basedOn w:val="DefaultParagraphFont"/>
    <w:qFormat/>
    <w:rsid w:val="0079336F"/>
  </w:style>
  <w:style w:type="character" w:customStyle="1" w:styleId="Recdef">
    <w:name w:val="Rec_def"/>
    <w:qFormat/>
    <w:rsid w:val="0079336F"/>
    <w:rPr>
      <w:b/>
    </w:rPr>
  </w:style>
  <w:style w:type="character" w:customStyle="1" w:styleId="Resdef">
    <w:name w:val="Res_def"/>
    <w:qFormat/>
    <w:rsid w:val="0079336F"/>
    <w:rPr>
      <w:rFonts w:ascii="Times New Roman" w:hAnsi="Times New Roman"/>
      <w:b/>
    </w:rPr>
  </w:style>
  <w:style w:type="character" w:customStyle="1" w:styleId="Tablefreq">
    <w:name w:val="Table_freq"/>
    <w:qFormat/>
    <w:rsid w:val="0079336F"/>
    <w:rPr>
      <w:b/>
      <w:color w:val="00000A"/>
    </w:rPr>
  </w:style>
  <w:style w:type="character" w:customStyle="1" w:styleId="InternetLink">
    <w:name w:val="Internet Link"/>
    <w:rsid w:val="006F2EF9"/>
    <w:rPr>
      <w:color w:val="0000FF"/>
      <w:u w:val="single"/>
    </w:rPr>
  </w:style>
  <w:style w:type="character" w:customStyle="1" w:styleId="apple-style-span">
    <w:name w:val="apple-style-span"/>
    <w:basedOn w:val="DefaultParagraphFont"/>
    <w:qFormat/>
    <w:rsid w:val="004244BE"/>
  </w:style>
  <w:style w:type="character" w:customStyle="1" w:styleId="DocnumberChar">
    <w:name w:val="Docnumber Char"/>
    <w:link w:val="Docnumber"/>
    <w:qFormat/>
    <w:rsid w:val="009E7527"/>
    <w:rPr>
      <w:rFonts w:ascii="Times New Roman" w:hAnsi="Times New Roman" w:cs="Times New Roman"/>
      <w:b/>
      <w:bCs/>
      <w:sz w:val="40"/>
    </w:rPr>
  </w:style>
  <w:style w:type="character" w:customStyle="1" w:styleId="ListParagraphChar">
    <w:name w:val="List Paragraph Char"/>
    <w:link w:val="ListParagraph"/>
    <w:uiPriority w:val="34"/>
    <w:qFormat/>
    <w:rsid w:val="004720C8"/>
    <w:rPr>
      <w:rFonts w:eastAsiaTheme="minorEastAsia"/>
      <w:sz w:val="24"/>
      <w:szCs w:val="24"/>
      <w:lang w:val="en-GB" w:eastAsia="ja-JP"/>
    </w:rPr>
  </w:style>
  <w:style w:type="character" w:styleId="PlaceholderText">
    <w:name w:val="Placeholder Text"/>
    <w:basedOn w:val="DefaultParagraphFont"/>
    <w:uiPriority w:val="99"/>
    <w:semiHidden/>
    <w:qFormat/>
    <w:rsid w:val="004720C8"/>
  </w:style>
  <w:style w:type="character" w:customStyle="1" w:styleId="FootnoteTextChar">
    <w:name w:val="Footnote Text Char"/>
    <w:basedOn w:val="DefaultParagraphFont"/>
    <w:link w:val="FootnoteText"/>
    <w:semiHidden/>
    <w:qFormat/>
    <w:rsid w:val="006F75D5"/>
    <w:rPr>
      <w:sz w:val="24"/>
      <w:lang w:val="en-GB"/>
    </w:rPr>
  </w:style>
  <w:style w:type="character" w:customStyle="1" w:styleId="BodyTextChar">
    <w:name w:val="Body Text Char"/>
    <w:basedOn w:val="DefaultParagraphFont"/>
    <w:link w:val="BodyText"/>
    <w:qFormat/>
    <w:rsid w:val="006F75D5"/>
    <w:rPr>
      <w:sz w:val="24"/>
      <w:lang w:val="en-GB"/>
    </w:rPr>
  </w:style>
  <w:style w:type="character" w:customStyle="1" w:styleId="Heading8Char">
    <w:name w:val="Heading 8 Char"/>
    <w:basedOn w:val="DefaultParagraphFont"/>
    <w:link w:val="Heading8"/>
    <w:qFormat/>
    <w:rsid w:val="00FF678C"/>
    <w:rPr>
      <w:b/>
      <w:sz w:val="24"/>
      <w:lang w:val="en-GB"/>
    </w:rPr>
  </w:style>
  <w:style w:type="character" w:customStyle="1" w:styleId="HeaderChar">
    <w:name w:val="Header Char"/>
    <w:basedOn w:val="DefaultParagraphFont"/>
    <w:link w:val="Header"/>
    <w:qFormat/>
    <w:rsid w:val="00FF678C"/>
    <w:rPr>
      <w:sz w:val="18"/>
      <w:lang w:val="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MS Mincho" w:cs="Times New Roman"/>
    </w:rPr>
  </w:style>
  <w:style w:type="character" w:customStyle="1" w:styleId="ListLabel23">
    <w:name w:val="ListLabel 23"/>
    <w:qFormat/>
    <w:rPr>
      <w:rFonts w:eastAsia="MS Mincho"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MS Mincho"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MS Mincho"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color w:val="FF0000"/>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nhideWhenUsed/>
    <w:rsid w:val="006F75D5"/>
    <w:pPr>
      <w:spacing w:after="120"/>
    </w:pPr>
  </w:style>
  <w:style w:type="paragraph" w:styleId="List">
    <w:name w:val="List"/>
    <w:basedOn w:val="BodyText"/>
  </w:style>
  <w:style w:type="paragraph" w:styleId="Caption">
    <w:name w:val="caption"/>
    <w:basedOn w:val="Normal"/>
    <w:qFormat/>
    <w:pPr>
      <w:suppressLineNumbers/>
      <w:spacing w:after="120"/>
    </w:pPr>
    <w:rPr>
      <w:i/>
      <w:iCs/>
      <w:szCs w:val="24"/>
    </w:rPr>
  </w:style>
  <w:style w:type="paragraph" w:customStyle="1" w:styleId="Index">
    <w:name w:val="Index"/>
    <w:basedOn w:val="Normal"/>
    <w:qFormat/>
    <w:pPr>
      <w:suppressLineNumbers/>
    </w:pPr>
  </w:style>
  <w:style w:type="paragraph" w:customStyle="1" w:styleId="AnnexNotitle">
    <w:name w:val="Annex_No &amp; title"/>
    <w:basedOn w:val="Normal"/>
    <w:next w:val="Normal"/>
    <w:qFormat/>
    <w:rsid w:val="0079336F"/>
    <w:pPr>
      <w:keepNext/>
      <w:keepLines/>
      <w:spacing w:before="480"/>
      <w:jc w:val="center"/>
    </w:pPr>
    <w:rPr>
      <w:b/>
      <w:sz w:val="28"/>
    </w:rPr>
  </w:style>
  <w:style w:type="paragraph" w:customStyle="1" w:styleId="AppendixNotitle">
    <w:name w:val="Appendix_No &amp; title"/>
    <w:basedOn w:val="AnnexNotitle"/>
    <w:next w:val="Normal"/>
    <w:qFormat/>
    <w:rsid w:val="0079336F"/>
  </w:style>
  <w:style w:type="paragraph" w:customStyle="1" w:styleId="Artheading">
    <w:name w:val="Art_heading"/>
    <w:basedOn w:val="Normal"/>
    <w:next w:val="Normal"/>
    <w:qFormat/>
    <w:rsid w:val="0079336F"/>
    <w:pPr>
      <w:spacing w:before="480"/>
      <w:jc w:val="center"/>
    </w:pPr>
    <w:rPr>
      <w:b/>
      <w:sz w:val="28"/>
    </w:rPr>
  </w:style>
  <w:style w:type="paragraph" w:customStyle="1" w:styleId="ArtNo">
    <w:name w:val="Art_No"/>
    <w:basedOn w:val="Normal"/>
    <w:next w:val="Normal"/>
    <w:qFormat/>
    <w:rsid w:val="0079336F"/>
    <w:pPr>
      <w:keepNext/>
      <w:keepLines/>
      <w:spacing w:before="480"/>
      <w:jc w:val="center"/>
    </w:pPr>
    <w:rPr>
      <w:caps/>
      <w:sz w:val="28"/>
    </w:rPr>
  </w:style>
  <w:style w:type="paragraph" w:customStyle="1" w:styleId="Arttitle">
    <w:name w:val="Art_title"/>
    <w:basedOn w:val="Normal"/>
    <w:next w:val="Normal"/>
    <w:qFormat/>
    <w:rsid w:val="0079336F"/>
    <w:pPr>
      <w:keepNext/>
      <w:keepLines/>
      <w:spacing w:before="240"/>
      <w:jc w:val="center"/>
    </w:pPr>
    <w:rPr>
      <w:b/>
      <w:sz w:val="28"/>
    </w:rPr>
  </w:style>
  <w:style w:type="paragraph" w:customStyle="1" w:styleId="ASN1">
    <w:name w:val="ASN.1"/>
    <w:basedOn w:val="Normal"/>
    <w:qFormat/>
    <w:rsid w:val="0079336F"/>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sz w:val="20"/>
    </w:rPr>
  </w:style>
  <w:style w:type="paragraph" w:customStyle="1" w:styleId="Call">
    <w:name w:val="Call"/>
    <w:basedOn w:val="Normal"/>
    <w:next w:val="Normal"/>
    <w:qFormat/>
    <w:rsid w:val="0079336F"/>
    <w:pPr>
      <w:keepNext/>
      <w:keepLines/>
      <w:spacing w:before="160"/>
      <w:ind w:left="794"/>
    </w:pPr>
    <w:rPr>
      <w:i/>
    </w:rPr>
  </w:style>
  <w:style w:type="paragraph" w:customStyle="1" w:styleId="ChapNo">
    <w:name w:val="Chap_No"/>
    <w:basedOn w:val="Normal"/>
    <w:next w:val="Normal"/>
    <w:qFormat/>
    <w:rsid w:val="0079336F"/>
    <w:pPr>
      <w:keepNext/>
      <w:keepLines/>
      <w:spacing w:before="480"/>
      <w:jc w:val="center"/>
    </w:pPr>
    <w:rPr>
      <w:b/>
      <w:caps/>
      <w:sz w:val="28"/>
    </w:rPr>
  </w:style>
  <w:style w:type="paragraph" w:customStyle="1" w:styleId="Chaptitle">
    <w:name w:val="Chap_title"/>
    <w:basedOn w:val="Normal"/>
    <w:next w:val="Normal"/>
    <w:qFormat/>
    <w:rsid w:val="0079336F"/>
    <w:pPr>
      <w:keepNext/>
      <w:keepLines/>
      <w:spacing w:before="240"/>
      <w:jc w:val="center"/>
    </w:pPr>
    <w:rPr>
      <w:b/>
      <w:sz w:val="28"/>
    </w:rPr>
  </w:style>
  <w:style w:type="paragraph" w:customStyle="1" w:styleId="enumlev1">
    <w:name w:val="enumlev1"/>
    <w:basedOn w:val="Normal"/>
    <w:qFormat/>
    <w:rsid w:val="0079336F"/>
    <w:pPr>
      <w:spacing w:before="80"/>
      <w:ind w:left="794" w:hanging="794"/>
    </w:pPr>
  </w:style>
  <w:style w:type="paragraph" w:customStyle="1" w:styleId="enumlev2">
    <w:name w:val="enumlev2"/>
    <w:basedOn w:val="enumlev1"/>
    <w:qFormat/>
    <w:rsid w:val="0079336F"/>
    <w:pPr>
      <w:ind w:left="1191" w:hanging="397"/>
    </w:pPr>
  </w:style>
  <w:style w:type="paragraph" w:customStyle="1" w:styleId="enumlev3">
    <w:name w:val="enumlev3"/>
    <w:basedOn w:val="enumlev2"/>
    <w:qFormat/>
    <w:rsid w:val="0079336F"/>
    <w:pPr>
      <w:ind w:left="1588"/>
    </w:pPr>
  </w:style>
  <w:style w:type="paragraph" w:customStyle="1" w:styleId="Equation">
    <w:name w:val="Equation"/>
    <w:basedOn w:val="Normal"/>
    <w:qFormat/>
    <w:rsid w:val="0079336F"/>
    <w:pPr>
      <w:tabs>
        <w:tab w:val="center" w:pos="4820"/>
        <w:tab w:val="right" w:pos="9639"/>
      </w:tabs>
    </w:pPr>
  </w:style>
  <w:style w:type="paragraph" w:customStyle="1" w:styleId="Equationlegend">
    <w:name w:val="Equation_legend"/>
    <w:basedOn w:val="Normal"/>
    <w:qFormat/>
    <w:rsid w:val="0079336F"/>
    <w:pPr>
      <w:tabs>
        <w:tab w:val="right" w:pos="1814"/>
      </w:tabs>
      <w:spacing w:before="80"/>
      <w:ind w:left="1985" w:hanging="1985"/>
    </w:pPr>
  </w:style>
  <w:style w:type="paragraph" w:customStyle="1" w:styleId="Figure">
    <w:name w:val="Figure"/>
    <w:basedOn w:val="Normal"/>
    <w:next w:val="Normal"/>
    <w:qFormat/>
    <w:rsid w:val="0079336F"/>
    <w:pPr>
      <w:keepNext/>
      <w:keepLines/>
      <w:spacing w:before="240" w:after="120"/>
      <w:jc w:val="center"/>
    </w:pPr>
  </w:style>
  <w:style w:type="paragraph" w:customStyle="1" w:styleId="Figurelegend">
    <w:name w:val="Figure_legend"/>
    <w:basedOn w:val="Normal"/>
    <w:qFormat/>
    <w:rsid w:val="0079336F"/>
    <w:pPr>
      <w:keepNext/>
      <w:keepLines/>
      <w:spacing w:before="20" w:after="20"/>
    </w:pPr>
    <w:rPr>
      <w:sz w:val="18"/>
    </w:rPr>
  </w:style>
  <w:style w:type="paragraph" w:customStyle="1" w:styleId="FigureNotitle">
    <w:name w:val="Figure_No &amp; title"/>
    <w:basedOn w:val="Normal"/>
    <w:next w:val="Normal"/>
    <w:qFormat/>
    <w:rsid w:val="0079336F"/>
    <w:pPr>
      <w:keepLines/>
      <w:spacing w:before="240" w:after="120"/>
      <w:jc w:val="center"/>
    </w:pPr>
    <w:rPr>
      <w:b/>
    </w:rPr>
  </w:style>
  <w:style w:type="paragraph" w:customStyle="1" w:styleId="FigureNoBR">
    <w:name w:val="Figure_No_BR"/>
    <w:basedOn w:val="Normal"/>
    <w:next w:val="Normal"/>
    <w:qFormat/>
    <w:rsid w:val="0079336F"/>
    <w:pPr>
      <w:keepNext/>
      <w:keepLines/>
      <w:spacing w:before="480" w:after="120"/>
      <w:jc w:val="center"/>
    </w:pPr>
    <w:rPr>
      <w:caps/>
    </w:rPr>
  </w:style>
  <w:style w:type="paragraph" w:customStyle="1" w:styleId="TabletitleBR">
    <w:name w:val="Table_title_BR"/>
    <w:basedOn w:val="Normal"/>
    <w:next w:val="Normal"/>
    <w:qFormat/>
    <w:rsid w:val="0079336F"/>
    <w:pPr>
      <w:keepNext/>
      <w:keepLines/>
      <w:spacing w:before="0" w:after="120"/>
      <w:jc w:val="center"/>
    </w:pPr>
    <w:rPr>
      <w:b/>
    </w:rPr>
  </w:style>
  <w:style w:type="paragraph" w:customStyle="1" w:styleId="FiguretitleBR">
    <w:name w:val="Figure_title_BR"/>
    <w:basedOn w:val="TabletitleBR"/>
    <w:next w:val="Normal"/>
    <w:qFormat/>
    <w:rsid w:val="0079336F"/>
    <w:pPr>
      <w:spacing w:after="480"/>
    </w:pPr>
  </w:style>
  <w:style w:type="paragraph" w:customStyle="1" w:styleId="Figurewithouttitle">
    <w:name w:val="Figure_without_title"/>
    <w:basedOn w:val="Normal"/>
    <w:next w:val="Normal"/>
    <w:qFormat/>
    <w:rsid w:val="0079336F"/>
    <w:pPr>
      <w:keepLines/>
      <w:spacing w:before="240" w:after="120"/>
      <w:jc w:val="center"/>
    </w:pPr>
  </w:style>
  <w:style w:type="paragraph" w:styleId="Footer">
    <w:name w:val="footer"/>
    <w:basedOn w:val="Normal"/>
    <w:rsid w:val="0079336F"/>
    <w:pPr>
      <w:tabs>
        <w:tab w:val="left" w:pos="5954"/>
        <w:tab w:val="right" w:pos="9639"/>
      </w:tabs>
      <w:spacing w:before="0"/>
    </w:pPr>
    <w:rPr>
      <w:caps/>
      <w:sz w:val="16"/>
    </w:rPr>
  </w:style>
  <w:style w:type="paragraph" w:customStyle="1" w:styleId="FirstFooter">
    <w:name w:val="FirstFooter"/>
    <w:basedOn w:val="Footer"/>
    <w:qFormat/>
    <w:rsid w:val="0079336F"/>
    <w:pPr>
      <w:overflowPunct w:val="0"/>
      <w:spacing w:before="40"/>
      <w:textAlignment w:val="auto"/>
    </w:pPr>
    <w:rPr>
      <w:caps w:val="0"/>
    </w:rPr>
  </w:style>
  <w:style w:type="paragraph" w:customStyle="1" w:styleId="FooterQP">
    <w:name w:val="Footer_QP"/>
    <w:basedOn w:val="Normal"/>
    <w:qFormat/>
    <w:rsid w:val="0079336F"/>
    <w:pPr>
      <w:tabs>
        <w:tab w:val="left" w:pos="907"/>
        <w:tab w:val="right" w:pos="8789"/>
        <w:tab w:val="right" w:pos="9639"/>
      </w:tabs>
      <w:spacing w:before="0"/>
    </w:pPr>
    <w:rPr>
      <w:b/>
      <w:sz w:val="22"/>
    </w:rPr>
  </w:style>
  <w:style w:type="paragraph" w:customStyle="1" w:styleId="Note">
    <w:name w:val="Note"/>
    <w:basedOn w:val="Normal"/>
    <w:qFormat/>
    <w:rsid w:val="0079336F"/>
    <w:pPr>
      <w:spacing w:before="80"/>
    </w:pPr>
  </w:style>
  <w:style w:type="paragraph" w:styleId="FootnoteText">
    <w:name w:val="footnote text"/>
    <w:basedOn w:val="Note"/>
    <w:link w:val="FootnoteTextChar"/>
    <w:semiHidden/>
    <w:qFormat/>
    <w:rsid w:val="0079336F"/>
    <w:pPr>
      <w:keepLines/>
      <w:tabs>
        <w:tab w:val="left" w:pos="255"/>
      </w:tabs>
      <w:ind w:left="255" w:hanging="255"/>
    </w:pPr>
  </w:style>
  <w:style w:type="paragraph" w:customStyle="1" w:styleId="Formal">
    <w:name w:val="Formal"/>
    <w:basedOn w:val="ASN1"/>
    <w:qFormat/>
    <w:rsid w:val="0079336F"/>
    <w:rPr>
      <w:b w:val="0"/>
    </w:rPr>
  </w:style>
  <w:style w:type="paragraph" w:styleId="Header">
    <w:name w:val="header"/>
    <w:basedOn w:val="Normal"/>
    <w:link w:val="HeaderChar"/>
    <w:rsid w:val="0079336F"/>
    <w:pPr>
      <w:spacing w:before="0"/>
      <w:jc w:val="center"/>
    </w:pPr>
    <w:rPr>
      <w:sz w:val="18"/>
    </w:rPr>
  </w:style>
  <w:style w:type="paragraph" w:customStyle="1" w:styleId="Headingb">
    <w:name w:val="Heading_b"/>
    <w:basedOn w:val="Normal"/>
    <w:next w:val="Normal"/>
    <w:qFormat/>
    <w:rsid w:val="0079336F"/>
    <w:pPr>
      <w:keepNext/>
      <w:spacing w:before="160"/>
    </w:pPr>
    <w:rPr>
      <w:b/>
    </w:rPr>
  </w:style>
  <w:style w:type="paragraph" w:customStyle="1" w:styleId="Headingi">
    <w:name w:val="Heading_i"/>
    <w:basedOn w:val="Normal"/>
    <w:next w:val="Normal"/>
    <w:qFormat/>
    <w:rsid w:val="0079336F"/>
    <w:pPr>
      <w:keepNext/>
      <w:spacing w:before="160"/>
    </w:pPr>
    <w:rPr>
      <w:i/>
    </w:rPr>
  </w:style>
  <w:style w:type="paragraph" w:styleId="Index1">
    <w:name w:val="index 1"/>
    <w:basedOn w:val="Normal"/>
    <w:next w:val="Normal"/>
    <w:semiHidden/>
    <w:qFormat/>
    <w:rsid w:val="0079336F"/>
  </w:style>
  <w:style w:type="paragraph" w:styleId="Index2">
    <w:name w:val="index 2"/>
    <w:basedOn w:val="Normal"/>
    <w:next w:val="Normal"/>
    <w:semiHidden/>
    <w:qFormat/>
    <w:rsid w:val="0079336F"/>
    <w:pPr>
      <w:ind w:left="283"/>
    </w:pPr>
  </w:style>
  <w:style w:type="paragraph" w:styleId="Index3">
    <w:name w:val="index 3"/>
    <w:basedOn w:val="Normal"/>
    <w:next w:val="Normal"/>
    <w:semiHidden/>
    <w:qFormat/>
    <w:rsid w:val="0079336F"/>
    <w:pPr>
      <w:ind w:left="566"/>
    </w:pPr>
  </w:style>
  <w:style w:type="paragraph" w:customStyle="1" w:styleId="Normalaftertitle">
    <w:name w:val="Normal_after_title"/>
    <w:basedOn w:val="Normal"/>
    <w:next w:val="Normal"/>
    <w:qFormat/>
    <w:rsid w:val="0079336F"/>
    <w:pPr>
      <w:spacing w:before="360"/>
    </w:pPr>
  </w:style>
  <w:style w:type="paragraph" w:customStyle="1" w:styleId="PartNo">
    <w:name w:val="Part_No"/>
    <w:basedOn w:val="Normal"/>
    <w:next w:val="Normal"/>
    <w:qFormat/>
    <w:rsid w:val="0079336F"/>
    <w:pPr>
      <w:keepNext/>
      <w:keepLines/>
      <w:spacing w:before="480" w:after="80"/>
      <w:jc w:val="center"/>
    </w:pPr>
    <w:rPr>
      <w:caps/>
      <w:sz w:val="28"/>
    </w:rPr>
  </w:style>
  <w:style w:type="paragraph" w:customStyle="1" w:styleId="Partref">
    <w:name w:val="Part_ref"/>
    <w:basedOn w:val="Normal"/>
    <w:next w:val="Normal"/>
    <w:qFormat/>
    <w:rsid w:val="0079336F"/>
    <w:pPr>
      <w:keepNext/>
      <w:keepLines/>
      <w:spacing w:before="280"/>
      <w:jc w:val="center"/>
    </w:pPr>
  </w:style>
  <w:style w:type="paragraph" w:customStyle="1" w:styleId="Parttitle">
    <w:name w:val="Part_title"/>
    <w:basedOn w:val="Normal"/>
    <w:qFormat/>
    <w:rsid w:val="0079336F"/>
    <w:pPr>
      <w:keepNext/>
      <w:keepLines/>
      <w:spacing w:before="240" w:after="280"/>
      <w:jc w:val="center"/>
    </w:pPr>
    <w:rPr>
      <w:b/>
      <w:sz w:val="28"/>
    </w:rPr>
  </w:style>
  <w:style w:type="paragraph" w:customStyle="1" w:styleId="Recdate">
    <w:name w:val="Rec_date"/>
    <w:basedOn w:val="Normal"/>
    <w:qFormat/>
    <w:rsid w:val="0079336F"/>
    <w:pPr>
      <w:keepNext/>
      <w:keepLines/>
      <w:jc w:val="right"/>
    </w:pPr>
    <w:rPr>
      <w:i/>
      <w:sz w:val="22"/>
    </w:rPr>
  </w:style>
  <w:style w:type="paragraph" w:customStyle="1" w:styleId="Questiondate">
    <w:name w:val="Question_date"/>
    <w:basedOn w:val="Recdate"/>
    <w:qFormat/>
    <w:rsid w:val="0079336F"/>
  </w:style>
  <w:style w:type="paragraph" w:customStyle="1" w:styleId="RecNo">
    <w:name w:val="Rec_No"/>
    <w:basedOn w:val="Normal"/>
    <w:next w:val="Normal"/>
    <w:qFormat/>
    <w:rsid w:val="0079336F"/>
    <w:pPr>
      <w:keepNext/>
      <w:keepLines/>
      <w:spacing w:before="0"/>
    </w:pPr>
    <w:rPr>
      <w:b/>
      <w:sz w:val="28"/>
    </w:rPr>
  </w:style>
  <w:style w:type="paragraph" w:customStyle="1" w:styleId="QuestionNo">
    <w:name w:val="Question_No"/>
    <w:basedOn w:val="RecNo"/>
    <w:next w:val="Normal"/>
    <w:qFormat/>
    <w:rsid w:val="0079336F"/>
  </w:style>
  <w:style w:type="paragraph" w:customStyle="1" w:styleId="RecNoBR">
    <w:name w:val="Rec_No_BR"/>
    <w:basedOn w:val="Normal"/>
    <w:next w:val="Normal"/>
    <w:qFormat/>
    <w:rsid w:val="0079336F"/>
    <w:pPr>
      <w:keepNext/>
      <w:keepLines/>
      <w:spacing w:before="480"/>
      <w:jc w:val="center"/>
    </w:pPr>
    <w:rPr>
      <w:caps/>
      <w:sz w:val="28"/>
    </w:rPr>
  </w:style>
  <w:style w:type="paragraph" w:customStyle="1" w:styleId="QuestionNoBR">
    <w:name w:val="Question_No_BR"/>
    <w:basedOn w:val="RecNoBR"/>
    <w:next w:val="Normal"/>
    <w:qFormat/>
    <w:rsid w:val="0079336F"/>
  </w:style>
  <w:style w:type="paragraph" w:customStyle="1" w:styleId="Recref">
    <w:name w:val="Rec_ref"/>
    <w:basedOn w:val="Normal"/>
    <w:qFormat/>
    <w:rsid w:val="0079336F"/>
    <w:pPr>
      <w:keepNext/>
      <w:keepLines/>
      <w:jc w:val="center"/>
    </w:pPr>
    <w:rPr>
      <w:i/>
    </w:rPr>
  </w:style>
  <w:style w:type="paragraph" w:customStyle="1" w:styleId="Questionref">
    <w:name w:val="Question_ref"/>
    <w:basedOn w:val="Recref"/>
    <w:qFormat/>
    <w:rsid w:val="0079336F"/>
  </w:style>
  <w:style w:type="paragraph" w:customStyle="1" w:styleId="Rectitle">
    <w:name w:val="Rec_title"/>
    <w:basedOn w:val="Normal"/>
    <w:qFormat/>
    <w:rsid w:val="0079336F"/>
    <w:pPr>
      <w:keepNext/>
      <w:keepLines/>
      <w:spacing w:before="360"/>
      <w:jc w:val="center"/>
    </w:pPr>
    <w:rPr>
      <w:b/>
      <w:sz w:val="28"/>
    </w:rPr>
  </w:style>
  <w:style w:type="paragraph" w:customStyle="1" w:styleId="Questiontitle">
    <w:name w:val="Question_title"/>
    <w:basedOn w:val="Rectitle"/>
    <w:qFormat/>
    <w:rsid w:val="0079336F"/>
  </w:style>
  <w:style w:type="paragraph" w:customStyle="1" w:styleId="Reftext">
    <w:name w:val="Ref_text"/>
    <w:basedOn w:val="Normal"/>
    <w:qFormat/>
    <w:rsid w:val="0079336F"/>
    <w:pPr>
      <w:ind w:left="794" w:hanging="794"/>
    </w:pPr>
  </w:style>
  <w:style w:type="paragraph" w:customStyle="1" w:styleId="Reftitle">
    <w:name w:val="Ref_title"/>
    <w:basedOn w:val="Normal"/>
    <w:qFormat/>
    <w:rsid w:val="0079336F"/>
    <w:pPr>
      <w:spacing w:before="480"/>
      <w:jc w:val="center"/>
    </w:pPr>
    <w:rPr>
      <w:b/>
    </w:rPr>
  </w:style>
  <w:style w:type="paragraph" w:customStyle="1" w:styleId="Repdate">
    <w:name w:val="Rep_date"/>
    <w:basedOn w:val="Recdate"/>
    <w:qFormat/>
    <w:rsid w:val="0079336F"/>
  </w:style>
  <w:style w:type="paragraph" w:customStyle="1" w:styleId="RepNo">
    <w:name w:val="Rep_No"/>
    <w:basedOn w:val="RecNo"/>
    <w:next w:val="Normal"/>
    <w:qFormat/>
    <w:rsid w:val="0079336F"/>
  </w:style>
  <w:style w:type="paragraph" w:customStyle="1" w:styleId="RepNoBR">
    <w:name w:val="Rep_No_BR"/>
    <w:basedOn w:val="RecNoBR"/>
    <w:next w:val="Normal"/>
    <w:qFormat/>
    <w:rsid w:val="0079336F"/>
  </w:style>
  <w:style w:type="paragraph" w:customStyle="1" w:styleId="Repref">
    <w:name w:val="Rep_ref"/>
    <w:basedOn w:val="Recref"/>
    <w:qFormat/>
    <w:rsid w:val="0079336F"/>
  </w:style>
  <w:style w:type="paragraph" w:customStyle="1" w:styleId="Reptitle">
    <w:name w:val="Rep_title"/>
    <w:basedOn w:val="Rectitle"/>
    <w:qFormat/>
    <w:rsid w:val="0079336F"/>
  </w:style>
  <w:style w:type="paragraph" w:customStyle="1" w:styleId="Resdate">
    <w:name w:val="Res_date"/>
    <w:basedOn w:val="Recdate"/>
    <w:qFormat/>
    <w:rsid w:val="0079336F"/>
  </w:style>
  <w:style w:type="paragraph" w:customStyle="1" w:styleId="ResNo">
    <w:name w:val="Res_No"/>
    <w:basedOn w:val="RecNo"/>
    <w:next w:val="Normal"/>
    <w:qFormat/>
    <w:rsid w:val="0079336F"/>
  </w:style>
  <w:style w:type="paragraph" w:customStyle="1" w:styleId="ResNoBR">
    <w:name w:val="Res_No_BR"/>
    <w:basedOn w:val="RecNoBR"/>
    <w:next w:val="Normal"/>
    <w:qFormat/>
    <w:rsid w:val="0079336F"/>
  </w:style>
  <w:style w:type="paragraph" w:customStyle="1" w:styleId="Resref">
    <w:name w:val="Res_ref"/>
    <w:basedOn w:val="Recref"/>
    <w:qFormat/>
    <w:rsid w:val="0079336F"/>
  </w:style>
  <w:style w:type="paragraph" w:customStyle="1" w:styleId="Restitle">
    <w:name w:val="Res_title"/>
    <w:basedOn w:val="Rectitle"/>
    <w:qFormat/>
    <w:rsid w:val="0079336F"/>
  </w:style>
  <w:style w:type="paragraph" w:customStyle="1" w:styleId="Section1">
    <w:name w:val="Section_1"/>
    <w:basedOn w:val="Normal"/>
    <w:next w:val="Normal"/>
    <w:qFormat/>
    <w:rsid w:val="0079336F"/>
    <w:pPr>
      <w:spacing w:before="624"/>
      <w:jc w:val="center"/>
    </w:pPr>
    <w:rPr>
      <w:b/>
    </w:rPr>
  </w:style>
  <w:style w:type="paragraph" w:customStyle="1" w:styleId="Section2">
    <w:name w:val="Section_2"/>
    <w:basedOn w:val="Normal"/>
    <w:next w:val="Normal"/>
    <w:qFormat/>
    <w:rsid w:val="0079336F"/>
    <w:pPr>
      <w:spacing w:before="240"/>
      <w:jc w:val="center"/>
    </w:pPr>
    <w:rPr>
      <w:i/>
    </w:rPr>
  </w:style>
  <w:style w:type="paragraph" w:customStyle="1" w:styleId="SectionNo">
    <w:name w:val="Section_No"/>
    <w:basedOn w:val="Normal"/>
    <w:next w:val="Normal"/>
    <w:qFormat/>
    <w:rsid w:val="0079336F"/>
    <w:pPr>
      <w:keepNext/>
      <w:keepLines/>
      <w:spacing w:before="480" w:after="80"/>
      <w:jc w:val="center"/>
    </w:pPr>
    <w:rPr>
      <w:caps/>
      <w:sz w:val="28"/>
    </w:rPr>
  </w:style>
  <w:style w:type="paragraph" w:customStyle="1" w:styleId="Sectiontitle">
    <w:name w:val="Section_title"/>
    <w:basedOn w:val="Normal"/>
    <w:qFormat/>
    <w:rsid w:val="0079336F"/>
    <w:pPr>
      <w:keepNext/>
      <w:keepLines/>
      <w:spacing w:before="480" w:after="280"/>
      <w:jc w:val="center"/>
    </w:pPr>
    <w:rPr>
      <w:b/>
      <w:sz w:val="28"/>
    </w:rPr>
  </w:style>
  <w:style w:type="paragraph" w:customStyle="1" w:styleId="Source">
    <w:name w:val="Source"/>
    <w:basedOn w:val="Normal"/>
    <w:qFormat/>
    <w:rsid w:val="0079336F"/>
    <w:pPr>
      <w:spacing w:before="840" w:after="200"/>
      <w:jc w:val="center"/>
    </w:pPr>
    <w:rPr>
      <w:b/>
      <w:sz w:val="28"/>
    </w:rPr>
  </w:style>
  <w:style w:type="paragraph" w:customStyle="1" w:styleId="SpecialFooter">
    <w:name w:val="Special Footer"/>
    <w:basedOn w:val="Footer"/>
    <w:qFormat/>
    <w:rsid w:val="0079336F"/>
    <w:pPr>
      <w:tabs>
        <w:tab w:val="left" w:pos="567"/>
        <w:tab w:val="left" w:pos="1134"/>
        <w:tab w:val="left" w:pos="1701"/>
        <w:tab w:val="left" w:pos="2268"/>
        <w:tab w:val="left" w:pos="2835"/>
      </w:tabs>
      <w:jc w:val="both"/>
    </w:pPr>
    <w:rPr>
      <w:caps w:val="0"/>
    </w:rPr>
  </w:style>
  <w:style w:type="paragraph" w:customStyle="1" w:styleId="Tablehead">
    <w:name w:val="Table_head"/>
    <w:basedOn w:val="Normal"/>
    <w:next w:val="Normal"/>
    <w:qFormat/>
    <w:rsid w:val="0079336F"/>
    <w:pPr>
      <w:keepNext/>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qFormat/>
    <w:rsid w:val="0079336F"/>
    <w:pPr>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qFormat/>
    <w:rsid w:val="0079336F"/>
    <w:pPr>
      <w:keepNext/>
      <w:keepLines/>
      <w:spacing w:before="360" w:after="120"/>
      <w:jc w:val="center"/>
    </w:pPr>
    <w:rPr>
      <w:b/>
    </w:rPr>
  </w:style>
  <w:style w:type="paragraph" w:customStyle="1" w:styleId="TableNoBR">
    <w:name w:val="Table_No_BR"/>
    <w:basedOn w:val="Normal"/>
    <w:qFormat/>
    <w:rsid w:val="0079336F"/>
    <w:pPr>
      <w:keepNext/>
      <w:spacing w:before="560" w:after="120"/>
      <w:jc w:val="center"/>
    </w:pPr>
    <w:rPr>
      <w:caps/>
    </w:rPr>
  </w:style>
  <w:style w:type="paragraph" w:customStyle="1" w:styleId="Tableref">
    <w:name w:val="Table_ref"/>
    <w:basedOn w:val="Normal"/>
    <w:qFormat/>
    <w:rsid w:val="0079336F"/>
    <w:pPr>
      <w:keepNext/>
      <w:spacing w:before="0" w:after="120"/>
      <w:jc w:val="center"/>
    </w:pPr>
  </w:style>
  <w:style w:type="paragraph" w:customStyle="1" w:styleId="Tabletext">
    <w:name w:val="Table_text"/>
    <w:basedOn w:val="Normal"/>
    <w:qFormat/>
    <w:rsid w:val="0079336F"/>
    <w:pPr>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qFormat/>
    <w:rsid w:val="0079336F"/>
    <w:pPr>
      <w:tabs>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qFormat/>
    <w:rsid w:val="0079336F"/>
  </w:style>
  <w:style w:type="paragraph" w:customStyle="1" w:styleId="Title3">
    <w:name w:val="Title 3"/>
    <w:basedOn w:val="Title2"/>
    <w:next w:val="Normal"/>
    <w:qFormat/>
    <w:rsid w:val="0079336F"/>
    <w:rPr>
      <w:caps w:val="0"/>
    </w:rPr>
  </w:style>
  <w:style w:type="paragraph" w:customStyle="1" w:styleId="Title4">
    <w:name w:val="Title 4"/>
    <w:basedOn w:val="Title3"/>
    <w:qFormat/>
    <w:rsid w:val="0079336F"/>
    <w:rPr>
      <w:b/>
    </w:rPr>
  </w:style>
  <w:style w:type="paragraph" w:customStyle="1" w:styleId="toc0">
    <w:name w:val="toc 0"/>
    <w:basedOn w:val="Normal"/>
    <w:qFormat/>
    <w:rsid w:val="0079336F"/>
    <w:pPr>
      <w:tabs>
        <w:tab w:val="right" w:pos="9639"/>
      </w:tabs>
    </w:pPr>
    <w:rPr>
      <w:b/>
    </w:rPr>
  </w:style>
  <w:style w:type="paragraph" w:styleId="TOC1">
    <w:name w:val="toc 1"/>
    <w:basedOn w:val="Normal"/>
    <w:semiHidden/>
    <w:rsid w:val="0079336F"/>
    <w:pPr>
      <w:keepLines/>
      <w:tabs>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paragraph" w:styleId="BalloonText">
    <w:name w:val="Balloon Text"/>
    <w:basedOn w:val="Normal"/>
    <w:semiHidden/>
    <w:qFormat/>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paragraph" w:customStyle="1" w:styleId="LSForAction">
    <w:name w:val="LSForAction"/>
    <w:basedOn w:val="Normal"/>
    <w:qFormat/>
    <w:rsid w:val="001E6F5C"/>
    <w:pPr>
      <w:textAlignment w:val="auto"/>
    </w:pPr>
    <w:rPr>
      <w:rFonts w:eastAsia="Times New Roman"/>
      <w:bCs/>
    </w:rPr>
  </w:style>
  <w:style w:type="paragraph" w:customStyle="1" w:styleId="LSForInfo">
    <w:name w:val="LSForInfo"/>
    <w:basedOn w:val="LSForAction"/>
    <w:next w:val="Normal"/>
    <w:qFormat/>
    <w:rsid w:val="001E6F5C"/>
  </w:style>
  <w:style w:type="paragraph" w:customStyle="1" w:styleId="LSForComment">
    <w:name w:val="LSForComment"/>
    <w:basedOn w:val="LSForAction"/>
    <w:next w:val="Normal"/>
    <w:qFormat/>
    <w:rsid w:val="001E6F5C"/>
  </w:style>
  <w:style w:type="paragraph" w:customStyle="1" w:styleId="LSDeadline">
    <w:name w:val="LSDeadline"/>
    <w:basedOn w:val="LSForAction"/>
    <w:next w:val="Normal"/>
    <w:qFormat/>
    <w:rsid w:val="001E6F5C"/>
    <w:rPr>
      <w:bCs w:val="0"/>
    </w:rPr>
  </w:style>
  <w:style w:type="paragraph" w:styleId="ListParagraph">
    <w:name w:val="List Paragraph"/>
    <w:basedOn w:val="Normal"/>
    <w:link w:val="ListParagraphChar"/>
    <w:uiPriority w:val="34"/>
    <w:qFormat/>
    <w:rsid w:val="004720C8"/>
    <w:pPr>
      <w:overflowPunct w:val="0"/>
      <w:ind w:left="720"/>
      <w:contextualSpacing/>
      <w:textAlignment w:val="auto"/>
    </w:pPr>
    <w:rPr>
      <w:rFonts w:eastAsiaTheme="minorEastAsia"/>
      <w:szCs w:val="24"/>
      <w:lang w:eastAsia="ja-JP"/>
    </w:rPr>
  </w:style>
  <w:style w:type="paragraph" w:styleId="Revision">
    <w:name w:val="Revision"/>
    <w:uiPriority w:val="99"/>
    <w:semiHidden/>
    <w:qFormat/>
    <w:rsid w:val="00D40507"/>
    <w:rPr>
      <w:sz w:val="24"/>
      <w:lang w:val="en-GB"/>
    </w:rPr>
  </w:style>
  <w:style w:type="paragraph" w:styleId="NormalWeb">
    <w:name w:val="Normal (Web)"/>
    <w:basedOn w:val="Normal"/>
    <w:uiPriority w:val="99"/>
    <w:unhideWhenUsed/>
    <w:qFormat/>
    <w:rsid w:val="006F75D5"/>
    <w:pPr>
      <w:overflowPunct w:val="0"/>
      <w:spacing w:beforeAutospacing="1" w:afterAutospacing="1"/>
      <w:textAlignment w:val="auto"/>
    </w:pPr>
    <w:rPr>
      <w:rFonts w:eastAsia="Times New Roman"/>
      <w:szCs w:val="24"/>
      <w:lang w:val="en-US"/>
    </w:rPr>
  </w:style>
  <w:style w:type="paragraph" w:customStyle="1" w:styleId="NormalComment">
    <w:name w:val="Normal Comment"/>
    <w:basedOn w:val="Normal"/>
    <w:qFormat/>
    <w:rsid w:val="006F75D5"/>
    <w:pPr>
      <w:overflowPunct w:val="0"/>
      <w:spacing w:after="60"/>
      <w:textAlignment w:val="auto"/>
    </w:pPr>
    <w:rPr>
      <w:rFonts w:eastAsia="Times New Roman"/>
      <w:color w:val="FF0000"/>
      <w:lang w:val="en-US"/>
    </w:rPr>
  </w:style>
  <w:style w:type="paragraph" w:customStyle="1" w:styleId="FigureTitle">
    <w:name w:val="Figure Title"/>
    <w:basedOn w:val="Normal"/>
    <w:qFormat/>
    <w:rsid w:val="006F75D5"/>
    <w:pPr>
      <w:keepLines/>
      <w:overflowPunct w:val="0"/>
      <w:spacing w:after="180"/>
      <w:jc w:val="center"/>
      <w:textAlignment w:val="auto"/>
    </w:pPr>
    <w:rPr>
      <w:rFonts w:eastAsia="Times New Roman"/>
      <w:b/>
      <w:sz w:val="22"/>
      <w:lang w:val="en-US"/>
    </w:rPr>
  </w:style>
  <w:style w:type="paragraph" w:customStyle="1" w:styleId="HeadingBase">
    <w:name w:val="Heading Base"/>
    <w:basedOn w:val="Normal"/>
    <w:qFormat/>
    <w:rsid w:val="006F75D5"/>
    <w:pPr>
      <w:overflowPunct w:val="0"/>
      <w:spacing w:before="60" w:after="60"/>
      <w:textAlignment w:val="auto"/>
    </w:pPr>
    <w:rPr>
      <w:rFonts w:eastAsia="Times New Roman"/>
      <w:b/>
      <w:sz w:val="22"/>
      <w:lang w:val="en-US"/>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60596A"/>
    <w:rPr>
      <w:color w:val="0563C1" w:themeColor="hyperlink"/>
      <w:u w:val="single"/>
    </w:rPr>
  </w:style>
  <w:style w:type="character" w:customStyle="1" w:styleId="UnresolvedMention">
    <w:name w:val="Unresolved Mention"/>
    <w:basedOn w:val="DefaultParagraphFont"/>
    <w:uiPriority w:val="99"/>
    <w:semiHidden/>
    <w:unhideWhenUsed/>
    <w:rsid w:val="00605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thereum/EIPs/pull/2020" TargetMode="External"/><Relationship Id="rId18" Type="http://schemas.openxmlformats.org/officeDocument/2006/relationships/hyperlink" Target="https://github.com/IoBuilders/fundable-token" TargetMode="External"/><Relationship Id="rId26" Type="http://schemas.openxmlformats.org/officeDocument/2006/relationships/hyperlink" Target="https://io.builders/" TargetMode="Externa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mailto:standards@alastria.io" TargetMode="External"/><Relationship Id="rId17" Type="http://schemas.openxmlformats.org/officeDocument/2006/relationships/hyperlink" Target="https://github.com/IoBuilders/clearable-token" TargetMode="External"/><Relationship Id="rId25" Type="http://schemas.openxmlformats.org/officeDocument/2006/relationships/hyperlink" Target="https://adhara.io/" TargetMode="External"/><Relationship Id="rId2" Type="http://schemas.openxmlformats.org/officeDocument/2006/relationships/customXml" Target="../customXml/item2.xml"/><Relationship Id="rId16" Type="http://schemas.openxmlformats.org/officeDocument/2006/relationships/hyperlink" Target="https://github.com/IoBuilders/payoutable-token" TargetMode="External"/><Relationship Id="rId20" Type="http://schemas.openxmlformats.org/officeDocument/2006/relationships/hyperlink" Target="https://ourion.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moneytokenstandard.org/" TargetMode="External"/><Relationship Id="rId24" Type="http://schemas.openxmlformats.org/officeDocument/2006/relationships/hyperlink" Target="https://alastria.io/en/" TargetMode="External"/><Relationship Id="rId5" Type="http://schemas.openxmlformats.org/officeDocument/2006/relationships/numbering" Target="numbering.xml"/><Relationship Id="rId15" Type="http://schemas.openxmlformats.org/officeDocument/2006/relationships/hyperlink" Target="https://github.com/IoBuilders/holdable-token" TargetMode="External"/><Relationship Id="rId23" Type="http://schemas.openxmlformats.org/officeDocument/2006/relationships/hyperlink" Target="https://ourion.io/"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ourion.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moneytokenstandard.org/" TargetMode="External"/><Relationship Id="rId22" Type="http://schemas.openxmlformats.org/officeDocument/2006/relationships/image" Target="media/image2.png"/><Relationship Id="rId27" Type="http://schemas.openxmlformats.org/officeDocument/2006/relationships/hyperlink" Target="https://io.cash/produ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C4C3AA7FA34945B53430BB9D512805" ma:contentTypeVersion="2" ma:contentTypeDescription="Create a new document." ma:contentTypeScope="" ma:versionID="e8a1e430a31ba957c1cede6fd1647a3d">
  <xsd:schema xmlns:xsd="http://www.w3.org/2001/XMLSchema" xmlns:xs="http://www.w3.org/2001/XMLSchema" xmlns:p="http://schemas.microsoft.com/office/2006/metadata/properties" xmlns:ns1="http://schemas.microsoft.com/sharepoint/v3" xmlns:ns2="b8121bf2-eaee-4025-8fc5-b63efdd230f7" targetNamespace="http://schemas.microsoft.com/office/2006/metadata/properties" ma:root="true" ma:fieldsID="59e8510d019096d614c96f2acf0ac750" ns1:_="" ns2:_="">
    <xsd:import namespace="http://schemas.microsoft.com/sharepoint/v3"/>
    <xsd:import namespace="b8121bf2-eaee-4025-8fc5-b63efdd230f7"/>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121bf2-eaee-4025-8fc5-b63efdd230f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2.xml><?xml version="1.0" encoding="utf-8"?>
<ds:datastoreItem xmlns:ds="http://schemas.openxmlformats.org/officeDocument/2006/customXml" ds:itemID="{5326C79F-777D-4CF2-964B-848A296F4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121bf2-eaee-4025-8fc5-b63efdd23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80A3AF4-B413-4D23-801C-61D12ECB5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2550</Words>
  <Characters>14539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FG DLT use case description template</vt:lpstr>
    </vt:vector>
  </TitlesOfParts>
  <Company>International Telecommunication Union (ITU)</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 DLT use case description template</dc:title>
  <dc:subject/>
  <dc:creator>Usuario de Microsoft Office</dc:creator>
  <cp:keywords>Distributed Ledger Technologies Use case template</cp:keywords>
  <dc:description>DLT-O-037.docx  For: _x000d_Document date: _x000d_Saved by ITU51011775 at 12:11:07 on 15/10/2018</dc:description>
  <cp:lastModifiedBy>Makamara, Gillian</cp:lastModifiedBy>
  <cp:revision>11</cp:revision>
  <cp:lastPrinted>2017-11-13T11:37:00Z</cp:lastPrinted>
  <dcterms:created xsi:type="dcterms:W3CDTF">2019-07-21T08:47:00Z</dcterms:created>
  <dcterms:modified xsi:type="dcterms:W3CDTF">2019-07-30T14:55:00Z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International Telecommunication Union (ITU)</vt:lpwstr>
  </property>
  <property fmtid="{D5CDD505-2E9C-101B-9397-08002B2CF9AE}" pid="4" name="ContentTypeId">
    <vt:lpwstr>0x01010020C4C3AA7FA34945B53430BB9D512805</vt:lpwstr>
  </property>
  <property fmtid="{D5CDD505-2E9C-101B-9397-08002B2CF9AE}" pid="5" name="DocSecurity">
    <vt:i4>0</vt:i4>
  </property>
  <property fmtid="{D5CDD505-2E9C-101B-9397-08002B2CF9AE}" pid="6" name="Docauthor">
    <vt:lpwstr/>
  </property>
  <property fmtid="{D5CDD505-2E9C-101B-9397-08002B2CF9AE}" pid="7" name="Docbluepink">
    <vt:lpwstr/>
  </property>
  <property fmtid="{D5CDD505-2E9C-101B-9397-08002B2CF9AE}" pid="8" name="Docdate">
    <vt:lpwstr/>
  </property>
  <property fmtid="{D5CDD505-2E9C-101B-9397-08002B2CF9AE}" pid="9" name="Docdest">
    <vt:lpwstr/>
  </property>
  <property fmtid="{D5CDD505-2E9C-101B-9397-08002B2CF9AE}" pid="10" name="Docnum">
    <vt:lpwstr>DLT-O-037.docx</vt:lpwstr>
  </property>
  <property fmtid="{D5CDD505-2E9C-101B-9397-08002B2CF9AE}" pid="11" name="Docorlang">
    <vt:lpwstr/>
  </property>
  <property fmtid="{D5CDD505-2E9C-101B-9397-08002B2CF9AE}" pid="12" name="HyperlinksChanged">
    <vt:bool>false</vt:bool>
  </property>
  <property fmtid="{D5CDD505-2E9C-101B-9397-08002B2CF9AE}" pid="13" name="LinksUpToDate">
    <vt:bool>false</vt:bool>
  </property>
  <property fmtid="{D5CDD505-2E9C-101B-9397-08002B2CF9AE}" pid="14" name="Manager">
    <vt:lpwstr>ITU-T</vt:lpwstr>
  </property>
  <property fmtid="{D5CDD505-2E9C-101B-9397-08002B2CF9AE}" pid="15" name="ScaleCrop">
    <vt:bool>false</vt:bool>
  </property>
  <property fmtid="{D5CDD505-2E9C-101B-9397-08002B2CF9AE}" pid="16" name="ShareDoc">
    <vt:bool>false</vt:bool>
  </property>
</Properties>
</file>