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3C" w:rsidRPr="003A2D3C" w:rsidRDefault="003A2D3C" w:rsidP="003A2D3C">
      <w:pPr>
        <w:pStyle w:val="Heading3"/>
        <w:keepLines w:val="0"/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240" w:after="60"/>
        <w:jc w:val="center"/>
        <w:textAlignment w:val="auto"/>
        <w:rPr>
          <w:sz w:val="32"/>
          <w:szCs w:val="24"/>
        </w:rPr>
      </w:pPr>
      <w:bookmarkStart w:id="0" w:name="_Toc15373910"/>
      <w:r>
        <w:rPr>
          <w:rFonts w:eastAsia="Malgun Gothic"/>
          <w:sz w:val="32"/>
          <w:szCs w:val="24"/>
          <w:lang w:val="en-US" w:eastAsia="ko-KR"/>
        </w:rPr>
        <w:t>VisionNG</w:t>
      </w:r>
      <w:r w:rsidRPr="003A2D3C">
        <w:rPr>
          <w:rFonts w:eastAsia="Malgun Gothic"/>
          <w:sz w:val="32"/>
          <w:szCs w:val="24"/>
          <w:lang w:val="en-US" w:eastAsia="ko-KR"/>
        </w:rPr>
        <w:t xml:space="preserve"> </w:t>
      </w:r>
      <w:r w:rsidRPr="003A2D3C">
        <w:rPr>
          <w:rFonts w:eastAsia="Malgun Gothic"/>
          <w:sz w:val="32"/>
          <w:szCs w:val="24"/>
          <w:lang w:val="en-US" w:eastAsia="ko-KR"/>
        </w:rPr>
        <w:t xml:space="preserve">DLT </w:t>
      </w:r>
      <w:r>
        <w:rPr>
          <w:rFonts w:eastAsia="Malgun Gothic"/>
          <w:sz w:val="32"/>
          <w:szCs w:val="24"/>
          <w:lang w:val="en-US" w:eastAsia="ko-KR"/>
        </w:rPr>
        <w:t>for Number Assignment, Services a</w:t>
      </w:r>
      <w:r w:rsidRPr="003A2D3C">
        <w:rPr>
          <w:rFonts w:eastAsia="Malgun Gothic"/>
          <w:sz w:val="32"/>
          <w:szCs w:val="24"/>
          <w:lang w:val="en-US" w:eastAsia="ko-KR"/>
        </w:rPr>
        <w:t>nd Number Portability</w:t>
      </w:r>
      <w:bookmarkEnd w:id="0"/>
    </w:p>
    <w:p w:rsidR="00D21546" w:rsidRPr="00B95157" w:rsidRDefault="00D21546" w:rsidP="00D21546">
      <w:pPr>
        <w:jc w:val="center"/>
        <w:rPr>
          <w:b/>
          <w:bCs/>
          <w:u w:val="single"/>
        </w:rPr>
      </w:pPr>
      <w:r w:rsidRPr="00B95157">
        <w:rPr>
          <w:b/>
          <w:bCs/>
          <w:u w:val="single"/>
        </w:rPr>
        <w:t>Section 1: Summary</w:t>
      </w: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3119"/>
        <w:gridCol w:w="2126"/>
        <w:gridCol w:w="2126"/>
      </w:tblGrid>
      <w:tr w:rsidR="00D21546" w:rsidRPr="00EB6345" w:rsidTr="00980BEF">
        <w:tc>
          <w:tcPr>
            <w:tcW w:w="97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Use Case summary</w:t>
            </w:r>
          </w:p>
        </w:tc>
      </w:tr>
      <w:tr w:rsidR="00D21546" w:rsidRPr="00EB6345" w:rsidTr="00980BE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Use Case ID: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3A2D3C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MS Mincho"/>
                <w:sz w:val="20"/>
                <w:szCs w:val="20"/>
                <w:lang w:val="en-US"/>
              </w:rPr>
            </w:pPr>
            <w:r w:rsidRPr="00984420">
              <w:rPr>
                <w:rFonts w:eastAsia="Times New Roman"/>
                <w:b/>
                <w:sz w:val="20"/>
                <w:szCs w:val="20"/>
                <w:lang w:val="en-US"/>
              </w:rPr>
              <w:t>ICT-006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Use Case Type: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>Vertical</w:t>
            </w:r>
          </w:p>
        </w:tc>
      </w:tr>
      <w:tr w:rsidR="00D21546" w:rsidRPr="00EB6345" w:rsidTr="00980BE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Use Case Title: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 xml:space="preserve">VisionNG DLT for number assignment, services and number portability </w:t>
            </w:r>
          </w:p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MS Mincho"/>
                <w:sz w:val="20"/>
                <w:szCs w:val="20"/>
                <w:lang w:val="en-US"/>
              </w:rPr>
            </w:pPr>
            <w:bookmarkStart w:id="1" w:name="_GoBack"/>
            <w:bookmarkEnd w:id="1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Domain: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T</w:t>
            </w: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>ele</w:t>
            </w:r>
            <w:r>
              <w:rPr>
                <w:rFonts w:eastAsia="Times New Roman"/>
                <w:b/>
                <w:sz w:val="20"/>
                <w:szCs w:val="20"/>
                <w:lang w:val="en-US"/>
              </w:rPr>
              <w:t>c</w:t>
            </w: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>ommunications</w:t>
            </w:r>
          </w:p>
        </w:tc>
      </w:tr>
      <w:tr w:rsidR="00D21546" w:rsidRPr="00EB6345" w:rsidTr="00980BE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Stakeholder:</w:t>
            </w:r>
          </w:p>
        </w:tc>
        <w:tc>
          <w:tcPr>
            <w:tcW w:w="73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MS Mincho"/>
                <w:sz w:val="20"/>
                <w:szCs w:val="20"/>
                <w:lang w:val="en-US"/>
              </w:rPr>
            </w:pPr>
          </w:p>
        </w:tc>
      </w:tr>
      <w:tr w:rsidR="00D21546" w:rsidRPr="00EB6345" w:rsidTr="00980BE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Value Transfer: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>Yes, currently not in 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N. of participants: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3</w:t>
            </w:r>
          </w:p>
        </w:tc>
      </w:tr>
      <w:tr w:rsidR="00D21546" w:rsidRPr="00EB6345" w:rsidTr="00980BE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Data:</w:t>
            </w:r>
          </w:p>
        </w:tc>
        <w:tc>
          <w:tcPr>
            <w:tcW w:w="73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 xml:space="preserve">Contractual rules, chain of contracts, services type </w:t>
            </w:r>
          </w:p>
        </w:tc>
      </w:tr>
      <w:tr w:rsidR="00D21546" w:rsidRPr="00EB6345" w:rsidTr="00980BE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Users:</w:t>
            </w:r>
          </w:p>
        </w:tc>
        <w:tc>
          <w:tcPr>
            <w:tcW w:w="73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MS Mincho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MS Mincho"/>
                <w:b/>
                <w:sz w:val="20"/>
                <w:szCs w:val="20"/>
                <w:lang w:val="en-US"/>
              </w:rPr>
              <w:t>30000</w:t>
            </w:r>
          </w:p>
        </w:tc>
      </w:tr>
      <w:tr w:rsidR="00D21546" w:rsidRPr="00EB6345" w:rsidTr="00980BE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Identification:</w:t>
            </w:r>
          </w:p>
        </w:tc>
        <w:tc>
          <w:tcPr>
            <w:tcW w:w="73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MS Mincho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MS Mincho"/>
                <w:b/>
                <w:sz w:val="20"/>
                <w:szCs w:val="20"/>
                <w:lang w:val="en-US"/>
              </w:rPr>
              <w:t xml:space="preserve">You can participate anonymously only for specific services    </w:t>
            </w:r>
          </w:p>
        </w:tc>
      </w:tr>
      <w:tr w:rsidR="00D21546" w:rsidRPr="00EB6345" w:rsidTr="00980BE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Predicted Outcomes:</w:t>
            </w:r>
          </w:p>
        </w:tc>
        <w:tc>
          <w:tcPr>
            <w:tcW w:w="73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MS Mincho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MS Mincho"/>
                <w:b/>
                <w:sz w:val="20"/>
                <w:szCs w:val="20"/>
                <w:lang w:val="en-US"/>
              </w:rPr>
              <w:t>Fast assignment, number and service portability with legacy fall back on DNSSec</w:t>
            </w: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Overview of the Business Problem or Opportunity</w:t>
            </w:r>
          </w:p>
        </w:tc>
      </w:tr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 xml:space="preserve">Fast and scalable system for service and number portability </w:t>
            </w:r>
          </w:p>
        </w:tc>
      </w:tr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Why Distributed Ledger Technology?</w:t>
            </w:r>
          </w:p>
        </w:tc>
      </w:tr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F55DCF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>There is no current solution for global number and service portability that provides fast cost effective and scalable technology that provides for global services deployment.</w:t>
            </w:r>
          </w:p>
        </w:tc>
      </w:tr>
    </w:tbl>
    <w:p w:rsidR="00D21546" w:rsidRPr="00B95157" w:rsidRDefault="00D21546" w:rsidP="00D21546"/>
    <w:p w:rsidR="00D21546" w:rsidRDefault="00D21546" w:rsidP="00D21546">
      <w:pPr>
        <w:jc w:val="center"/>
        <w:rPr>
          <w:b/>
          <w:bCs/>
          <w:u w:val="single"/>
        </w:rPr>
      </w:pPr>
      <w:r w:rsidRPr="00B95157">
        <w:rPr>
          <w:b/>
          <w:bCs/>
          <w:u w:val="single"/>
        </w:rPr>
        <w:t>Section 2</w:t>
      </w:r>
      <w:r>
        <w:rPr>
          <w:b/>
          <w:bCs/>
          <w:u w:val="single"/>
        </w:rPr>
        <w:t>:</w:t>
      </w:r>
      <w:r w:rsidRPr="00B95157">
        <w:rPr>
          <w:b/>
          <w:bCs/>
          <w:u w:val="single"/>
        </w:rPr>
        <w:t xml:space="preserve"> Current process</w:t>
      </w: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Current Solutions</w:t>
            </w:r>
          </w:p>
        </w:tc>
      </w:tr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>There are some parts available that provide some services like number resolution, but don’t support any contractual system like number assignment or portability</w:t>
            </w: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240"/>
        <w:gridCol w:w="5615"/>
      </w:tblGrid>
      <w:tr w:rsidR="00D21546" w:rsidRPr="00EB6345" w:rsidTr="00980BEF">
        <w:trPr>
          <w:cantSplit/>
          <w:trHeight w:val="280"/>
          <w:tblHeader/>
        </w:trPr>
        <w:tc>
          <w:tcPr>
            <w:tcW w:w="978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Existing Flow (as-is)</w:t>
            </w:r>
          </w:p>
        </w:tc>
      </w:tr>
      <w:tr w:rsidR="00D21546" w:rsidRPr="00EB6345" w:rsidTr="00980BEF">
        <w:trPr>
          <w:cantSplit/>
          <w:trHeight w:val="280"/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User Actions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System Actions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sz w:val="20"/>
                <w:szCs w:val="20"/>
              </w:rPr>
            </w:pPr>
            <w:r w:rsidRPr="00B95157">
              <w:rPr>
                <w:rFonts w:eastAsia="MS Mincho"/>
                <w:sz w:val="20"/>
                <w:szCs w:val="20"/>
              </w:rPr>
              <w:t>1.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  <w:b/>
                <w:color w:val="FF0000"/>
                <w:sz w:val="20"/>
                <w:szCs w:val="20"/>
                <w:lang w:val="en-US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>Manual interaction</w:t>
            </w:r>
            <w:r w:rsidRPr="00F55DCF">
              <w:rPr>
                <w:rFonts w:eastAsia="Times New Roman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  <w:b/>
                <w:color w:val="FF0000"/>
                <w:sz w:val="20"/>
                <w:szCs w:val="20"/>
                <w:lang w:val="en-US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>Manual action via operator</w:t>
            </w:r>
            <w:r w:rsidRPr="00F55DCF">
              <w:rPr>
                <w:rFonts w:eastAsia="Times New Roman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sz w:val="20"/>
                <w:szCs w:val="20"/>
              </w:rPr>
            </w:pPr>
            <w:r w:rsidRPr="00B95157">
              <w:rPr>
                <w:rFonts w:eastAsia="MS Mincho"/>
                <w:sz w:val="20"/>
                <w:szCs w:val="20"/>
              </w:rPr>
              <w:t>2.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spacing w:after="60"/>
              <w:rPr>
                <w:rFonts w:eastAsia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spacing w:after="60"/>
              <w:rPr>
                <w:rFonts w:eastAsia="Times New Roman"/>
                <w:color w:val="FF0000"/>
                <w:sz w:val="20"/>
                <w:szCs w:val="20"/>
                <w:lang w:val="en-US"/>
              </w:rPr>
            </w:pP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rPr>
          <w:cantSplit/>
          <w:trHeight w:val="280"/>
          <w:tblHeader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Process scheme (as-is)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Mincho"/>
                <w:b/>
                <w:color w:val="0000FF"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>Single regions Sparse service</w:t>
            </w:r>
            <w:r w:rsidRPr="00F55DCF">
              <w:rPr>
                <w:rFonts w:eastAsia="MS Mincho"/>
                <w:b/>
                <w:color w:val="0000FF"/>
                <w:sz w:val="20"/>
                <w:szCs w:val="20"/>
              </w:rPr>
              <w:t xml:space="preserve">   </w:t>
            </w: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D21546" w:rsidRPr="00EB6345" w:rsidTr="00980BEF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D21546">
            <w:pPr>
              <w:keepNext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Data and information (as-is)</w:t>
            </w:r>
          </w:p>
        </w:tc>
      </w:tr>
      <w:tr w:rsidR="00D21546" w:rsidRPr="00EB6345" w:rsidTr="00980BEF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B95157">
              <w:rPr>
                <w:rFonts w:eastAsia="MS Mincho"/>
                <w:b/>
                <w:sz w:val="20"/>
                <w:szCs w:val="20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287A90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287A90">
              <w:rPr>
                <w:rFonts w:eastAsia="MS Mincho"/>
                <w:b/>
                <w:sz w:val="20"/>
                <w:szCs w:val="20"/>
              </w:rPr>
              <w:t>Documents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 xml:space="preserve">Manual, physical paper work 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B95157">
              <w:rPr>
                <w:rFonts w:eastAsia="MS Mincho"/>
                <w:b/>
                <w:sz w:val="20"/>
                <w:szCs w:val="20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287A90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287A90">
              <w:rPr>
                <w:rFonts w:eastAsia="Times New Roman"/>
                <w:b/>
                <w:sz w:val="20"/>
                <w:szCs w:val="20"/>
                <w:lang w:val="en-US"/>
              </w:rPr>
              <w:t>Payment transactions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Billing for services</w:t>
            </w: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D21546" w:rsidRPr="00EB6345" w:rsidTr="00980BEF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Participants and their roles (as-is)</w:t>
            </w:r>
          </w:p>
        </w:tc>
      </w:tr>
      <w:tr w:rsidR="00D21546" w:rsidRPr="00EB6345" w:rsidTr="00980BEF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B95157">
              <w:rPr>
                <w:rFonts w:eastAsia="MS Mincho"/>
                <w:b/>
                <w:sz w:val="20"/>
                <w:szCs w:val="20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>Telecommunications operators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>
              <w:rPr>
                <w:rFonts w:eastAsia="MS Mincho"/>
                <w:b/>
                <w:sz w:val="20"/>
                <w:szCs w:val="20"/>
              </w:rPr>
              <w:t>Provide numbering resources and services</w:t>
            </w:r>
            <w:r w:rsidRPr="00F55DCF">
              <w:rPr>
                <w:rFonts w:eastAsia="MS Mincho"/>
                <w:b/>
                <w:sz w:val="20"/>
                <w:szCs w:val="20"/>
              </w:rPr>
              <w:t xml:space="preserve"> 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B95157">
              <w:rPr>
                <w:rFonts w:eastAsia="MS Mincho"/>
                <w:b/>
                <w:sz w:val="20"/>
                <w:szCs w:val="20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>Users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Request and receive resources and services from operators</w:t>
            </w: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Other Notes</w:t>
            </w: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B95157" w:rsidRDefault="00D21546" w:rsidP="00980BEF">
            <w:pPr>
              <w:tabs>
                <w:tab w:val="left" w:pos="720"/>
              </w:tabs>
              <w:spacing w:after="60"/>
              <w:rPr>
                <w:rFonts w:eastAsia="MS Mincho"/>
                <w:i/>
                <w:sz w:val="20"/>
                <w:szCs w:val="20"/>
              </w:rPr>
            </w:pPr>
          </w:p>
        </w:tc>
      </w:tr>
    </w:tbl>
    <w:p w:rsidR="00D21546" w:rsidRPr="00E2769C" w:rsidRDefault="00D21546" w:rsidP="00D21546">
      <w:pPr>
        <w:rPr>
          <w:rFonts w:eastAsia="MS Mincho"/>
          <w:b/>
          <w:lang w:val="en-US"/>
        </w:rPr>
      </w:pPr>
    </w:p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MS Mincho"/>
          <w:b/>
          <w:szCs w:val="20"/>
          <w:u w:val="single"/>
        </w:rPr>
      </w:pPr>
      <w:r w:rsidRPr="00E2769C">
        <w:rPr>
          <w:rFonts w:eastAsia="MS Mincho"/>
          <w:b/>
          <w:szCs w:val="20"/>
          <w:u w:val="single"/>
        </w:rPr>
        <w:t>Section 3</w:t>
      </w:r>
      <w:r>
        <w:rPr>
          <w:rFonts w:eastAsia="MS Mincho"/>
          <w:b/>
          <w:szCs w:val="20"/>
          <w:u w:val="single"/>
        </w:rPr>
        <w:t>:</w:t>
      </w:r>
      <w:r w:rsidRPr="00E2769C">
        <w:rPr>
          <w:rFonts w:eastAsia="MS Mincho"/>
          <w:b/>
          <w:szCs w:val="20"/>
          <w:u w:val="single"/>
        </w:rPr>
        <w:t xml:space="preserve"> Expected process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240"/>
        <w:gridCol w:w="5615"/>
      </w:tblGrid>
      <w:tr w:rsidR="00D21546" w:rsidRPr="00EB6345" w:rsidTr="00980BEF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Expected Flow (to-be)</w:t>
            </w:r>
          </w:p>
        </w:tc>
      </w:tr>
      <w:tr w:rsidR="00D21546" w:rsidRPr="00EB6345" w:rsidTr="00980BEF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User Actions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System Actions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sz w:val="20"/>
                <w:szCs w:val="20"/>
              </w:rPr>
            </w:pPr>
            <w:r w:rsidRPr="00B95157">
              <w:rPr>
                <w:rFonts w:eastAsia="MS Mincho"/>
                <w:sz w:val="20"/>
                <w:szCs w:val="20"/>
              </w:rPr>
              <w:t>1.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 xml:space="preserve">Interact with the system via contract backed by smart contracts 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 xml:space="preserve">Issues keys, and store and executes smart contract roles, stores record and syncs with legacy systems 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sz w:val="20"/>
                <w:szCs w:val="20"/>
              </w:rPr>
            </w:pPr>
            <w:r w:rsidRPr="00B95157">
              <w:rPr>
                <w:rFonts w:eastAsia="MS Mincho"/>
                <w:sz w:val="20"/>
                <w:szCs w:val="20"/>
              </w:rPr>
              <w:t>2.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B95157" w:rsidRDefault="00D21546" w:rsidP="00980BEF">
            <w:pPr>
              <w:spacing w:after="60"/>
              <w:rPr>
                <w:rFonts w:eastAsia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B95157" w:rsidRDefault="00D21546" w:rsidP="00980BEF">
            <w:pPr>
              <w:spacing w:after="60"/>
              <w:rPr>
                <w:rFonts w:eastAsia="Times New Roman"/>
                <w:color w:val="FF0000"/>
                <w:sz w:val="20"/>
                <w:szCs w:val="20"/>
                <w:lang w:val="en-US"/>
              </w:rPr>
            </w:pP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MS Mincho"/>
          <w:b/>
          <w:szCs w:val="20"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rPr>
          <w:cantSplit/>
          <w:trHeight w:val="280"/>
          <w:tblHeader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Process scheme (to-be)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spacing w:after="60"/>
              <w:rPr>
                <w:rFonts w:eastAsia="Times New Roman"/>
                <w:color w:val="FF0000"/>
                <w:sz w:val="20"/>
                <w:szCs w:val="20"/>
                <w:lang w:val="en-US"/>
              </w:rPr>
            </w:pP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MS Mincho"/>
          <w:b/>
          <w:szCs w:val="20"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D21546" w:rsidRPr="00EB6345" w:rsidTr="00980BEF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Participants and their roles</w:t>
            </w:r>
          </w:p>
        </w:tc>
      </w:tr>
      <w:tr w:rsidR="00D21546" w:rsidRPr="00EB6345" w:rsidTr="00980BEF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B95157">
              <w:rPr>
                <w:rFonts w:eastAsia="MS Mincho"/>
                <w:b/>
                <w:sz w:val="20"/>
                <w:szCs w:val="20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>Telecommunications operators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F55DCF">
              <w:rPr>
                <w:rFonts w:eastAsia="MS Mincho"/>
                <w:b/>
                <w:sz w:val="20"/>
                <w:szCs w:val="20"/>
              </w:rPr>
              <w:t xml:space="preserve">Make arrangements to enable keys to be issued, to store and execute smart contract roles, to store records and sync with legacy systems 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B95157">
              <w:rPr>
                <w:rFonts w:eastAsia="MS Mincho"/>
                <w:b/>
                <w:sz w:val="20"/>
                <w:szCs w:val="20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>Users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>Interact with the system via contract backed by smart contracts</w:t>
            </w:r>
          </w:p>
        </w:tc>
      </w:tr>
    </w:tbl>
    <w:p w:rsidR="00D21546" w:rsidRPr="00E2769C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D21546" w:rsidRPr="00EB6345" w:rsidTr="00980BEF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Data and information</w:t>
            </w:r>
          </w:p>
        </w:tc>
      </w:tr>
      <w:tr w:rsidR="00D21546" w:rsidRPr="00EB6345" w:rsidTr="00980BEF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>
              <w:rPr>
                <w:rFonts w:eastAsia="MS Mincho"/>
                <w:b/>
                <w:sz w:val="20"/>
                <w:szCs w:val="20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287A90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Transactions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Assignments, reclamations, changes, etc.</w:t>
            </w:r>
            <w:r w:rsidRPr="00F55DCF">
              <w:rPr>
                <w:rFonts w:eastAsia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D21546" w:rsidRPr="00EB6345" w:rsidTr="00980BEF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287A90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F55DCF" w:rsidRDefault="00D21546" w:rsidP="00980BEF">
            <w:pPr>
              <w:spacing w:after="60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</w:tr>
    </w:tbl>
    <w:p w:rsidR="00D21546" w:rsidRPr="00B95157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sz w:val="20"/>
          <w:szCs w:val="20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Security and privacy</w:t>
            </w: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287A90" w:rsidRDefault="00D21546" w:rsidP="00980BEF">
            <w:pPr>
              <w:tabs>
                <w:tab w:val="left" w:pos="720"/>
              </w:tabs>
              <w:spacing w:after="60"/>
              <w:rPr>
                <w:rFonts w:eastAsia="MS Mincho"/>
                <w:b/>
                <w:sz w:val="20"/>
                <w:szCs w:val="20"/>
              </w:rPr>
            </w:pPr>
            <w:r w:rsidRPr="00287A90">
              <w:rPr>
                <w:rFonts w:eastAsia="MS Mincho"/>
                <w:b/>
                <w:sz w:val="20"/>
                <w:szCs w:val="20"/>
              </w:rPr>
              <w:t xml:space="preserve">Entities are represented by cryptographic keys and specific smart contract are issued per region / service  </w:t>
            </w:r>
          </w:p>
        </w:tc>
      </w:tr>
    </w:tbl>
    <w:p w:rsidR="00D21546" w:rsidRPr="00B95157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sz w:val="20"/>
          <w:szCs w:val="20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Main Success Scenario</w:t>
            </w:r>
          </w:p>
        </w:tc>
      </w:tr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287A90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287A90">
              <w:rPr>
                <w:rFonts w:eastAsia="MS Mincho"/>
                <w:b/>
                <w:sz w:val="20"/>
                <w:szCs w:val="20"/>
              </w:rPr>
              <w:t xml:space="preserve">Number resource is available on Global Cloud DLT DApp platforms for global application and service delivery </w:t>
            </w:r>
          </w:p>
        </w:tc>
      </w:tr>
    </w:tbl>
    <w:p w:rsidR="00D21546" w:rsidRPr="00B95157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b/>
          <w:sz w:val="20"/>
          <w:szCs w:val="20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Conditions (pre- or post-)</w:t>
            </w:r>
          </w:p>
        </w:tc>
      </w:tr>
      <w:tr w:rsidR="00D21546" w:rsidRPr="00EB6345" w:rsidTr="00980BEF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spacing w:after="60"/>
              <w:rPr>
                <w:rFonts w:eastAsia="Times New Roman"/>
                <w:i/>
                <w:sz w:val="20"/>
                <w:szCs w:val="20"/>
                <w:lang w:val="en-US"/>
              </w:rPr>
            </w:pPr>
          </w:p>
        </w:tc>
      </w:tr>
    </w:tbl>
    <w:p w:rsidR="00D21546" w:rsidRPr="00B95157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sz w:val="20"/>
          <w:szCs w:val="20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Performance needs</w:t>
            </w: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287A90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287A90">
              <w:rPr>
                <w:rFonts w:eastAsia="MS Mincho"/>
                <w:b/>
                <w:sz w:val="20"/>
                <w:szCs w:val="20"/>
              </w:rPr>
              <w:t>Current number portability solutions take days where semi distributed system like DNS take milliseconds</w:t>
            </w:r>
          </w:p>
        </w:tc>
      </w:tr>
    </w:tbl>
    <w:p w:rsidR="00D21546" w:rsidRPr="00B95157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ascii="Calibri" w:eastAsia="MS Mincho" w:hAnsi="Calibri" w:cs="Cambria,Bold"/>
          <w:b/>
          <w:bCs/>
          <w:sz w:val="20"/>
          <w:szCs w:val="20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Legal considerations</w:t>
            </w: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287A90" w:rsidRDefault="00D21546" w:rsidP="00980BEF">
            <w:pPr>
              <w:tabs>
                <w:tab w:val="left" w:pos="720"/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eastAsia="MS Mincho"/>
                <w:b/>
                <w:sz w:val="20"/>
                <w:szCs w:val="20"/>
              </w:rPr>
            </w:pPr>
            <w:r w:rsidRPr="00287A90">
              <w:rPr>
                <w:rFonts w:eastAsia="MS Mincho"/>
                <w:b/>
                <w:sz w:val="20"/>
                <w:szCs w:val="20"/>
              </w:rPr>
              <w:t>Must comply with national regulatory requirements</w:t>
            </w:r>
          </w:p>
        </w:tc>
      </w:tr>
    </w:tbl>
    <w:p w:rsidR="00D21546" w:rsidRPr="00B95157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sz w:val="20"/>
          <w:szCs w:val="20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Risks</w:t>
            </w: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20"/>
              </w:tabs>
              <w:spacing w:after="60"/>
              <w:rPr>
                <w:rFonts w:eastAsia="MS Mincho"/>
                <w:i/>
                <w:sz w:val="20"/>
                <w:szCs w:val="20"/>
              </w:rPr>
            </w:pP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20"/>
              </w:tabs>
              <w:spacing w:after="60"/>
              <w:rPr>
                <w:rFonts w:eastAsia="MS Mincho"/>
                <w:i/>
                <w:sz w:val="20"/>
                <w:szCs w:val="20"/>
              </w:rPr>
            </w:pPr>
          </w:p>
        </w:tc>
      </w:tr>
    </w:tbl>
    <w:p w:rsidR="00D21546" w:rsidRPr="00B95157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sz w:val="20"/>
          <w:szCs w:val="20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Special Requirements</w:t>
            </w: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287A90" w:rsidRDefault="00D21546" w:rsidP="00980BEF">
            <w:pPr>
              <w:tabs>
                <w:tab w:val="left" w:pos="720"/>
              </w:tabs>
              <w:spacing w:after="60"/>
              <w:rPr>
                <w:rFonts w:eastAsia="MS Mincho"/>
                <w:b/>
                <w:sz w:val="20"/>
                <w:szCs w:val="20"/>
              </w:rPr>
            </w:pPr>
            <w:r w:rsidRPr="00287A90">
              <w:rPr>
                <w:rFonts w:eastAsia="MS Mincho"/>
                <w:b/>
                <w:sz w:val="20"/>
                <w:szCs w:val="20"/>
              </w:rPr>
              <w:t xml:space="preserve">Implementing Number and services management platform to interact with the existent DLT systems </w:t>
            </w:r>
          </w:p>
        </w:tc>
      </w:tr>
    </w:tbl>
    <w:p w:rsidR="00D21546" w:rsidRPr="00B95157" w:rsidRDefault="00D21546" w:rsidP="00D21546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eastAsia="MS Mincho"/>
          <w:sz w:val="20"/>
          <w:szCs w:val="20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External References and Miscellaneous</w:t>
            </w: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1546" w:rsidRPr="00B95157" w:rsidRDefault="00D21546" w:rsidP="00980BEF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Mincho"/>
                <w:i/>
                <w:sz w:val="20"/>
                <w:szCs w:val="20"/>
              </w:rPr>
            </w:pPr>
          </w:p>
        </w:tc>
      </w:tr>
    </w:tbl>
    <w:p w:rsidR="00D21546" w:rsidRPr="00B95157" w:rsidRDefault="00D21546" w:rsidP="00D21546">
      <w:pPr>
        <w:keepLines/>
        <w:tabs>
          <w:tab w:val="left" w:pos="255"/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80"/>
        <w:ind w:left="255" w:hanging="255"/>
        <w:textAlignment w:val="baseline"/>
        <w:rPr>
          <w:rFonts w:eastAsia="MS Mincho"/>
          <w:sz w:val="20"/>
          <w:szCs w:val="20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:rsidR="00D21546" w:rsidRPr="00B95157" w:rsidRDefault="00D21546" w:rsidP="00980BEF">
            <w:pPr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95157">
              <w:rPr>
                <w:rFonts w:eastAsia="Times New Roman"/>
                <w:b/>
                <w:sz w:val="20"/>
                <w:szCs w:val="20"/>
                <w:lang w:val="en-US"/>
              </w:rPr>
              <w:t>Other Notes</w:t>
            </w:r>
          </w:p>
        </w:tc>
      </w:tr>
      <w:tr w:rsidR="00D21546" w:rsidRPr="00EB6345" w:rsidTr="00980BEF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46" w:rsidRPr="00B95157" w:rsidRDefault="00D21546" w:rsidP="00980BEF">
            <w:pPr>
              <w:tabs>
                <w:tab w:val="left" w:pos="720"/>
              </w:tabs>
              <w:spacing w:after="60"/>
              <w:rPr>
                <w:rFonts w:eastAsia="MS Mincho"/>
                <w:i/>
                <w:sz w:val="20"/>
                <w:szCs w:val="20"/>
              </w:rPr>
            </w:pPr>
          </w:p>
        </w:tc>
      </w:tr>
    </w:tbl>
    <w:p w:rsidR="00D21546" w:rsidRPr="00E2769C" w:rsidRDefault="00D21546" w:rsidP="00D21546">
      <w:pPr>
        <w:overflowPunct w:val="0"/>
        <w:autoSpaceDE w:val="0"/>
        <w:autoSpaceDN w:val="0"/>
        <w:adjustRightInd w:val="0"/>
        <w:spacing w:after="160" w:line="259" w:lineRule="auto"/>
        <w:jc w:val="center"/>
        <w:textAlignment w:val="baseline"/>
        <w:rPr>
          <w:rFonts w:eastAsia="MS Mincho"/>
          <w:szCs w:val="20"/>
        </w:rPr>
      </w:pPr>
    </w:p>
    <w:p w:rsidR="00D21546" w:rsidRPr="00E2769C" w:rsidRDefault="00D21546" w:rsidP="00D21546">
      <w:pPr>
        <w:overflowPunct w:val="0"/>
        <w:autoSpaceDE w:val="0"/>
        <w:autoSpaceDN w:val="0"/>
        <w:adjustRightInd w:val="0"/>
        <w:spacing w:after="160" w:line="259" w:lineRule="auto"/>
        <w:jc w:val="center"/>
        <w:textAlignment w:val="baseline"/>
        <w:rPr>
          <w:rFonts w:eastAsia="MS Mincho"/>
          <w:b/>
        </w:rPr>
      </w:pPr>
      <w:r w:rsidRPr="00E2769C">
        <w:rPr>
          <w:rFonts w:eastAsia="MS Mincho"/>
          <w:b/>
          <w:szCs w:val="20"/>
        </w:rPr>
        <w:br w:type="page"/>
      </w:r>
      <w:r w:rsidRPr="00E2769C">
        <w:rPr>
          <w:rFonts w:eastAsia="MS Mincho"/>
          <w:b/>
        </w:rPr>
        <w:lastRenderedPageBreak/>
        <w:t>Appendix 1</w:t>
      </w:r>
    </w:p>
    <w:p w:rsidR="00D21546" w:rsidRPr="00E2769C" w:rsidRDefault="00D21546" w:rsidP="00D21546">
      <w:pPr>
        <w:overflowPunct w:val="0"/>
        <w:autoSpaceDE w:val="0"/>
        <w:autoSpaceDN w:val="0"/>
        <w:adjustRightInd w:val="0"/>
        <w:spacing w:after="160" w:line="259" w:lineRule="auto"/>
        <w:jc w:val="center"/>
        <w:textAlignment w:val="baseline"/>
        <w:rPr>
          <w:rFonts w:eastAsia="MS Mincho"/>
          <w:b/>
        </w:rPr>
      </w:pPr>
      <w:r w:rsidRPr="00E2769C">
        <w:rPr>
          <w:rFonts w:eastAsia="MS Mincho"/>
          <w:b/>
        </w:rPr>
        <w:t>Domains for use cases categorization</w:t>
      </w:r>
    </w:p>
    <w:p w:rsidR="00D21546" w:rsidRPr="00B95157" w:rsidRDefault="00D21546" w:rsidP="00D21546">
      <w:r w:rsidRPr="00B95157">
        <w:t>Blockchain/DLT offers capabilities suitable for a wide variety of uses and purposes in many different domains and types of applications. There are 2 main types of DLT-based applications and services: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•</w:t>
      </w:r>
      <w:r>
        <w:rPr>
          <w:rFonts w:eastAsia="DengXian"/>
        </w:rPr>
        <w:tab/>
      </w:r>
      <w:r w:rsidRPr="00B95157">
        <w:rPr>
          <w:rFonts w:eastAsia="DengXian"/>
        </w:rPr>
        <w:t xml:space="preserve">Vertical applications and services (e.g., telco, fintech, supply chain, energy) 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•</w:t>
      </w:r>
      <w:r>
        <w:rPr>
          <w:rFonts w:eastAsia="DengXian"/>
        </w:rPr>
        <w:tab/>
      </w:r>
      <w:r w:rsidRPr="00B95157">
        <w:rPr>
          <w:rFonts w:eastAsia="DengXian"/>
        </w:rPr>
        <w:t>Horizontal (infrastructural) applications and services (e.g., data usage control, identity management, security)</w:t>
      </w:r>
    </w:p>
    <w:p w:rsidR="00D21546" w:rsidRPr="00B95157" w:rsidRDefault="00D21546" w:rsidP="00D21546">
      <w:r w:rsidRPr="00B95157">
        <w:rPr>
          <w:b/>
          <w:bCs/>
        </w:rPr>
        <w:t>Vertical</w:t>
      </w:r>
      <w:r w:rsidRPr="00B95157">
        <w:t xml:space="preserve"> use cases could be categorized to domains according to the list below (note, that the list is not exhaustive):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1.</w:t>
      </w:r>
      <w:r>
        <w:rPr>
          <w:rFonts w:eastAsia="DengXian"/>
        </w:rPr>
        <w:tab/>
      </w:r>
      <w:r w:rsidRPr="00B95157">
        <w:rPr>
          <w:rFonts w:eastAsia="DengXian"/>
        </w:rPr>
        <w:t>Finance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a)</w:t>
      </w:r>
      <w:r>
        <w:rPr>
          <w:rFonts w:eastAsia="DengXian"/>
        </w:rPr>
        <w:tab/>
      </w:r>
      <w:r w:rsidRPr="00B95157">
        <w:rPr>
          <w:rFonts w:eastAsia="DengXian"/>
        </w:rPr>
        <w:t>Financial management &amp; accounting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b)</w:t>
      </w:r>
      <w:r>
        <w:rPr>
          <w:rFonts w:eastAsia="DengXian"/>
        </w:rPr>
        <w:tab/>
      </w:r>
      <w:r w:rsidRPr="00B95157">
        <w:rPr>
          <w:rFonts w:eastAsia="DengXian"/>
        </w:rPr>
        <w:t xml:space="preserve">International &amp; interbank payments 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c)</w:t>
      </w:r>
      <w:r>
        <w:rPr>
          <w:rFonts w:eastAsia="DengXian"/>
        </w:rPr>
        <w:tab/>
      </w:r>
      <w:r w:rsidRPr="00B95157">
        <w:rPr>
          <w:rFonts w:eastAsia="DengXian"/>
        </w:rPr>
        <w:t>Clearing and settlement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d)</w:t>
      </w:r>
      <w:r>
        <w:rPr>
          <w:rFonts w:eastAsia="DengXian"/>
        </w:rPr>
        <w:tab/>
      </w:r>
      <w:r w:rsidRPr="00B95157">
        <w:rPr>
          <w:rFonts w:eastAsia="DengXian"/>
        </w:rPr>
        <w:t>Reduction of Fraud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e)</w:t>
      </w:r>
      <w:r>
        <w:rPr>
          <w:rFonts w:eastAsia="DengXian"/>
        </w:rPr>
        <w:tab/>
      </w:r>
      <w:r w:rsidRPr="00B95157">
        <w:rPr>
          <w:rFonts w:eastAsia="DengXian"/>
        </w:rPr>
        <w:t>Financial messaging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f)</w:t>
      </w:r>
      <w:r>
        <w:rPr>
          <w:rFonts w:eastAsia="DengXian"/>
        </w:rPr>
        <w:tab/>
      </w:r>
      <w:r w:rsidRPr="00B95157">
        <w:rPr>
          <w:rFonts w:eastAsia="DengXian"/>
        </w:rPr>
        <w:t>Asset lifecycles and history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g)</w:t>
      </w:r>
      <w:r>
        <w:rPr>
          <w:rFonts w:eastAsia="DengXian"/>
        </w:rPr>
        <w:tab/>
      </w:r>
      <w:r w:rsidRPr="00B95157">
        <w:rPr>
          <w:rFonts w:eastAsia="DengXian"/>
        </w:rPr>
        <w:t>Trade finance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h)</w:t>
      </w:r>
      <w:r>
        <w:rPr>
          <w:rFonts w:eastAsia="DengXian"/>
        </w:rPr>
        <w:tab/>
      </w:r>
      <w:r w:rsidRPr="00B95157">
        <w:rPr>
          <w:rFonts w:eastAsia="DengXian"/>
        </w:rPr>
        <w:t>Regulatory compliance &amp; audit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i)</w:t>
      </w:r>
      <w:r>
        <w:rPr>
          <w:rFonts w:eastAsia="DengXian"/>
        </w:rPr>
        <w:tab/>
      </w:r>
      <w:r w:rsidRPr="00B95157">
        <w:rPr>
          <w:rFonts w:eastAsia="DengXian"/>
        </w:rPr>
        <w:t>AML/KYC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j)</w:t>
      </w:r>
      <w:r>
        <w:rPr>
          <w:rFonts w:eastAsia="DengXian"/>
        </w:rPr>
        <w:tab/>
      </w:r>
      <w:r w:rsidRPr="00B95157">
        <w:rPr>
          <w:rFonts w:eastAsia="DengXian"/>
        </w:rPr>
        <w:t>Insurance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k)</w:t>
      </w:r>
      <w:r>
        <w:rPr>
          <w:rFonts w:eastAsia="DengXian"/>
        </w:rPr>
        <w:tab/>
      </w:r>
      <w:r w:rsidRPr="00B95157">
        <w:rPr>
          <w:rFonts w:eastAsia="DengXian"/>
        </w:rPr>
        <w:t>Peer-to-peer transactions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2.</w:t>
      </w:r>
      <w:r>
        <w:rPr>
          <w:rFonts w:eastAsia="DengXian"/>
        </w:rPr>
        <w:tab/>
      </w:r>
      <w:r w:rsidRPr="00B95157">
        <w:rPr>
          <w:rFonts w:eastAsia="DengXian"/>
        </w:rPr>
        <w:t>Healthcare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3.</w:t>
      </w:r>
      <w:r>
        <w:rPr>
          <w:rFonts w:eastAsia="DengXian"/>
        </w:rPr>
        <w:tab/>
      </w:r>
      <w:r w:rsidRPr="00B95157">
        <w:rPr>
          <w:rFonts w:eastAsia="DengXian"/>
        </w:rPr>
        <w:t>Voting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4.</w:t>
      </w:r>
      <w:r>
        <w:rPr>
          <w:rFonts w:eastAsia="DengXian"/>
        </w:rPr>
        <w:tab/>
      </w:r>
      <w:r w:rsidRPr="00B95157">
        <w:rPr>
          <w:rFonts w:eastAsia="DengXian"/>
        </w:rPr>
        <w:t>Smart manufacturing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5.</w:t>
      </w:r>
      <w:r>
        <w:rPr>
          <w:rFonts w:eastAsia="DengXian"/>
        </w:rPr>
        <w:tab/>
      </w:r>
      <w:r w:rsidRPr="00B95157">
        <w:rPr>
          <w:rFonts w:eastAsia="DengXian"/>
        </w:rPr>
        <w:t>Intellectual property management (Digital rights management)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6.</w:t>
      </w:r>
      <w:r>
        <w:rPr>
          <w:rFonts w:eastAsia="DengXian"/>
        </w:rPr>
        <w:tab/>
      </w:r>
      <w:r w:rsidRPr="00B95157">
        <w:rPr>
          <w:rFonts w:eastAsia="DengXian"/>
        </w:rPr>
        <w:t>Supply chain and inventory management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7.</w:t>
      </w:r>
      <w:r>
        <w:rPr>
          <w:rFonts w:eastAsia="DengXian"/>
        </w:rPr>
        <w:tab/>
      </w:r>
      <w:r w:rsidRPr="00B95157">
        <w:rPr>
          <w:rFonts w:eastAsia="DengXian"/>
        </w:rPr>
        <w:t>Media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8.</w:t>
      </w:r>
      <w:r>
        <w:rPr>
          <w:rFonts w:eastAsia="DengXian"/>
        </w:rPr>
        <w:tab/>
      </w:r>
      <w:r w:rsidRPr="00B95157">
        <w:rPr>
          <w:rFonts w:eastAsia="DengXian"/>
        </w:rPr>
        <w:t>Energy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9.</w:t>
      </w:r>
      <w:r>
        <w:rPr>
          <w:rFonts w:eastAsia="DengXian"/>
        </w:rPr>
        <w:tab/>
      </w:r>
      <w:r w:rsidRPr="00B95157">
        <w:rPr>
          <w:rFonts w:eastAsia="DengXian"/>
        </w:rPr>
        <w:t>Government and public sector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a)</w:t>
      </w:r>
      <w:r>
        <w:rPr>
          <w:rFonts w:eastAsia="DengXian"/>
        </w:rPr>
        <w:tab/>
      </w:r>
      <w:r w:rsidRPr="00B95157">
        <w:rPr>
          <w:rFonts w:eastAsia="DengXian"/>
        </w:rPr>
        <w:t>Taxes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b)</w:t>
      </w:r>
      <w:r>
        <w:rPr>
          <w:rFonts w:eastAsia="DengXian"/>
        </w:rPr>
        <w:tab/>
      </w:r>
      <w:r w:rsidRPr="00B95157">
        <w:rPr>
          <w:rFonts w:eastAsia="DengXian"/>
        </w:rPr>
        <w:t>Government and non-profit transparency</w:t>
      </w:r>
    </w:p>
    <w:p w:rsidR="00D21546" w:rsidRPr="00B95157" w:rsidRDefault="00D21546" w:rsidP="00D21546">
      <w:pPr>
        <w:pStyle w:val="enumlev2"/>
        <w:rPr>
          <w:rFonts w:eastAsia="DengXian"/>
        </w:rPr>
      </w:pPr>
      <w:r>
        <w:rPr>
          <w:rFonts w:eastAsia="DengXian"/>
        </w:rPr>
        <w:t>c)</w:t>
      </w:r>
      <w:r>
        <w:rPr>
          <w:rFonts w:eastAsia="DengXian"/>
        </w:rPr>
        <w:tab/>
      </w:r>
      <w:r w:rsidRPr="00B95157">
        <w:rPr>
          <w:rFonts w:eastAsia="DengXian"/>
        </w:rPr>
        <w:t>Legislation, compliance &amp; regulatory oversight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10.</w:t>
      </w:r>
      <w:r>
        <w:rPr>
          <w:rFonts w:eastAsia="DengXian"/>
        </w:rPr>
        <w:tab/>
      </w:r>
      <w:r w:rsidRPr="00B95157">
        <w:rPr>
          <w:rFonts w:eastAsia="DengXian"/>
        </w:rPr>
        <w:t>Real estate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11.</w:t>
      </w:r>
      <w:r>
        <w:rPr>
          <w:rFonts w:eastAsia="DengXian"/>
        </w:rPr>
        <w:tab/>
      </w:r>
      <w:r w:rsidRPr="00B95157">
        <w:rPr>
          <w:rFonts w:eastAsia="DengXian"/>
        </w:rPr>
        <w:t>Taxation and customs</w:t>
      </w:r>
    </w:p>
    <w:p w:rsidR="00D21546" w:rsidRPr="00B95157" w:rsidRDefault="00D21546" w:rsidP="00D21546">
      <w:r w:rsidRPr="00B95157">
        <w:rPr>
          <w:b/>
          <w:bCs/>
        </w:rPr>
        <w:t>Horizontal</w:t>
      </w:r>
      <w:r w:rsidRPr="00B95157">
        <w:t xml:space="preserve"> use cases could be categorized to domains according to the list below: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1.</w:t>
      </w:r>
      <w:r>
        <w:rPr>
          <w:rFonts w:eastAsia="DengXian"/>
        </w:rPr>
        <w:tab/>
      </w:r>
      <w:r w:rsidRPr="00B95157">
        <w:rPr>
          <w:rFonts w:eastAsia="DengXian"/>
        </w:rPr>
        <w:t>Identity Management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2.</w:t>
      </w:r>
      <w:r>
        <w:rPr>
          <w:rFonts w:eastAsia="DengXian"/>
        </w:rPr>
        <w:tab/>
      </w:r>
      <w:r w:rsidRPr="00B95157">
        <w:rPr>
          <w:rFonts w:eastAsia="DengXian"/>
        </w:rPr>
        <w:t>Cybersecurity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3.</w:t>
      </w:r>
      <w:r>
        <w:rPr>
          <w:rFonts w:eastAsia="DengXian"/>
        </w:rPr>
        <w:tab/>
      </w:r>
      <w:r w:rsidRPr="00B95157">
        <w:rPr>
          <w:rFonts w:eastAsia="DengXian"/>
        </w:rPr>
        <w:t>Big data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lastRenderedPageBreak/>
        <w:t>4.</w:t>
      </w:r>
      <w:r>
        <w:rPr>
          <w:rFonts w:eastAsia="DengXian"/>
        </w:rPr>
        <w:tab/>
      </w:r>
      <w:r w:rsidRPr="00B95157">
        <w:rPr>
          <w:rFonts w:eastAsia="DengXian"/>
        </w:rPr>
        <w:t>Data storage (Inter-organizational data management)</w:t>
      </w:r>
    </w:p>
    <w:p w:rsidR="00D21546" w:rsidRPr="00B95157" w:rsidRDefault="00D21546" w:rsidP="00D21546">
      <w:pPr>
        <w:pStyle w:val="enumlev1"/>
        <w:rPr>
          <w:rFonts w:eastAsia="DengXian"/>
        </w:rPr>
      </w:pPr>
      <w:r>
        <w:rPr>
          <w:rFonts w:eastAsia="DengXian"/>
        </w:rPr>
        <w:t>5.</w:t>
      </w:r>
      <w:r>
        <w:rPr>
          <w:rFonts w:eastAsia="DengXian"/>
        </w:rPr>
        <w:tab/>
      </w:r>
      <w:r w:rsidRPr="00B95157">
        <w:rPr>
          <w:rFonts w:eastAsia="DengXian"/>
        </w:rPr>
        <w:t>IoT</w:t>
      </w:r>
    </w:p>
    <w:p w:rsidR="00D21546" w:rsidRDefault="00D21546" w:rsidP="00F6153F">
      <w:pPr>
        <w:spacing w:before="240"/>
        <w:rPr>
          <w:lang w:val="pt-BR" w:eastAsia="it-IT"/>
        </w:rPr>
      </w:pPr>
    </w:p>
    <w:p w:rsidR="00213D87" w:rsidRDefault="00213D87" w:rsidP="00213D87">
      <w:pPr>
        <w:jc w:val="center"/>
      </w:pPr>
      <w:r>
        <w:t>______</w:t>
      </w:r>
    </w:p>
    <w:p w:rsidR="00794F4F" w:rsidRDefault="00394DBF" w:rsidP="001200A6">
      <w:pPr>
        <w:jc w:val="center"/>
      </w:pPr>
      <w:r>
        <w:t>___________________</w:t>
      </w:r>
    </w:p>
    <w:sectPr w:rsidR="00794F4F" w:rsidSect="00CF3238">
      <w:headerReference w:type="default" r:id="rId10"/>
      <w:pgSz w:w="11907" w:h="16840" w:code="9"/>
      <w:pgMar w:top="1417" w:right="1134" w:bottom="141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FE1" w:rsidRDefault="00872FE1" w:rsidP="00C42125">
      <w:pPr>
        <w:spacing w:before="0"/>
      </w:pPr>
      <w:r>
        <w:separator/>
      </w:r>
    </w:p>
  </w:endnote>
  <w:endnote w:type="continuationSeparator" w:id="0">
    <w:p w:rsidR="00872FE1" w:rsidRDefault="00872FE1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???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FE1" w:rsidRDefault="00872FE1" w:rsidP="00C42125">
      <w:pPr>
        <w:spacing w:before="0"/>
      </w:pPr>
      <w:r>
        <w:separator/>
      </w:r>
    </w:p>
  </w:footnote>
  <w:footnote w:type="continuationSeparator" w:id="0">
    <w:p w:rsidR="00872FE1" w:rsidRDefault="00872FE1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3F" w:rsidRPr="00E836AB" w:rsidRDefault="00E836AB" w:rsidP="00E836AB">
    <w:pPr>
      <w:pStyle w:val="Header"/>
      <w:rPr>
        <w:sz w:val="18"/>
      </w:rPr>
    </w:pPr>
    <w:r w:rsidRPr="00E836AB">
      <w:rPr>
        <w:sz w:val="18"/>
      </w:rPr>
      <w:t xml:space="preserve">- </w:t>
    </w:r>
    <w:r w:rsidR="00A357BA" w:rsidRPr="00E836AB">
      <w:rPr>
        <w:sz w:val="18"/>
      </w:rPr>
      <w:fldChar w:fldCharType="begin"/>
    </w:r>
    <w:r w:rsidRPr="00E836AB">
      <w:rPr>
        <w:sz w:val="18"/>
      </w:rPr>
      <w:instrText xml:space="preserve"> PAGE  \* MERGEFORMAT </w:instrText>
    </w:r>
    <w:r w:rsidR="00A357BA" w:rsidRPr="00E836AB">
      <w:rPr>
        <w:sz w:val="18"/>
      </w:rPr>
      <w:fldChar w:fldCharType="separate"/>
    </w:r>
    <w:r w:rsidR="00984420">
      <w:rPr>
        <w:noProof/>
        <w:sz w:val="18"/>
      </w:rPr>
      <w:t>5</w:t>
    </w:r>
    <w:r w:rsidR="00A357BA" w:rsidRPr="00E836AB">
      <w:rPr>
        <w:sz w:val="18"/>
      </w:rPr>
      <w:fldChar w:fldCharType="end"/>
    </w:r>
    <w:r w:rsidRPr="00E836AB">
      <w:rPr>
        <w:sz w:val="18"/>
      </w:rPr>
      <w:t xml:space="preserve"> -</w:t>
    </w:r>
  </w:p>
  <w:p w:rsidR="00E836AB" w:rsidRPr="00E836AB" w:rsidRDefault="00A357BA" w:rsidP="00E836AB">
    <w:pPr>
      <w:pStyle w:val="Header"/>
      <w:spacing w:after="240"/>
      <w:rPr>
        <w:sz w:val="18"/>
      </w:rPr>
    </w:pPr>
    <w:r w:rsidRPr="00E836AB">
      <w:rPr>
        <w:sz w:val="18"/>
      </w:rPr>
      <w:fldChar w:fldCharType="begin"/>
    </w:r>
    <w:r w:rsidR="00E836AB" w:rsidRPr="00E836AB">
      <w:rPr>
        <w:sz w:val="18"/>
      </w:rPr>
      <w:instrText xml:space="preserve"> STYLEREF  Docnumber  </w:instrText>
    </w:r>
    <w:r w:rsidRPr="00E836AB">
      <w:rPr>
        <w:sz w:val="18"/>
      </w:rPr>
      <w:fldChar w:fldCharType="separate"/>
    </w:r>
    <w:r w:rsidR="00984420">
      <w:rPr>
        <w:b/>
        <w:bCs/>
        <w:noProof/>
        <w:sz w:val="18"/>
        <w:lang w:val="en-US"/>
      </w:rPr>
      <w:t>Error! No text of specified style in document.</w:t>
    </w:r>
    <w:r w:rsidRPr="00E836AB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DEC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7601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6CA4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024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7E33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04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81E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4D3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2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88F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9E0C0B"/>
    <w:multiLevelType w:val="multilevel"/>
    <w:tmpl w:val="8A7648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00"/>
    <w:rsid w:val="00014F69"/>
    <w:rsid w:val="000171DB"/>
    <w:rsid w:val="00023D9A"/>
    <w:rsid w:val="0003582E"/>
    <w:rsid w:val="00043D75"/>
    <w:rsid w:val="00057000"/>
    <w:rsid w:val="00061268"/>
    <w:rsid w:val="000640E0"/>
    <w:rsid w:val="000966A8"/>
    <w:rsid w:val="000A5CA2"/>
    <w:rsid w:val="000C397B"/>
    <w:rsid w:val="000E6125"/>
    <w:rsid w:val="00113DBE"/>
    <w:rsid w:val="001200A6"/>
    <w:rsid w:val="00124A40"/>
    <w:rsid w:val="001251DA"/>
    <w:rsid w:val="00125432"/>
    <w:rsid w:val="00136DDD"/>
    <w:rsid w:val="00137F40"/>
    <w:rsid w:val="00140ADC"/>
    <w:rsid w:val="00144BDF"/>
    <w:rsid w:val="00155DDC"/>
    <w:rsid w:val="00161830"/>
    <w:rsid w:val="001871EC"/>
    <w:rsid w:val="00192946"/>
    <w:rsid w:val="00196576"/>
    <w:rsid w:val="001A20C3"/>
    <w:rsid w:val="001A670F"/>
    <w:rsid w:val="001B2EE0"/>
    <w:rsid w:val="001B6A45"/>
    <w:rsid w:val="001C62B8"/>
    <w:rsid w:val="001D22D8"/>
    <w:rsid w:val="001D4296"/>
    <w:rsid w:val="001E7B0E"/>
    <w:rsid w:val="001F141D"/>
    <w:rsid w:val="00200A06"/>
    <w:rsid w:val="00200A98"/>
    <w:rsid w:val="00201AFA"/>
    <w:rsid w:val="00213D87"/>
    <w:rsid w:val="002229F1"/>
    <w:rsid w:val="00233F75"/>
    <w:rsid w:val="00253DBE"/>
    <w:rsid w:val="00253DC6"/>
    <w:rsid w:val="0025489C"/>
    <w:rsid w:val="00255580"/>
    <w:rsid w:val="002622FA"/>
    <w:rsid w:val="00263518"/>
    <w:rsid w:val="00273388"/>
    <w:rsid w:val="002759E7"/>
    <w:rsid w:val="00277326"/>
    <w:rsid w:val="002A11C4"/>
    <w:rsid w:val="002A2074"/>
    <w:rsid w:val="002A399B"/>
    <w:rsid w:val="002C26C0"/>
    <w:rsid w:val="002C2BC5"/>
    <w:rsid w:val="002E0407"/>
    <w:rsid w:val="002E3C52"/>
    <w:rsid w:val="002E79CB"/>
    <w:rsid w:val="002F7F55"/>
    <w:rsid w:val="0030745F"/>
    <w:rsid w:val="00314630"/>
    <w:rsid w:val="0032090A"/>
    <w:rsid w:val="00321CDE"/>
    <w:rsid w:val="00333E15"/>
    <w:rsid w:val="003449F4"/>
    <w:rsid w:val="003571BC"/>
    <w:rsid w:val="0036090C"/>
    <w:rsid w:val="00361116"/>
    <w:rsid w:val="00362562"/>
    <w:rsid w:val="00382B13"/>
    <w:rsid w:val="00385FB5"/>
    <w:rsid w:val="0038715D"/>
    <w:rsid w:val="00391169"/>
    <w:rsid w:val="00394DBF"/>
    <w:rsid w:val="003957A6"/>
    <w:rsid w:val="003A2D3C"/>
    <w:rsid w:val="003A43EF"/>
    <w:rsid w:val="003C7445"/>
    <w:rsid w:val="003E39A2"/>
    <w:rsid w:val="003E57AB"/>
    <w:rsid w:val="003F2BED"/>
    <w:rsid w:val="00400B49"/>
    <w:rsid w:val="00443878"/>
    <w:rsid w:val="004539A8"/>
    <w:rsid w:val="004712CA"/>
    <w:rsid w:val="00473782"/>
    <w:rsid w:val="0047422E"/>
    <w:rsid w:val="0049090D"/>
    <w:rsid w:val="0049674B"/>
    <w:rsid w:val="004C0673"/>
    <w:rsid w:val="004C4E4E"/>
    <w:rsid w:val="004E6F8F"/>
    <w:rsid w:val="004F3816"/>
    <w:rsid w:val="0050586A"/>
    <w:rsid w:val="00520DBF"/>
    <w:rsid w:val="0053731C"/>
    <w:rsid w:val="00543D41"/>
    <w:rsid w:val="00556A5B"/>
    <w:rsid w:val="00566EDA"/>
    <w:rsid w:val="0057081A"/>
    <w:rsid w:val="00572654"/>
    <w:rsid w:val="005976A1"/>
    <w:rsid w:val="005B34DC"/>
    <w:rsid w:val="005B5629"/>
    <w:rsid w:val="005C0300"/>
    <w:rsid w:val="005C27A2"/>
    <w:rsid w:val="005D4FEB"/>
    <w:rsid w:val="005F4B6A"/>
    <w:rsid w:val="006010F3"/>
    <w:rsid w:val="00615A0A"/>
    <w:rsid w:val="00626673"/>
    <w:rsid w:val="006333D4"/>
    <w:rsid w:val="006347CE"/>
    <w:rsid w:val="006369B2"/>
    <w:rsid w:val="0063718D"/>
    <w:rsid w:val="006431D8"/>
    <w:rsid w:val="00646953"/>
    <w:rsid w:val="00647525"/>
    <w:rsid w:val="00647A71"/>
    <w:rsid w:val="006570B0"/>
    <w:rsid w:val="0066022F"/>
    <w:rsid w:val="006813BC"/>
    <w:rsid w:val="006823F3"/>
    <w:rsid w:val="0069210B"/>
    <w:rsid w:val="00695DD7"/>
    <w:rsid w:val="006A4055"/>
    <w:rsid w:val="006A59D0"/>
    <w:rsid w:val="006A7C27"/>
    <w:rsid w:val="006B2FE4"/>
    <w:rsid w:val="006B37B0"/>
    <w:rsid w:val="006B4A09"/>
    <w:rsid w:val="006C5641"/>
    <w:rsid w:val="006D1089"/>
    <w:rsid w:val="006D1B86"/>
    <w:rsid w:val="006D7355"/>
    <w:rsid w:val="006F7DEE"/>
    <w:rsid w:val="00715551"/>
    <w:rsid w:val="00715CA6"/>
    <w:rsid w:val="00721747"/>
    <w:rsid w:val="00731135"/>
    <w:rsid w:val="007324AF"/>
    <w:rsid w:val="0073432F"/>
    <w:rsid w:val="007409B4"/>
    <w:rsid w:val="00741974"/>
    <w:rsid w:val="0075525E"/>
    <w:rsid w:val="00756D3D"/>
    <w:rsid w:val="00771F71"/>
    <w:rsid w:val="007806C2"/>
    <w:rsid w:val="00781FEE"/>
    <w:rsid w:val="007903F8"/>
    <w:rsid w:val="00794F4F"/>
    <w:rsid w:val="007974BE"/>
    <w:rsid w:val="007A0916"/>
    <w:rsid w:val="007A0DFD"/>
    <w:rsid w:val="007C15F1"/>
    <w:rsid w:val="007C7122"/>
    <w:rsid w:val="007D3F11"/>
    <w:rsid w:val="007E2C69"/>
    <w:rsid w:val="007E53E4"/>
    <w:rsid w:val="007E656A"/>
    <w:rsid w:val="007F3CAA"/>
    <w:rsid w:val="007F664D"/>
    <w:rsid w:val="00837203"/>
    <w:rsid w:val="00842137"/>
    <w:rsid w:val="00853F5F"/>
    <w:rsid w:val="008623ED"/>
    <w:rsid w:val="00872FE1"/>
    <w:rsid w:val="00875AA6"/>
    <w:rsid w:val="00880944"/>
    <w:rsid w:val="008815B8"/>
    <w:rsid w:val="0089088E"/>
    <w:rsid w:val="00892297"/>
    <w:rsid w:val="008964D6"/>
    <w:rsid w:val="008B5123"/>
    <w:rsid w:val="008E0172"/>
    <w:rsid w:val="00905C1A"/>
    <w:rsid w:val="00930B9D"/>
    <w:rsid w:val="00936852"/>
    <w:rsid w:val="0094045D"/>
    <w:rsid w:val="009406B5"/>
    <w:rsid w:val="00946166"/>
    <w:rsid w:val="00980BEF"/>
    <w:rsid w:val="00983164"/>
    <w:rsid w:val="00984420"/>
    <w:rsid w:val="009972EF"/>
    <w:rsid w:val="009B5035"/>
    <w:rsid w:val="009C3160"/>
    <w:rsid w:val="009E766E"/>
    <w:rsid w:val="009F1960"/>
    <w:rsid w:val="009F715E"/>
    <w:rsid w:val="00A10DBB"/>
    <w:rsid w:val="00A11720"/>
    <w:rsid w:val="00A21247"/>
    <w:rsid w:val="00A31D47"/>
    <w:rsid w:val="00A357BA"/>
    <w:rsid w:val="00A4013E"/>
    <w:rsid w:val="00A4045F"/>
    <w:rsid w:val="00A427CD"/>
    <w:rsid w:val="00A45FEE"/>
    <w:rsid w:val="00A4600B"/>
    <w:rsid w:val="00A50506"/>
    <w:rsid w:val="00A51EF0"/>
    <w:rsid w:val="00A67A81"/>
    <w:rsid w:val="00A730A6"/>
    <w:rsid w:val="00A971A0"/>
    <w:rsid w:val="00AA1F22"/>
    <w:rsid w:val="00B05821"/>
    <w:rsid w:val="00B100D6"/>
    <w:rsid w:val="00B164C9"/>
    <w:rsid w:val="00B26C28"/>
    <w:rsid w:val="00B4174C"/>
    <w:rsid w:val="00B453F5"/>
    <w:rsid w:val="00B60315"/>
    <w:rsid w:val="00B61624"/>
    <w:rsid w:val="00B6571B"/>
    <w:rsid w:val="00B66481"/>
    <w:rsid w:val="00B70E73"/>
    <w:rsid w:val="00B7189C"/>
    <w:rsid w:val="00B718A5"/>
    <w:rsid w:val="00B90AD6"/>
    <w:rsid w:val="00BA788A"/>
    <w:rsid w:val="00BB4983"/>
    <w:rsid w:val="00BB7597"/>
    <w:rsid w:val="00BC2AAB"/>
    <w:rsid w:val="00BC62E2"/>
    <w:rsid w:val="00C04E53"/>
    <w:rsid w:val="00C37820"/>
    <w:rsid w:val="00C41E9E"/>
    <w:rsid w:val="00C42125"/>
    <w:rsid w:val="00C62814"/>
    <w:rsid w:val="00C67B25"/>
    <w:rsid w:val="00C748F7"/>
    <w:rsid w:val="00C74937"/>
    <w:rsid w:val="00CB2599"/>
    <w:rsid w:val="00CD2139"/>
    <w:rsid w:val="00CD6848"/>
    <w:rsid w:val="00CE5986"/>
    <w:rsid w:val="00CF3238"/>
    <w:rsid w:val="00D12885"/>
    <w:rsid w:val="00D21546"/>
    <w:rsid w:val="00D534DF"/>
    <w:rsid w:val="00D647EF"/>
    <w:rsid w:val="00D73137"/>
    <w:rsid w:val="00D977A2"/>
    <w:rsid w:val="00DA1D47"/>
    <w:rsid w:val="00DD50DE"/>
    <w:rsid w:val="00DE3062"/>
    <w:rsid w:val="00E0581D"/>
    <w:rsid w:val="00E204DD"/>
    <w:rsid w:val="00E353EC"/>
    <w:rsid w:val="00E51F61"/>
    <w:rsid w:val="00E53C24"/>
    <w:rsid w:val="00E56E77"/>
    <w:rsid w:val="00E836AB"/>
    <w:rsid w:val="00E87795"/>
    <w:rsid w:val="00EB444D"/>
    <w:rsid w:val="00EB6345"/>
    <w:rsid w:val="00ED04DB"/>
    <w:rsid w:val="00ED5B66"/>
    <w:rsid w:val="00EE5C0D"/>
    <w:rsid w:val="00EF4792"/>
    <w:rsid w:val="00F02294"/>
    <w:rsid w:val="00F20EB8"/>
    <w:rsid w:val="00F30DE7"/>
    <w:rsid w:val="00F35F57"/>
    <w:rsid w:val="00F50467"/>
    <w:rsid w:val="00F562A0"/>
    <w:rsid w:val="00F57FA4"/>
    <w:rsid w:val="00F6153F"/>
    <w:rsid w:val="00F65BBF"/>
    <w:rsid w:val="00F75E27"/>
    <w:rsid w:val="00F96AC4"/>
    <w:rsid w:val="00FA02CB"/>
    <w:rsid w:val="00FA2177"/>
    <w:rsid w:val="00FB0783"/>
    <w:rsid w:val="00FB7A8B"/>
    <w:rsid w:val="00FD439E"/>
    <w:rsid w:val="00FD76CB"/>
    <w:rsid w:val="00FE152B"/>
    <w:rsid w:val="00FE239E"/>
    <w:rsid w:val="00FF454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95C3E"/>
  <w15:docId w15:val="{D27FC836-4E5B-4686-AA9F-131F269A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E9E"/>
    <w:pPr>
      <w:spacing w:before="120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66EDA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66EDA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66EDA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66EDA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66EDA"/>
    <w:pPr>
      <w:outlineLvl w:val="4"/>
    </w:pPr>
  </w:style>
  <w:style w:type="paragraph" w:styleId="Heading6">
    <w:name w:val="heading 6"/>
    <w:basedOn w:val="Heading4"/>
    <w:next w:val="Normal"/>
    <w:link w:val="Heading6Char"/>
    <w:rsid w:val="00566EDA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66EDA"/>
    <w:pPr>
      <w:outlineLvl w:val="6"/>
    </w:pPr>
  </w:style>
  <w:style w:type="paragraph" w:styleId="Heading8">
    <w:name w:val="heading 8"/>
    <w:basedOn w:val="Heading6"/>
    <w:next w:val="Normal"/>
    <w:link w:val="Heading8Char"/>
    <w:rsid w:val="00566EDA"/>
    <w:pPr>
      <w:outlineLvl w:val="7"/>
    </w:pPr>
  </w:style>
  <w:style w:type="paragraph" w:styleId="Heading9">
    <w:name w:val="heading 9"/>
    <w:basedOn w:val="Heading6"/>
    <w:next w:val="Normal"/>
    <w:link w:val="Heading9Char"/>
    <w:rsid w:val="00566ED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14630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E8779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b/>
      <w:sz w:val="40"/>
      <w:szCs w:val="20"/>
      <w:lang w:eastAsia="en-US"/>
    </w:rPr>
  </w:style>
  <w:style w:type="character" w:customStyle="1" w:styleId="DocnumberChar">
    <w:name w:val="Docnumber Char"/>
    <w:link w:val="Docnumber"/>
    <w:rsid w:val="00E87795"/>
    <w:rPr>
      <w:rFonts w:ascii="Times New Roman" w:eastAsia="SimSun" w:hAnsi="Times New Roman" w:cs="Times New Roman"/>
      <w:b/>
      <w:sz w:val="40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49090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  <w:outlineLvl w:val="0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394DBF"/>
  </w:style>
  <w:style w:type="paragraph" w:customStyle="1" w:styleId="CorrectionSeparatorBegin">
    <w:name w:val="Correction Separator Begin"/>
    <w:basedOn w:val="Normal"/>
    <w:rsid w:val="00394DBF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394DBF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394DBF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394DB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566EDA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b/>
      <w:szCs w:val="20"/>
      <w:lang w:eastAsia="en-US"/>
    </w:rPr>
  </w:style>
  <w:style w:type="paragraph" w:customStyle="1" w:styleId="Headingi">
    <w:name w:val="Heading_i"/>
    <w:basedOn w:val="Normal"/>
    <w:next w:val="Normal"/>
    <w:rsid w:val="00566EDA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i/>
      <w:szCs w:val="20"/>
      <w:lang w:eastAsia="en-US"/>
    </w:rPr>
  </w:style>
  <w:style w:type="paragraph" w:customStyle="1" w:styleId="Headingib">
    <w:name w:val="Heading_ib"/>
    <w:basedOn w:val="Headingi"/>
    <w:next w:val="Normal"/>
    <w:qFormat/>
    <w:rsid w:val="00566EDA"/>
    <w:rPr>
      <w:rFonts w:eastAsia="SimSun"/>
      <w:b/>
      <w:bCs/>
      <w:lang w:eastAsia="ja-JP"/>
    </w:rPr>
  </w:style>
  <w:style w:type="paragraph" w:customStyle="1" w:styleId="Normalbeforetable">
    <w:name w:val="Normal before table"/>
    <w:basedOn w:val="Normal"/>
    <w:rsid w:val="00394DBF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394DBF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394DBF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394DB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394DB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394DBF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rsid w:val="00394DBF"/>
    <w:pPr>
      <w:keepLines/>
      <w:tabs>
        <w:tab w:val="left" w:pos="964"/>
        <w:tab w:val="left" w:leader="dot" w:pos="9356"/>
        <w:tab w:val="righ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rsid w:val="00394DBF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394DBF"/>
    <w:pPr>
      <w:ind w:left="2269"/>
    </w:pPr>
  </w:style>
  <w:style w:type="character" w:styleId="Hyperlink">
    <w:name w:val="Hyperlink"/>
    <w:rsid w:val="00566EDA"/>
    <w:rPr>
      <w:rFonts w:ascii="Times New Roman" w:hAnsi="Times New Roman"/>
      <w:color w:val="0000FF"/>
      <w:u w:val="single"/>
    </w:rPr>
  </w:style>
  <w:style w:type="character" w:customStyle="1" w:styleId="Heading1Char">
    <w:name w:val="Heading 1 Char"/>
    <w:link w:val="Heading1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link w:val="Heading2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link w:val="Heading3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link w:val="Heading4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link w:val="Heading5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link w:val="Heading6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link w:val="Heading7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link w:val="Heading8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link w:val="Heading9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394DBF"/>
    <w:pPr>
      <w:spacing w:before="0" w:after="200"/>
    </w:pPr>
    <w:rPr>
      <w:i/>
      <w:iCs/>
      <w:color w:val="44546A"/>
      <w:sz w:val="18"/>
      <w:szCs w:val="18"/>
    </w:rPr>
  </w:style>
  <w:style w:type="paragraph" w:styleId="Header">
    <w:name w:val="header"/>
    <w:basedOn w:val="Normal"/>
    <w:link w:val="HeaderChar"/>
    <w:unhideWhenUsed/>
    <w:rsid w:val="007E53E4"/>
    <w:pPr>
      <w:tabs>
        <w:tab w:val="center" w:pos="4680"/>
        <w:tab w:val="right" w:pos="9360"/>
      </w:tabs>
      <w:spacing w:before="0"/>
      <w:jc w:val="center"/>
    </w:pPr>
    <w:rPr>
      <w:sz w:val="20"/>
      <w:szCs w:val="20"/>
    </w:rPr>
  </w:style>
  <w:style w:type="character" w:customStyle="1" w:styleId="HeaderChar">
    <w:name w:val="Header Char"/>
    <w:link w:val="Header"/>
    <w:rsid w:val="007E53E4"/>
    <w:rPr>
      <w:rFonts w:ascii="Times New Roman" w:hAnsi="Times New Roman" w:cs="Times New Roman"/>
      <w:sz w:val="20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394DB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link w:val="Footer"/>
    <w:uiPriority w:val="99"/>
    <w:rsid w:val="00394DBF"/>
    <w:rPr>
      <w:rFonts w:ascii="Times New Roman" w:hAnsi="Times New Roman" w:cs="Times New Roman"/>
      <w:sz w:val="24"/>
      <w:szCs w:val="24"/>
      <w:lang w:val="en-GB" w:eastAsia="ja-JP"/>
    </w:rPr>
  </w:style>
  <w:style w:type="character" w:styleId="Emphasis">
    <w:name w:val="Emphasis"/>
    <w:uiPriority w:val="20"/>
    <w:rsid w:val="00394DB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394DBF"/>
    <w:pPr>
      <w:numPr>
        <w:ilvl w:val="1"/>
      </w:numPr>
      <w:spacing w:after="160"/>
    </w:pPr>
    <w:rPr>
      <w:rFonts w:ascii="Calibri" w:hAnsi="Calibri" w:cs="Arial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394DBF"/>
    <w:rPr>
      <w:color w:val="5A5A5A"/>
      <w:spacing w:val="15"/>
      <w:lang w:val="en-GB" w:eastAsia="ja-JP"/>
    </w:rPr>
  </w:style>
  <w:style w:type="character" w:styleId="Strong">
    <w:name w:val="Strong"/>
    <w:uiPriority w:val="22"/>
    <w:rsid w:val="00394D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94DB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94DBF"/>
    <w:rPr>
      <w:rFonts w:ascii="Times New Roman" w:hAnsi="Times New Roman" w:cs="Times New Roman"/>
      <w:i/>
      <w:iCs/>
      <w:color w:val="404040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LSDeadline">
    <w:name w:val="LSDeadline"/>
    <w:basedOn w:val="LSForAction"/>
    <w:next w:val="Normal"/>
    <w:rsid w:val="00556A5B"/>
    <w:rPr>
      <w:bCs w:val="0"/>
    </w:rPr>
  </w:style>
  <w:style w:type="paragraph" w:customStyle="1" w:styleId="LSForAction">
    <w:name w:val="LSForAction"/>
    <w:basedOn w:val="Normal"/>
    <w:rsid w:val="00556A5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bCs/>
      <w:szCs w:val="20"/>
      <w:lang w:eastAsia="en-US"/>
    </w:rPr>
  </w:style>
  <w:style w:type="paragraph" w:customStyle="1" w:styleId="LSForInfo">
    <w:name w:val="LSForInfo"/>
    <w:basedOn w:val="LSForAction"/>
    <w:next w:val="Normal"/>
    <w:rsid w:val="00CD6848"/>
  </w:style>
  <w:style w:type="paragraph" w:customStyle="1" w:styleId="LSForComment">
    <w:name w:val="LSForComment"/>
    <w:basedOn w:val="LSForAction"/>
    <w:next w:val="Normal"/>
    <w:rsid w:val="00CD6848"/>
  </w:style>
  <w:style w:type="paragraph" w:customStyle="1" w:styleId="enumlev1">
    <w:name w:val="enumlev1"/>
    <w:basedOn w:val="Normal"/>
    <w:rsid w:val="00E8779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E87795"/>
    <w:pPr>
      <w:ind w:left="1191" w:hanging="397"/>
    </w:pPr>
  </w:style>
  <w:style w:type="paragraph" w:customStyle="1" w:styleId="enumlev3">
    <w:name w:val="enumlev3"/>
    <w:basedOn w:val="enumlev2"/>
    <w:rsid w:val="00E87795"/>
    <w:pPr>
      <w:ind w:left="1588"/>
    </w:pPr>
  </w:style>
  <w:style w:type="paragraph" w:customStyle="1" w:styleId="LSSource">
    <w:name w:val="LSSource"/>
    <w:basedOn w:val="LSForAction"/>
    <w:next w:val="Normal"/>
    <w:rsid w:val="00556A5B"/>
    <w:rPr>
      <w:rFonts w:eastAsia="Calibri"/>
      <w:bCs w:val="0"/>
    </w:rPr>
  </w:style>
  <w:style w:type="paragraph" w:customStyle="1" w:styleId="LSTitle">
    <w:name w:val="LSTitle"/>
    <w:basedOn w:val="LSForAction"/>
    <w:next w:val="Normal"/>
    <w:rsid w:val="00556A5B"/>
    <w:rPr>
      <w:rFonts w:eastAsia="Calibri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eting xmlns="1e668d2a-8791-412a-8b22-29e55b393665">Beijing, 9-12 October 2018</Meeting>
    <Source xmlns="1e668d2a-8791-412a-8b22-29e55b393665">ITU-T SG2</Source>
    <Meeting_x0020_document_x0020_number xmlns="1e668d2a-8791-412a-8b22-29e55b393665">I-105</Meeting_x0020_document_x0020_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F4AE73F6BD142A7C8A963C00F783E" ma:contentTypeVersion="4" ma:contentTypeDescription="Create a new document." ma:contentTypeScope="" ma:versionID="774fcf9ddea072f292ca8dfcb45ea6f5">
  <xsd:schema xmlns:xsd="http://www.w3.org/2001/XMLSchema" xmlns:xs="http://www.w3.org/2001/XMLSchema" xmlns:p="http://schemas.microsoft.com/office/2006/metadata/properties" xmlns:ns2="1e668d2a-8791-412a-8b22-29e55b393665" xmlns:ns3="64d8393d-0026-4b35-9d5b-d6bda7539b41" targetNamespace="http://schemas.microsoft.com/office/2006/metadata/properties" ma:root="true" ma:fieldsID="b83083d1f1d4b89fd8438962138915dd" ns2:_="" ns3:_="">
    <xsd:import namespace="1e668d2a-8791-412a-8b22-29e55b393665"/>
    <xsd:import namespace="64d8393d-0026-4b35-9d5b-d6bda7539b41"/>
    <xsd:element name="properties">
      <xsd:complexType>
        <xsd:sequence>
          <xsd:element name="documentManagement">
            <xsd:complexType>
              <xsd:all>
                <xsd:element ref="ns2:Meeting" minOccurs="0"/>
                <xsd:element ref="ns2:Source" minOccurs="0"/>
                <xsd:element ref="ns2:Meeting_x0020_document_x0020_numbe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68d2a-8791-412a-8b22-29e55b393665" elementFormDefault="qualified">
    <xsd:import namespace="http://schemas.microsoft.com/office/2006/documentManagement/types"/>
    <xsd:import namespace="http://schemas.microsoft.com/office/infopath/2007/PartnerControls"/>
    <xsd:element name="Meeting" ma:index="8" nillable="true" ma:displayName="Meeting" ma:default="Beijing, 9-12 October 2018" ma:description="Meeting location and date." ma:format="Dropdown" ma:internalName="Meeting">
      <xsd:simpleType>
        <xsd:restriction base="dms:Choice">
          <xsd:enumeration value="Geneva, 17-19 October 2017"/>
          <xsd:enumeration value="Bern, 5-7 February 2018"/>
          <xsd:enumeration value="Geneva, 28-30 May 2018"/>
          <xsd:enumeration value="Beijing, 9-12 October 2018"/>
          <xsd:enumeration value="Rio de Janeiro, 14-17 January 2019"/>
        </xsd:restriction>
      </xsd:simpleType>
    </xsd:element>
    <xsd:element name="Source" ma:index="9" nillable="true" ma:displayName="Source" ma:description="Source of the document." ma:internalName="Source">
      <xsd:simpleType>
        <xsd:restriction base="dms:Text">
          <xsd:maxLength value="255"/>
        </xsd:restriction>
      </xsd:simpleType>
    </xsd:element>
    <xsd:element name="Meeting_x0020_document_x0020_number" ma:index="10" ma:displayName="Meeting document number" ma:default="I-###" ma:description="Meeting document number - Format (I-Doc###) Example: I-001" ma:internalName="Meeting_x0020_document_x0020_number">
      <xsd:simpleType>
        <xsd:restriction base="dms:Text">
          <xsd:maxLength value="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393d-0026-4b35-9d5b-d6bda7539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8AEA9-12BB-480E-A203-57F140CB13EA}">
  <ds:schemaRefs>
    <ds:schemaRef ds:uri="http://schemas.microsoft.com/office/2006/metadata/properties"/>
    <ds:schemaRef ds:uri="http://schemas.microsoft.com/office/infopath/2007/PartnerControls"/>
    <ds:schemaRef ds:uri="1e668d2a-8791-412a-8b22-29e55b393665"/>
  </ds:schemaRefs>
</ds:datastoreItem>
</file>

<file path=customXml/itemProps2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515E4-D09F-4DF1-BEF0-C919153C3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68d2a-8791-412a-8b22-29e55b393665"/>
    <ds:schemaRef ds:uri="64d8393d-0026-4b35-9d5b-d6bda7539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LS/i on ITU-T SG3 work related to IoT and M2M Roaming [from ITU-T SG2]</vt:lpstr>
    </vt:vector>
  </TitlesOfParts>
  <Manager>ITU-T</Manager>
  <Company>International Telecommunication Union (ITU)</Company>
  <LinksUpToDate>false</LinksUpToDate>
  <CharactersWithSpaces>4487</CharactersWithSpaces>
  <SharedDoc>false</SharedDoc>
  <HLinks>
    <vt:vector size="42" baseType="variant">
      <vt:variant>
        <vt:i4>1704032</vt:i4>
      </vt:variant>
      <vt:variant>
        <vt:i4>18</vt:i4>
      </vt:variant>
      <vt:variant>
        <vt:i4>0</vt:i4>
      </vt:variant>
      <vt:variant>
        <vt:i4>5</vt:i4>
      </vt:variant>
      <vt:variant>
        <vt:lpwstr>mailto:alex.nikolov@commssolutions.com</vt:lpwstr>
      </vt:variant>
      <vt:variant>
        <vt:lpwstr/>
      </vt:variant>
      <vt:variant>
        <vt:i4>7274517</vt:i4>
      </vt:variant>
      <vt:variant>
        <vt:i4>15</vt:i4>
      </vt:variant>
      <vt:variant>
        <vt:i4>0</vt:i4>
      </vt:variant>
      <vt:variant>
        <vt:i4>5</vt:i4>
      </vt:variant>
      <vt:variant>
        <vt:lpwstr>mailto:philippe.fouquart@orange.com</vt:lpwstr>
      </vt:variant>
      <vt:variant>
        <vt:lpwstr/>
      </vt:variant>
      <vt:variant>
        <vt:i4>7274517</vt:i4>
      </vt:variant>
      <vt:variant>
        <vt:i4>12</vt:i4>
      </vt:variant>
      <vt:variant>
        <vt:i4>0</vt:i4>
      </vt:variant>
      <vt:variant>
        <vt:i4>5</vt:i4>
      </vt:variant>
      <vt:variant>
        <vt:lpwstr>mailto:philippe.fouquart@orange.com</vt:lpwstr>
      </vt:variant>
      <vt:variant>
        <vt:lpwstr/>
      </vt:variant>
      <vt:variant>
        <vt:i4>4390938</vt:i4>
      </vt:variant>
      <vt:variant>
        <vt:i4>9</vt:i4>
      </vt:variant>
      <vt:variant>
        <vt:i4>0</vt:i4>
      </vt:variant>
      <vt:variant>
        <vt:i4>5</vt:i4>
      </vt:variant>
      <vt:variant>
        <vt:lpwstr>http://handle.itu.int/11.1002/ls/sp16-sg2-oLS-00060.docx</vt:lpwstr>
      </vt:variant>
      <vt:variant>
        <vt:lpwstr/>
      </vt:variant>
      <vt:variant>
        <vt:i4>1704032</vt:i4>
      </vt:variant>
      <vt:variant>
        <vt:i4>6</vt:i4>
      </vt:variant>
      <vt:variant>
        <vt:i4>0</vt:i4>
      </vt:variant>
      <vt:variant>
        <vt:i4>5</vt:i4>
      </vt:variant>
      <vt:variant>
        <vt:lpwstr>mailto:alex.nikolov@commssolutions.com</vt:lpwstr>
      </vt:variant>
      <vt:variant>
        <vt:lpwstr/>
      </vt:variant>
      <vt:variant>
        <vt:i4>7274517</vt:i4>
      </vt:variant>
      <vt:variant>
        <vt:i4>3</vt:i4>
      </vt:variant>
      <vt:variant>
        <vt:i4>0</vt:i4>
      </vt:variant>
      <vt:variant>
        <vt:i4>5</vt:i4>
      </vt:variant>
      <vt:variant>
        <vt:lpwstr>mailto:philippe.fouquart@orange.com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http://handle.itu.int/11.1002/ls/sp16-sg2-oLS-00060.docx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 on use of blockchain in international telecommunication numbering (reply to FG DLT-DLT-O-008)</dc:title>
  <dc:subject/>
  <dc:creator>ITU-T Study Group 2</dc:creator>
  <cp:keywords>NNAI; DLT;</cp:keywords>
  <dc:description>DLT-I-105.docx  For: Geneva, 4-13 July 2018_x000d_Document date: _x000d_Saved by ITU51011775 at 14:43:55 on 24/09/2018</dc:description>
  <cp:lastModifiedBy>Makamara, Gillian</cp:lastModifiedBy>
  <cp:revision>5</cp:revision>
  <cp:lastPrinted>2016-12-23T12:52:00Z</cp:lastPrinted>
  <dcterms:created xsi:type="dcterms:W3CDTF">2018-09-24T12:43:00Z</dcterms:created>
  <dcterms:modified xsi:type="dcterms:W3CDTF">2019-07-30T15:28:00Z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DLT-I-105.docx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>1/2</vt:lpwstr>
  </property>
  <property fmtid="{D5CDD505-2E9C-101B-9397-08002B2CF9AE}" pid="6" name="Docdest">
    <vt:lpwstr>Geneva, 4-13 July 2018</vt:lpwstr>
  </property>
  <property fmtid="{D5CDD505-2E9C-101B-9397-08002B2CF9AE}" pid="7" name="Docauthor">
    <vt:lpwstr>ITU-T Study Group 2</vt:lpwstr>
  </property>
  <property fmtid="{D5CDD505-2E9C-101B-9397-08002B2CF9AE}" pid="8" name="ContentTypeId">
    <vt:lpwstr>0x0101001DEF4AE73F6BD142A7C8A963C00F783E</vt:lpwstr>
  </property>
</Properties>
</file>