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jc w:val="center"/>
        <w:rPr>
          <w:sz w:val="48"/>
          <w:szCs w:val="48"/>
        </w:rPr>
      </w:pPr>
      <w:bookmarkStart w:colFirst="0" w:colLast="0" w:name="_gbtrjwizm8nd" w:id="0"/>
      <w:bookmarkEnd w:id="0"/>
      <w:r w:rsidDel="00000000" w:rsidR="00000000" w:rsidRPr="00000000">
        <w:rPr>
          <w:rFonts w:ascii="Times New Roman" w:cs="Times New Roman" w:eastAsia="Times New Roman" w:hAnsi="Times New Roman"/>
          <w:sz w:val="46"/>
          <w:szCs w:val="46"/>
          <w:rtl w:val="0"/>
        </w:rPr>
        <w:t xml:space="preserve">Aplicación de técnicas de Machine Learning para la predicción y priorización de prospectos en sistemas CRM: una revisión sistemática de la literatura</w:t>
      </w:r>
      <w:r w:rsidDel="00000000" w:rsidR="00000000" w:rsidRPr="00000000">
        <w:rPr>
          <w:rtl w:val="0"/>
        </w:rPr>
      </w:r>
    </w:p>
    <w:p w:rsidR="00000000" w:rsidDel="00000000" w:rsidP="00000000" w:rsidRDefault="00000000" w:rsidRPr="00000000" w14:paraId="00000002">
      <w:pPr>
        <w:rPr>
          <w:vertAlign w:val="baseline"/>
        </w:rPr>
      </w:pPr>
      <w:r w:rsidDel="00000000" w:rsidR="00000000" w:rsidRPr="00000000">
        <w:rPr>
          <w:rtl w:val="0"/>
        </w:rPr>
      </w:r>
    </w:p>
    <w:p w:rsidR="00000000" w:rsidDel="00000000" w:rsidP="00000000" w:rsidRDefault="00000000" w:rsidRPr="00000000" w14:paraId="00000003">
      <w:pPr>
        <w:tabs>
          <w:tab w:val="center" w:leader="none" w:pos="5400"/>
        </w:tabs>
        <w:spacing w:after="240" w:befor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Tiffany Vanessa Martens Bujaico¹, Dennys Sanchez Gutierrez²</w:t>
      </w:r>
    </w:p>
    <w:p w:rsidR="00000000" w:rsidDel="00000000" w:rsidP="00000000" w:rsidRDefault="00000000" w:rsidRPr="00000000" w14:paraId="00000004">
      <w:pPr>
        <w:tabs>
          <w:tab w:val="center" w:leader="none" w:pos="5400"/>
        </w:tabs>
        <w:spacing w:after="240" w:before="240" w:lineRule="auto"/>
        <w:jc w:val="center"/>
        <w:rPr>
          <w:rFonts w:ascii="Times New Roman" w:cs="Times New Roman" w:eastAsia="Times New Roman" w:hAnsi="Times New Roman"/>
          <w:sz w:val="18"/>
          <w:szCs w:val="18"/>
        </w:rPr>
        <w:sectPr>
          <w:footerReference r:id="rId6" w:type="default"/>
          <w:pgSz w:h="15840" w:w="12240" w:orient="portrait"/>
          <w:pgMar w:bottom="1440" w:top="1080" w:left="900" w:right="900" w:header="720" w:footer="720"/>
          <w:pgNumType w:start="1"/>
        </w:sectPr>
      </w:pPr>
      <w:r w:rsidDel="00000000" w:rsidR="00000000" w:rsidRPr="00000000">
        <w:rPr>
          <w:rFonts w:ascii="Times New Roman" w:cs="Times New Roman" w:eastAsia="Times New Roman" w:hAnsi="Times New Roman"/>
          <w:sz w:val="18"/>
          <w:szCs w:val="18"/>
          <w:rtl w:val="0"/>
        </w:rPr>
        <w:t xml:space="preserve">¹ Universidad Tecnológica del Perú, Perú</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w:cs="Times" w:eastAsia="Times" w:hAnsi="Times"/>
          <w:b w:val="1"/>
          <w:bCs w:val="1"/>
          <w:i w:val="1"/>
          <w:iCs w:val="1"/>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80" w:line="240" w:lineRule="auto"/>
        <w:ind w:left="0" w:right="0" w:firstLine="360"/>
        <w:jc w:val="center"/>
        <w:rPr>
          <w:rFonts w:ascii="Times New Roman" w:cs="Times New Roman" w:eastAsia="Times New Roman" w:hAnsi="Times New Roman"/>
          <w:b w:val="0"/>
          <w:bCs w:val="0"/>
          <w:i w:val="0"/>
          <w:iCs w:val="0"/>
          <w:smallCaps w:val="1"/>
          <w:strike w:val="0"/>
          <w:color w:val="000000"/>
          <w:u w:val="none"/>
          <w:shd w:fill="auto" w:val="clear"/>
          <w:vertAlign w:val="baseline"/>
        </w:rPr>
      </w:pPr>
      <w:r w:rsidDel="00000000" w:rsidR="00000000" w:rsidRPr="00000000">
        <w:rPr>
          <w:rFonts w:ascii="Times New Roman" w:cs="Times New Roman" w:eastAsia="Times New Roman" w:hAnsi="Times New Roman"/>
          <w:sz w:val="20"/>
          <w:szCs w:val="20"/>
          <w:rtl w:val="0"/>
        </w:rPr>
        <w:t xml:space="preserve">I. INTRODUCCIÓN</w:t>
      </w:r>
      <w:r w:rsidDel="00000000" w:rsidR="00000000" w:rsidRPr="00000000">
        <w:rPr>
          <w:rtl w:val="0"/>
        </w:rPr>
      </w:r>
    </w:p>
    <w:p w:rsidR="00000000" w:rsidDel="00000000" w:rsidP="00000000" w:rsidRDefault="00000000" w:rsidRPr="00000000" w14:paraId="00000007">
      <w:pPr>
        <w:spacing w:after="0" w:before="0" w:line="240" w:lineRule="auto"/>
        <w:ind w:firstLine="25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La gestión de relaciones con los clientes (Customer Relationship Management, CRM) se ha convertido en un componente relevante para las organizaciones debido a la creciente disponibilidad de datos sobre clientes y prospectos. La incorporación de Inteligencia Artificial (IA) y técnicas de Machine Learning ha ampliado las posibilidades de los sistemas CRM, al permitir analizar grandes volúmenes de información, identificar patrones y apoyar decisiones relacionadas con marketing y ventas. Una revisión bibliométrica de 212 artículos recuperados de Scopus identificó, entre sus principales áreas, la aplicación de técnicas de IA y Machine Learning a actividades de CRM, evidenciando el crecimiento y la diversificación de esta línea de investigación [1]. De manera similar, una revisión más reciente de 810 publicaciones sobre AI-CRM agrupó la literatura en cuatro áreas, entre ellas la aplicación de técnicas de IA a las actividades de CRM [2].</w:t>
      </w:r>
      <w:r w:rsidDel="00000000" w:rsidR="00000000" w:rsidRPr="00000000">
        <w:rPr>
          <w:rtl w:val="0"/>
        </w:rPr>
      </w:r>
    </w:p>
    <w:p w:rsidR="00000000" w:rsidDel="00000000" w:rsidP="00000000" w:rsidRDefault="00000000" w:rsidRPr="00000000" w14:paraId="00000008">
      <w:pPr>
        <w:spacing w:after="0" w:before="0" w:line="240" w:lineRule="auto"/>
        <w:ind w:firstLine="25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Dentro de este contexto, la gestión de prospectos constituye un desafío para las organizaciones, especialmente cuando el volumen de leads dificulta determinar cuáles deben recibir atención prioritaria. El Lead Scoring permite asignar una valoración a los prospectos para estimar su calidad y apoyar su priorización. Wu, Andreev y Benyoucef realizaron una revisión sistemática de 44 estudios y distinguieron entre modelos tradicionales, basados principalmente en experiencia y reglas, y modelos predictivos, que emplean técnicas de minería de datos y algoritmos de Machine Learning [3]. Esta evolución permite pasar de una priorización basada principalmente en criterios predefinidos hacia una evaluación sustentada en patrones obtenidos de datos históricos.</w:t>
      </w:r>
      <w:r w:rsidDel="00000000" w:rsidR="00000000" w:rsidRPr="00000000">
        <w:rPr>
          <w:rtl w:val="0"/>
        </w:rPr>
      </w:r>
    </w:p>
    <w:p w:rsidR="00000000" w:rsidDel="00000000" w:rsidP="00000000" w:rsidRDefault="00000000" w:rsidRPr="00000000" w14:paraId="00000009">
      <w:pPr>
        <w:spacing w:after="0" w:before="0" w:line="240" w:lineRule="auto"/>
        <w:ind w:firstLine="25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La problemática se vuelve más relevante cuando las organizaciones deben procesar grandes cantidades de registros y comportamientos heterogéneos de los prospectos. En estos escenarios, la selección manual de leads puede consumir recursos y no necesariamente identificar de forma consistente aquellos con mayor probabilidad de conversión. Jadli, Hain y Hasbaoui analizaron la predicción de propensión de leads mediante técnicas de Inteligencia Artificial y encontraron que Random Forest alcanzó una precisión de 93,04 %, seguido por Decision Tree con 91,47 %, aunque otros modelos presentan ventajas en tiempo de entrenamiento [4]. Estos resultados muestran que la elección de una técnica de Machine Learning debe considerar no sólo la precisión, sino también las características de los datos y las condiciones de aplicación.</w:t>
      </w:r>
      <w:r w:rsidDel="00000000" w:rsidR="00000000" w:rsidRPr="00000000">
        <w:rPr>
          <w:rtl w:val="0"/>
        </w:rPr>
      </w:r>
    </w:p>
    <w:p w:rsidR="00000000" w:rsidDel="00000000" w:rsidP="00000000" w:rsidRDefault="00000000" w:rsidRPr="00000000" w14:paraId="0000000A">
      <w:pPr>
        <w:spacing w:after="0" w:before="0" w:line="240" w:lineRule="auto"/>
        <w:ind w:firstLine="25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La literatura también evidencia que los modelos predictivos pueden integrarse directamente con sistemas CRM para apoyar decisiones comerciales. Shi et al. desarrollaron un modelo denominado SmartSurveil CRM para predecir el abandono de clientes en el sector de telecomunicaciones, combinando Random Forest, Gradient Boosting y Support Vector Machine. El modelo obtuvo una exactitud de 0,89 y un ROC-AUC de 0,91 y fue integrado en un sistema de apoyo a la decisión [5]. Aunque este estudio se centra en clientes existentes y no en prospectos, demuestra la utilidad de incorporar Machine Learning a los sistemas CRM para generar predicciones accionables.</w:t>
      </w:r>
      <w:r w:rsidDel="00000000" w:rsidR="00000000" w:rsidRPr="00000000">
        <w:rPr>
          <w:rtl w:val="0"/>
        </w:rPr>
      </w:r>
    </w:p>
    <w:p w:rsidR="00000000" w:rsidDel="00000000" w:rsidP="00000000" w:rsidRDefault="00000000" w:rsidRPr="00000000" w14:paraId="0000000B">
      <w:pPr>
        <w:spacing w:after="0" w:before="0" w:line="240" w:lineRule="auto"/>
        <w:ind w:firstLine="25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Sin embargo, la aplicación de Inteligencia Artificial en procesos comerciales no depende únicamente del desempeño de los algoritmos. Keegan, Dennehy y Naudé analizaron la implementación de IA en prácticas tradicionales de marketing B2B mediante 18 entrevistas a expertos y encontraron contradicciones relacionadas con factores culturales, políticos y organizacionales [6]. Esto evidencia que, además de identificar modelos con buen desempeño, es necesario comprender las condiciones en las que las técnicas de Machine Learning pueden incorporarse de manera efectiva a los procesos de gestión de prospectos.</w:t>
      </w:r>
      <w:r w:rsidDel="00000000" w:rsidR="00000000" w:rsidRPr="00000000">
        <w:rPr>
          <w:rtl w:val="0"/>
        </w:rPr>
      </w:r>
    </w:p>
    <w:p w:rsidR="00000000" w:rsidDel="00000000" w:rsidP="00000000" w:rsidRDefault="00000000" w:rsidRPr="00000000" w14:paraId="0000000C">
      <w:pPr>
        <w:spacing w:after="0" w:before="0" w:line="240" w:lineRule="auto"/>
        <w:ind w:firstLine="25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En consecuencia, existe la necesidad de sistematizar la evidencia reciente sobre las técnicas de Machine Learning utilizadas para la predicción y priorización de prospectos en sistemas CRM. Si bien existen revisiones sobre IA aplicada al CRM y sobre modelos de Lead Scoring, la literatura se encuentra distribuida entre diferentes algoritmos, variables, contextos de aplicación y métricas de evaluación [1]–[3]. Una revisión sistemática enfocada específicamente en este cruce permitirá identificar qué técnicas se utilizan con mayor frecuencia, qué variables se emplean para realizar las predicciones, qué métricas se utilizan para evaluar los modelos y qué resultados reporta la literatura científica reciente.</w:t>
      </w:r>
      <w:r w:rsidDel="00000000" w:rsidR="00000000" w:rsidRPr="00000000">
        <w:rPr>
          <w:rtl w:val="0"/>
        </w:rPr>
      </w:r>
    </w:p>
    <w:p w:rsidR="00000000" w:rsidDel="00000000" w:rsidP="00000000" w:rsidRDefault="00000000" w:rsidRPr="00000000" w14:paraId="0000000D">
      <w:pPr>
        <w:spacing w:after="0" w:before="0" w:line="240" w:lineRule="auto"/>
        <w:ind w:firstLine="25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Por ello, la presente investigación se justifica por la necesidad de disponer de una visión estructurada del conocimiento científico sobre el uso de Machine Learning para la predicción y priorización de prospectos en sistemas CRM. La síntesis de esta evidencia puede contribuir a reconocer tendencias, comparar enfoques y detectar brechas de investigación que orienten futuros desarrollos de soluciones predictivas aplicadas a procesos comerciales. Asimismo, el análisis permitirá diferenciar los enfoques utilizados para calificar y priorizar prospectos y establecer una base para futuras investigaciones que busquen mejorar la eficiencia de la gestión comercial mediante técnicas de Inteligencia Artificial.</w:t>
      </w:r>
      <w:r w:rsidDel="00000000" w:rsidR="00000000" w:rsidRPr="00000000">
        <w:rPr>
          <w:rtl w:val="0"/>
        </w:rPr>
      </w:r>
    </w:p>
    <w:p w:rsidR="00000000" w:rsidDel="00000000" w:rsidP="00000000" w:rsidRDefault="00000000" w:rsidRPr="00000000" w14:paraId="0000000E">
      <w:pPr>
        <w:spacing w:after="0" w:before="0" w:line="240" w:lineRule="auto"/>
        <w:ind w:firstLine="25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El objetivo de esta revisión sistemática de literatura es analizar las técnicas de Machine Learning utilizadas para la predicción y priorización de prospectos en sistemas CRM, considerando los algoritmos empleados, las variables analizadas, las métricas de evaluación y los resultados reportados en estudios publicados desde el 2020.</w:t>
      </w:r>
      <w:r w:rsidDel="00000000" w:rsidR="00000000" w:rsidRPr="00000000">
        <w:rPr>
          <w:rtl w:val="0"/>
        </w:rPr>
      </w:r>
    </w:p>
    <w:p w:rsidR="00000000" w:rsidDel="00000000" w:rsidP="00000000" w:rsidRDefault="00000000" w:rsidRPr="00000000" w14:paraId="0000000F">
      <w:pPr>
        <w:ind w:firstLine="28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keepNext w:val="1"/>
        <w:spacing w:after="60" w:before="120" w:lineRule="auto"/>
        <w:jc w:val="center"/>
        <w:rPr/>
      </w:pPr>
      <w:r w:rsidDel="00000000" w:rsidR="00000000" w:rsidRPr="00000000">
        <w:rPr>
          <w:rFonts w:ascii="Times New Roman" w:cs="Times New Roman" w:eastAsia="Times New Roman" w:hAnsi="Times New Roman"/>
          <w:b w:val="0"/>
          <w:bCs w:val="0"/>
          <w:sz w:val="20"/>
          <w:szCs w:val="20"/>
          <w:rtl w:val="0"/>
        </w:rPr>
        <w:t xml:space="preserve">II. METODOLOGÍA</w:t>
      </w:r>
      <w:r w:rsidDel="00000000" w:rsidR="00000000" w:rsidRPr="00000000">
        <w:rPr>
          <w:rtl w:val="0"/>
        </w:rPr>
      </w:r>
    </w:p>
    <w:p w:rsidR="00000000" w:rsidDel="00000000" w:rsidP="00000000" w:rsidRDefault="00000000" w:rsidRPr="00000000" w14:paraId="00000011">
      <w:pPr>
        <w:keepNext w:val="1"/>
        <w:spacing w:after="20" w:before="80" w:lineRule="auto"/>
        <w:jc w:val="left"/>
        <w:rPr/>
      </w:pPr>
      <w:r w:rsidDel="00000000" w:rsidR="00000000" w:rsidRPr="00000000">
        <w:rPr>
          <w:rFonts w:ascii="Times New Roman" w:cs="Times New Roman" w:eastAsia="Times New Roman" w:hAnsi="Times New Roman"/>
          <w:i w:val="1"/>
          <w:iCs w:val="1"/>
          <w:sz w:val="20"/>
          <w:szCs w:val="20"/>
          <w:rtl w:val="0"/>
        </w:rPr>
        <w:t xml:space="preserve">A. Diseño de la revisión y formulación PICOC</w:t>
      </w:r>
      <w:r w:rsidDel="00000000" w:rsidR="00000000" w:rsidRPr="00000000">
        <w:rPr>
          <w:rtl w:val="0"/>
        </w:rPr>
      </w:r>
    </w:p>
    <w:p w:rsidR="00000000" w:rsidDel="00000000" w:rsidP="00000000" w:rsidRDefault="00000000" w:rsidRPr="00000000" w14:paraId="00000012">
      <w:pPr>
        <w:spacing w:after="0" w:before="0" w:line="240" w:lineRule="auto"/>
        <w:ind w:firstLine="259"/>
        <w:jc w:val="both"/>
        <w:rPr/>
      </w:pPr>
      <w:r w:rsidDel="00000000" w:rsidR="00000000" w:rsidRPr="00000000">
        <w:rPr>
          <w:rFonts w:ascii="Times New Roman" w:cs="Times New Roman" w:eastAsia="Times New Roman" w:hAnsi="Times New Roman"/>
          <w:sz w:val="20"/>
          <w:szCs w:val="20"/>
          <w:rtl w:val="0"/>
        </w:rPr>
        <w:t xml:space="preserve">La investigación se desarrolló como una Revisión Sistemática de Literatura (RSL) orientada a identificar y comparar técnicas de Machine Learning empleadas en la predicción y priorización de prospectos dentro de procesos de Customer Relationship Management (CRM). El protocolo considera estudios publicados entre 2020 y 2026 y organiza la pregunta de investigación mediante el esquema PICOC, de modo que la población, la intervención, la comparación, los resultados y el contexto queden delimitados antes de ejecutar la búsqueda.</w:t>
      </w:r>
      <w:r w:rsidDel="00000000" w:rsidR="00000000" w:rsidRPr="00000000">
        <w:rPr>
          <w:rtl w:val="0"/>
        </w:rPr>
      </w:r>
    </w:p>
    <w:p w:rsidR="00000000" w:rsidDel="00000000" w:rsidP="00000000" w:rsidRDefault="00000000" w:rsidRPr="00000000" w14:paraId="00000013">
      <w:pPr>
        <w:spacing w:after="40" w:lineRule="auto"/>
        <w:ind w:firstLine="259"/>
        <w:jc w:val="both"/>
        <w:rPr/>
      </w:pPr>
      <w:r w:rsidDel="00000000" w:rsidR="00000000" w:rsidRPr="00000000">
        <w:rPr>
          <w:rFonts w:ascii="Times New Roman" w:cs="Times New Roman" w:eastAsia="Times New Roman" w:hAnsi="Times New Roman"/>
          <w:i w:val="1"/>
          <w:iCs w:val="1"/>
          <w:sz w:val="20"/>
          <w:szCs w:val="20"/>
          <w:rtl w:val="0"/>
        </w:rPr>
        <w:t xml:space="preserve">La pregunta maestra establecida fue: “¿Qué técnicas de Machine Learning, comparadas entre sí y con enfoques tradicionales cuando estos se reportan, presentan mejores resultados de desempeño en la predicción y priorización de prospectos gestionados mediante sistemas CRM, en estudios publicados entre 2020 y 2026?”</w:t>
      </w:r>
      <w:r w:rsidDel="00000000" w:rsidR="00000000" w:rsidRPr="00000000">
        <w:rPr>
          <w:rtl w:val="0"/>
        </w:rPr>
      </w:r>
    </w:p>
    <w:p w:rsidR="00000000" w:rsidDel="00000000" w:rsidP="00000000" w:rsidRDefault="00000000" w:rsidRPr="00000000" w14:paraId="00000014">
      <w:pPr>
        <w:keepNext w:val="1"/>
        <w:spacing w:after="0" w:before="80" w:lineRule="auto"/>
        <w:jc w:val="center"/>
        <w:rPr/>
      </w:pPr>
      <w:r w:rsidDel="00000000" w:rsidR="00000000" w:rsidRPr="00000000">
        <w:rPr>
          <w:rFonts w:ascii="Times New Roman" w:cs="Times New Roman" w:eastAsia="Times New Roman" w:hAnsi="Times New Roman"/>
          <w:sz w:val="16"/>
          <w:szCs w:val="16"/>
          <w:rtl w:val="0"/>
        </w:rPr>
        <w:t xml:space="preserve">TABLE I</w:t>
      </w:r>
      <w:r w:rsidDel="00000000" w:rsidR="00000000" w:rsidRPr="00000000">
        <w:rPr>
          <w:rtl w:val="0"/>
        </w:rPr>
      </w:r>
    </w:p>
    <w:p w:rsidR="00000000" w:rsidDel="00000000" w:rsidP="00000000" w:rsidRDefault="00000000" w:rsidRPr="00000000" w14:paraId="00000015">
      <w:pPr>
        <w:keepNext w:val="1"/>
        <w:spacing w:after="40" w:before="0" w:lineRule="auto"/>
        <w:jc w:val="center"/>
        <w:rPr/>
      </w:pPr>
      <w:r w:rsidDel="00000000" w:rsidR="00000000" w:rsidRPr="00000000">
        <w:rPr>
          <w:rFonts w:ascii="Times New Roman" w:cs="Times New Roman" w:eastAsia="Times New Roman" w:hAnsi="Times New Roman"/>
          <w:i w:val="1"/>
          <w:iCs w:val="1"/>
          <w:sz w:val="16"/>
          <w:szCs w:val="16"/>
          <w:rtl w:val="0"/>
        </w:rPr>
        <w:t xml:space="preserve">Componentes PICOC de la revisión</w:t>
      </w:r>
      <w:r w:rsidDel="00000000" w:rsidR="00000000" w:rsidRPr="00000000">
        <w:rPr>
          <w:rtl w:val="0"/>
        </w:rPr>
      </w:r>
    </w:p>
    <w:tbl>
      <w:tblPr>
        <w:tblStyle w:val="Table1"/>
        <w:tblW w:w="4895.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80"/>
        <w:gridCol w:w="3715"/>
        <w:tblGridChange w:id="0">
          <w:tblGrid>
            <w:gridCol w:w="1180"/>
            <w:gridCol w:w="3715"/>
          </w:tblGrid>
        </w:tblGridChange>
      </w:tblGrid>
      <w:tr>
        <w:trPr>
          <w:cantSplit w:val="1"/>
          <w:tblHeader w:val="0"/>
        </w:trPr>
        <w:tc>
          <w:tcPr>
            <w:shd w:fill="d9d9d9" w:val="clear"/>
            <w:vAlign w:val="center"/>
          </w:tcPr>
          <w:p w:rsidR="00000000" w:rsidDel="00000000" w:rsidP="00000000" w:rsidRDefault="00000000" w:rsidRPr="00000000" w14:paraId="00000016">
            <w:pPr>
              <w:spacing w:after="0" w:before="0" w:line="240" w:lineRule="auto"/>
              <w:jc w:val="center"/>
              <w:rPr/>
            </w:pPr>
            <w:r w:rsidDel="00000000" w:rsidR="00000000" w:rsidRPr="00000000">
              <w:rPr>
                <w:rFonts w:ascii="Times New Roman" w:cs="Times New Roman" w:eastAsia="Times New Roman" w:hAnsi="Times New Roman"/>
                <w:b w:val="1"/>
                <w:bCs w:val="1"/>
                <w:sz w:val="14"/>
                <w:szCs w:val="14"/>
                <w:rtl w:val="0"/>
              </w:rPr>
              <w:t xml:space="preserve">Componente</w:t>
            </w:r>
            <w:r w:rsidDel="00000000" w:rsidR="00000000" w:rsidRPr="00000000">
              <w:rPr>
                <w:rtl w:val="0"/>
              </w:rPr>
            </w:r>
          </w:p>
        </w:tc>
        <w:tc>
          <w:tcPr>
            <w:shd w:fill="d9d9d9" w:val="clear"/>
            <w:vAlign w:val="center"/>
          </w:tcPr>
          <w:p w:rsidR="00000000" w:rsidDel="00000000" w:rsidP="00000000" w:rsidRDefault="00000000" w:rsidRPr="00000000" w14:paraId="00000017">
            <w:pPr>
              <w:spacing w:after="0" w:before="0" w:line="240" w:lineRule="auto"/>
              <w:jc w:val="center"/>
              <w:rPr/>
            </w:pPr>
            <w:r w:rsidDel="00000000" w:rsidR="00000000" w:rsidRPr="00000000">
              <w:rPr>
                <w:rFonts w:ascii="Times New Roman" w:cs="Times New Roman" w:eastAsia="Times New Roman" w:hAnsi="Times New Roman"/>
                <w:b w:val="1"/>
                <w:bCs w:val="1"/>
                <w:sz w:val="14"/>
                <w:szCs w:val="14"/>
                <w:rtl w:val="0"/>
              </w:rPr>
              <w:t xml:space="preserve">Definición operacional y justificación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8">
            <w:pPr>
              <w:spacing w:after="0" w:before="0" w:line="240" w:lineRule="auto"/>
              <w:jc w:val="left"/>
              <w:rPr/>
            </w:pPr>
            <w:r w:rsidDel="00000000" w:rsidR="00000000" w:rsidRPr="00000000">
              <w:rPr>
                <w:rFonts w:ascii="Times New Roman" w:cs="Times New Roman" w:eastAsia="Times New Roman" w:hAnsi="Times New Roman"/>
                <w:b w:val="0"/>
                <w:bCs w:val="0"/>
                <w:sz w:val="14"/>
                <w:szCs w:val="14"/>
                <w:rtl w:val="0"/>
              </w:rPr>
              <w:t xml:space="preserve">P — Población / Problema</w:t>
            </w:r>
            <w:r w:rsidDel="00000000" w:rsidR="00000000" w:rsidRPr="00000000">
              <w:rPr>
                <w:rtl w:val="0"/>
              </w:rPr>
            </w:r>
          </w:p>
        </w:tc>
        <w:tc>
          <w:tcPr>
            <w:vAlign w:val="center"/>
          </w:tcPr>
          <w:p w:rsidR="00000000" w:rsidDel="00000000" w:rsidP="00000000" w:rsidRDefault="00000000" w:rsidRPr="00000000" w14:paraId="00000019">
            <w:pPr>
              <w:spacing w:after="0" w:before="0" w:line="240" w:lineRule="auto"/>
              <w:jc w:val="left"/>
              <w:rPr/>
            </w:pPr>
            <w:r w:rsidDel="00000000" w:rsidR="00000000" w:rsidRPr="00000000">
              <w:rPr>
                <w:rFonts w:ascii="Times New Roman" w:cs="Times New Roman" w:eastAsia="Times New Roman" w:hAnsi="Times New Roman"/>
                <w:b w:val="0"/>
                <w:bCs w:val="0"/>
                <w:sz w:val="14"/>
                <w:szCs w:val="14"/>
                <w:rtl w:val="0"/>
              </w:rPr>
              <w:t xml:space="preserve">Prospectos, leads u oportunidades comerciales gestionadas en procesos de CRM, ventas o marketing; constituyen la unidad sobre la que se realiza la predicción, calificación o priorización.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A">
            <w:pPr>
              <w:spacing w:after="0" w:before="0" w:line="240" w:lineRule="auto"/>
              <w:jc w:val="left"/>
              <w:rPr/>
            </w:pPr>
            <w:r w:rsidDel="00000000" w:rsidR="00000000" w:rsidRPr="00000000">
              <w:rPr>
                <w:rFonts w:ascii="Times New Roman" w:cs="Times New Roman" w:eastAsia="Times New Roman" w:hAnsi="Times New Roman"/>
                <w:b w:val="0"/>
                <w:bCs w:val="0"/>
                <w:sz w:val="14"/>
                <w:szCs w:val="14"/>
                <w:rtl w:val="0"/>
              </w:rPr>
              <w:t xml:space="preserve">I — Intervención</w:t>
            </w:r>
            <w:r w:rsidDel="00000000" w:rsidR="00000000" w:rsidRPr="00000000">
              <w:rPr>
                <w:rtl w:val="0"/>
              </w:rPr>
            </w:r>
          </w:p>
        </w:tc>
        <w:tc>
          <w:tcPr>
            <w:vAlign w:val="center"/>
          </w:tcPr>
          <w:p w:rsidR="00000000" w:rsidDel="00000000" w:rsidP="00000000" w:rsidRDefault="00000000" w:rsidRPr="00000000" w14:paraId="0000001B">
            <w:pPr>
              <w:spacing w:after="0" w:before="0" w:line="240" w:lineRule="auto"/>
              <w:jc w:val="left"/>
              <w:rPr/>
            </w:pPr>
            <w:r w:rsidDel="00000000" w:rsidR="00000000" w:rsidRPr="00000000">
              <w:rPr>
                <w:rFonts w:ascii="Times New Roman" w:cs="Times New Roman" w:eastAsia="Times New Roman" w:hAnsi="Times New Roman"/>
                <w:b w:val="0"/>
                <w:bCs w:val="0"/>
                <w:sz w:val="14"/>
                <w:szCs w:val="14"/>
                <w:rtl w:val="0"/>
              </w:rPr>
              <w:t xml:space="preserve">Técnicas y modelos de Machine Learning aplicados a lead scoring, lead propensity, predicción de conversión y priorización de prospectos.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C">
            <w:pPr>
              <w:spacing w:after="0" w:before="0" w:line="240" w:lineRule="auto"/>
              <w:jc w:val="left"/>
              <w:rPr/>
            </w:pPr>
            <w:r w:rsidDel="00000000" w:rsidR="00000000" w:rsidRPr="00000000">
              <w:rPr>
                <w:rFonts w:ascii="Times New Roman" w:cs="Times New Roman" w:eastAsia="Times New Roman" w:hAnsi="Times New Roman"/>
                <w:b w:val="0"/>
                <w:bCs w:val="0"/>
                <w:sz w:val="14"/>
                <w:szCs w:val="14"/>
                <w:rtl w:val="0"/>
              </w:rPr>
              <w:t xml:space="preserve">C — Comparación</w:t>
            </w:r>
            <w:r w:rsidDel="00000000" w:rsidR="00000000" w:rsidRPr="00000000">
              <w:rPr>
                <w:rtl w:val="0"/>
              </w:rPr>
            </w:r>
          </w:p>
        </w:tc>
        <w:tc>
          <w:tcPr>
            <w:vAlign w:val="center"/>
          </w:tcPr>
          <w:p w:rsidR="00000000" w:rsidDel="00000000" w:rsidP="00000000" w:rsidRDefault="00000000" w:rsidRPr="00000000" w14:paraId="0000001D">
            <w:pPr>
              <w:spacing w:after="0" w:before="0" w:line="240" w:lineRule="auto"/>
              <w:jc w:val="left"/>
              <w:rPr/>
            </w:pPr>
            <w:r w:rsidDel="00000000" w:rsidR="00000000" w:rsidRPr="00000000">
              <w:rPr>
                <w:rFonts w:ascii="Times New Roman" w:cs="Times New Roman" w:eastAsia="Times New Roman" w:hAnsi="Times New Roman"/>
                <w:b w:val="0"/>
                <w:bCs w:val="0"/>
                <w:sz w:val="14"/>
                <w:szCs w:val="14"/>
                <w:rtl w:val="0"/>
              </w:rPr>
              <w:t xml:space="preserve">Otras técnicas de Machine Learning y, cuando el estudio lo reporta, enfoques tradicionales basados en reglas, puntuación manual o criterio experto.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E">
            <w:pPr>
              <w:spacing w:after="0" w:before="0" w:line="240" w:lineRule="auto"/>
              <w:jc w:val="left"/>
              <w:rPr/>
            </w:pPr>
            <w:r w:rsidDel="00000000" w:rsidR="00000000" w:rsidRPr="00000000">
              <w:rPr>
                <w:rFonts w:ascii="Times New Roman" w:cs="Times New Roman" w:eastAsia="Times New Roman" w:hAnsi="Times New Roman"/>
                <w:b w:val="0"/>
                <w:bCs w:val="0"/>
                <w:sz w:val="14"/>
                <w:szCs w:val="14"/>
                <w:rtl w:val="0"/>
              </w:rPr>
              <w:t xml:space="preserve">O — Resultado</w:t>
            </w:r>
            <w:r w:rsidDel="00000000" w:rsidR="00000000" w:rsidRPr="00000000">
              <w:rPr>
                <w:rtl w:val="0"/>
              </w:rPr>
            </w:r>
          </w:p>
        </w:tc>
        <w:tc>
          <w:tcPr>
            <w:vAlign w:val="center"/>
          </w:tcPr>
          <w:p w:rsidR="00000000" w:rsidDel="00000000" w:rsidP="00000000" w:rsidRDefault="00000000" w:rsidRPr="00000000" w14:paraId="0000001F">
            <w:pPr>
              <w:spacing w:after="0" w:before="0" w:line="240" w:lineRule="auto"/>
              <w:jc w:val="left"/>
              <w:rPr/>
            </w:pPr>
            <w:r w:rsidDel="00000000" w:rsidR="00000000" w:rsidRPr="00000000">
              <w:rPr>
                <w:rFonts w:ascii="Times New Roman" w:cs="Times New Roman" w:eastAsia="Times New Roman" w:hAnsi="Times New Roman"/>
                <w:b w:val="0"/>
                <w:bCs w:val="0"/>
                <w:sz w:val="14"/>
                <w:szCs w:val="14"/>
                <w:rtl w:val="0"/>
              </w:rPr>
              <w:t xml:space="preserve">Desempeño predictivo y de priorización mediante accuracy, precision, recall, F1-score, ROC-AUC u otras métricas; cuando exista, se registra conversión o lift comercial.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0">
            <w:pPr>
              <w:spacing w:after="0" w:before="0" w:line="240" w:lineRule="auto"/>
              <w:jc w:val="left"/>
              <w:rPr/>
            </w:pPr>
            <w:r w:rsidDel="00000000" w:rsidR="00000000" w:rsidRPr="00000000">
              <w:rPr>
                <w:rFonts w:ascii="Times New Roman" w:cs="Times New Roman" w:eastAsia="Times New Roman" w:hAnsi="Times New Roman"/>
                <w:b w:val="0"/>
                <w:bCs w:val="0"/>
                <w:sz w:val="14"/>
                <w:szCs w:val="14"/>
                <w:rtl w:val="0"/>
              </w:rPr>
              <w:t xml:space="preserve">C — Contexto</w:t>
            </w:r>
            <w:r w:rsidDel="00000000" w:rsidR="00000000" w:rsidRPr="00000000">
              <w:rPr>
                <w:rtl w:val="0"/>
              </w:rPr>
            </w:r>
          </w:p>
        </w:tc>
        <w:tc>
          <w:tcPr>
            <w:vAlign w:val="center"/>
          </w:tcPr>
          <w:p w:rsidR="00000000" w:rsidDel="00000000" w:rsidP="00000000" w:rsidRDefault="00000000" w:rsidRPr="00000000" w14:paraId="00000021">
            <w:pPr>
              <w:spacing w:after="0" w:before="0" w:line="240" w:lineRule="auto"/>
              <w:jc w:val="left"/>
              <w:rPr/>
            </w:pPr>
            <w:r w:rsidDel="00000000" w:rsidR="00000000" w:rsidRPr="00000000">
              <w:rPr>
                <w:rFonts w:ascii="Times New Roman" w:cs="Times New Roman" w:eastAsia="Times New Roman" w:hAnsi="Times New Roman"/>
                <w:b w:val="0"/>
                <w:bCs w:val="0"/>
                <w:sz w:val="14"/>
                <w:szCs w:val="14"/>
                <w:rtl w:val="0"/>
              </w:rPr>
              <w:t xml:space="preserve">Sistemas CRM y procesos de ventas/marketing en organizaciones, con publicaciones entre 2020 y 2026.</w:t>
            </w:r>
            <w:r w:rsidDel="00000000" w:rsidR="00000000" w:rsidRPr="00000000">
              <w:rPr>
                <w:rtl w:val="0"/>
              </w:rPr>
            </w:r>
          </w:p>
        </w:tc>
      </w:tr>
    </w:tbl>
    <w:p w:rsidR="00000000" w:rsidDel="00000000" w:rsidP="00000000" w:rsidRDefault="00000000" w:rsidRPr="00000000" w14:paraId="00000022">
      <w:pPr>
        <w:spacing w:after="0" w:before="0" w:line="240" w:lineRule="auto"/>
        <w:ind w:firstLine="259"/>
        <w:jc w:val="both"/>
        <w:rPr/>
      </w:pPr>
      <w:r w:rsidDel="00000000" w:rsidR="00000000" w:rsidRPr="00000000">
        <w:rPr>
          <w:rFonts w:ascii="Times New Roman" w:cs="Times New Roman" w:eastAsia="Times New Roman" w:hAnsi="Times New Roman"/>
          <w:sz w:val="20"/>
          <w:szCs w:val="20"/>
          <w:rtl w:val="0"/>
        </w:rPr>
        <w:t xml:space="preserve">Para responder la pregunta maestra se definieron seis preguntas de investigación: identificación de técnicas y algoritmos (PI1), variables empleadas (PI2), métricas y valores de desempeño (PI3), diferencias entre modelos o comparadores (PI4), contextos de validación (PI5) y limitaciones técnicas, de datos o implementación (PI6).</w:t>
      </w:r>
      <w:r w:rsidDel="00000000" w:rsidR="00000000" w:rsidRPr="00000000">
        <w:rPr>
          <w:rtl w:val="0"/>
        </w:rPr>
      </w:r>
    </w:p>
    <w:p w:rsidR="00000000" w:rsidDel="00000000" w:rsidP="00000000" w:rsidRDefault="00000000" w:rsidRPr="00000000" w14:paraId="00000023">
      <w:pPr>
        <w:keepNext w:val="1"/>
        <w:spacing w:after="20" w:before="80" w:lineRule="auto"/>
        <w:jc w:val="left"/>
        <w:rPr/>
      </w:pPr>
      <w:r w:rsidDel="00000000" w:rsidR="00000000" w:rsidRPr="00000000">
        <w:rPr>
          <w:rFonts w:ascii="Times New Roman" w:cs="Times New Roman" w:eastAsia="Times New Roman" w:hAnsi="Times New Roman"/>
          <w:i w:val="1"/>
          <w:iCs w:val="1"/>
          <w:sz w:val="20"/>
          <w:szCs w:val="20"/>
          <w:rtl w:val="0"/>
        </w:rPr>
        <w:t xml:space="preserve">B. Estrategia de búsqueda en Scopus</w:t>
      </w:r>
      <w:r w:rsidDel="00000000" w:rsidR="00000000" w:rsidRPr="00000000">
        <w:rPr>
          <w:rtl w:val="0"/>
        </w:rPr>
      </w:r>
    </w:p>
    <w:p w:rsidR="00000000" w:rsidDel="00000000" w:rsidP="00000000" w:rsidRDefault="00000000" w:rsidRPr="00000000" w14:paraId="00000024">
      <w:pPr>
        <w:spacing w:after="0" w:before="0" w:line="240" w:lineRule="auto"/>
        <w:ind w:firstLine="259"/>
        <w:jc w:val="both"/>
        <w:rPr/>
      </w:pPr>
      <w:r w:rsidDel="00000000" w:rsidR="00000000" w:rsidRPr="00000000">
        <w:rPr>
          <w:rFonts w:ascii="Times New Roman" w:cs="Times New Roman" w:eastAsia="Times New Roman" w:hAnsi="Times New Roman"/>
          <w:sz w:val="20"/>
          <w:szCs w:val="20"/>
          <w:rtl w:val="0"/>
        </w:rPr>
        <w:t xml:space="preserve">La búsqueda se ejecutó en Scopus el 30 de septiembre de 2026. Se priorizó una estrategia sensible con dos bloques de términos: el primero relacionado con scoring, priorización, calificación, conversión y gestión de prospectos; y el segundo con Machine Learning, Inteligencia Artificial, analítica predictiva y algoritmos de clasificación. El término CRM no se exigió en la ecuación para evitar la pérdida de estudios relevantes; su pertinencia se controló posteriormente mediante los criterios de selección.</w:t>
      </w:r>
      <w:r w:rsidDel="00000000" w:rsidR="00000000" w:rsidRPr="00000000">
        <w:rPr>
          <w:rtl w:val="0"/>
        </w:rPr>
      </w:r>
    </w:p>
    <w:p w:rsidR="00000000" w:rsidDel="00000000" w:rsidP="00000000" w:rsidRDefault="00000000" w:rsidRPr="00000000" w14:paraId="00000025">
      <w:pPr>
        <w:keepNext w:val="1"/>
        <w:spacing w:after="0" w:before="80" w:lineRule="auto"/>
        <w:jc w:val="center"/>
        <w:rPr/>
      </w:pPr>
      <w:r w:rsidDel="00000000" w:rsidR="00000000" w:rsidRPr="00000000">
        <w:rPr>
          <w:rFonts w:ascii="Times New Roman" w:cs="Times New Roman" w:eastAsia="Times New Roman" w:hAnsi="Times New Roman"/>
          <w:sz w:val="16"/>
          <w:szCs w:val="16"/>
          <w:rtl w:val="0"/>
        </w:rPr>
        <w:t xml:space="preserve">TABLE II</w:t>
      </w:r>
      <w:r w:rsidDel="00000000" w:rsidR="00000000" w:rsidRPr="00000000">
        <w:rPr>
          <w:rtl w:val="0"/>
        </w:rPr>
      </w:r>
    </w:p>
    <w:p w:rsidR="00000000" w:rsidDel="00000000" w:rsidP="00000000" w:rsidRDefault="00000000" w:rsidRPr="00000000" w14:paraId="00000026">
      <w:pPr>
        <w:keepNext w:val="1"/>
        <w:spacing w:after="40" w:before="0" w:lineRule="auto"/>
        <w:jc w:val="center"/>
        <w:rPr/>
      </w:pPr>
      <w:r w:rsidDel="00000000" w:rsidR="00000000" w:rsidRPr="00000000">
        <w:rPr>
          <w:rFonts w:ascii="Times New Roman" w:cs="Times New Roman" w:eastAsia="Times New Roman" w:hAnsi="Times New Roman"/>
          <w:i w:val="1"/>
          <w:iCs w:val="1"/>
          <w:sz w:val="16"/>
          <w:szCs w:val="16"/>
          <w:rtl w:val="0"/>
        </w:rPr>
        <w:t xml:space="preserve">Ecuación de búsqueda utilizada en Scopus</w:t>
      </w:r>
      <w:r w:rsidDel="00000000" w:rsidR="00000000" w:rsidRPr="00000000">
        <w:rPr>
          <w:rtl w:val="0"/>
        </w:rPr>
      </w:r>
    </w:p>
    <w:tbl>
      <w:tblPr>
        <w:tblStyle w:val="Table2"/>
        <w:tblW w:w="489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4896"/>
        <w:tblGridChange w:id="0">
          <w:tblGrid>
            <w:gridCol w:w="4896"/>
          </w:tblGrid>
        </w:tblGridChange>
      </w:tblGrid>
      <w:tr>
        <w:trPr>
          <w:cantSplit w:val="1"/>
          <w:tblHeader w:val="0"/>
        </w:trPr>
        <w:tc>
          <w:tcPr>
            <w:vAlign w:val="center"/>
          </w:tcPr>
          <w:p w:rsidR="00000000" w:rsidDel="00000000" w:rsidP="00000000" w:rsidRDefault="00000000" w:rsidRPr="00000000" w14:paraId="00000027">
            <w:pPr>
              <w:spacing w:after="0" w:before="0" w:line="240" w:lineRule="auto"/>
              <w:jc w:val="both"/>
              <w:rPr/>
            </w:pPr>
            <w:r w:rsidDel="00000000" w:rsidR="00000000" w:rsidRPr="00000000">
              <w:rPr>
                <w:rFonts w:ascii="Times New Roman" w:cs="Times New Roman" w:eastAsia="Times New Roman" w:hAnsi="Times New Roman"/>
                <w:b w:val="0"/>
                <w:bCs w:val="0"/>
                <w:sz w:val="13"/>
                <w:szCs w:val="13"/>
                <w:rtl w:val="0"/>
              </w:rPr>
              <w:t xml:space="preserve">( "lead scor*" OR "lead prioriti*" OR "lead propensity" OR "sales lead*" OR "prospect scor*" OR "prospect prioriti*" OR "lead qualif*" OR "lead conversion" OR "lead nurtur*" OR "lead evalua*" OR "opportunity scor*" OR "sales qualif*" OR "prospect qualif*" OR "buying propensity" OR "propensity to buy" OR "churn predict*" OR "lead manage*" OR "lead rout*" OR "lead assign*" OR "sales intelligence" ) AND ( "machine learning" OR "artificial intelligence" OR "predictive model*" OR "data mining" OR "supervised learning" OR "deep learning" OR "predictive analytics" OR "algorithm*" OR "classification" OR "decision tree*" OR "random forest" OR "gradient boosting" OR "logistic regression" OR "neural network*" )</w:t>
            </w:r>
            <w:r w:rsidDel="00000000" w:rsidR="00000000" w:rsidRPr="00000000">
              <w:rPr>
                <w:rtl w:val="0"/>
              </w:rPr>
            </w:r>
          </w:p>
        </w:tc>
      </w:tr>
    </w:tbl>
    <w:p w:rsidR="00000000" w:rsidDel="00000000" w:rsidP="00000000" w:rsidRDefault="00000000" w:rsidRPr="00000000" w14:paraId="00000028">
      <w:pPr>
        <w:spacing w:after="0" w:before="0" w:line="240" w:lineRule="auto"/>
        <w:ind w:firstLine="259"/>
        <w:jc w:val="both"/>
        <w:rPr/>
      </w:pPr>
      <w:r w:rsidDel="00000000" w:rsidR="00000000" w:rsidRPr="00000000">
        <w:rPr>
          <w:rFonts w:ascii="Times New Roman" w:cs="Times New Roman" w:eastAsia="Times New Roman" w:hAnsi="Times New Roman"/>
          <w:sz w:val="20"/>
          <w:szCs w:val="20"/>
          <w:rtl w:val="0"/>
        </w:rPr>
        <w:t xml:space="preserve">La consulta recuperó 2,262 registros brutos. Después de limitar el periodo a 2020–2026 se obtuvieron 1,666 registros; al restringir el tipo documental a Article y Conference Paper quedaron 1,483; y al aplicar los idiomas English y Spanish se obtuvieron 1,462. La plataforma exportó 1,460 registros en CSV; la diferencia de dos registros se conservó como incidencia técnica documentada. Tras retirar dos duplicados internos quedaron 1,458 registros únicos para el proceso de selección.</w:t>
      </w:r>
      <w:r w:rsidDel="00000000" w:rsidR="00000000" w:rsidRPr="00000000">
        <w:rPr>
          <w:rtl w:val="0"/>
        </w:rPr>
      </w:r>
    </w:p>
    <w:p w:rsidR="00000000" w:rsidDel="00000000" w:rsidP="00000000" w:rsidRDefault="00000000" w:rsidRPr="00000000" w14:paraId="00000029">
      <w:pPr>
        <w:keepNext w:val="1"/>
        <w:spacing w:after="20" w:before="80" w:lineRule="auto"/>
        <w:jc w:val="left"/>
        <w:rPr/>
      </w:pPr>
      <w:r w:rsidDel="00000000" w:rsidR="00000000" w:rsidRPr="00000000">
        <w:rPr>
          <w:rFonts w:ascii="Times New Roman" w:cs="Times New Roman" w:eastAsia="Times New Roman" w:hAnsi="Times New Roman"/>
          <w:i w:val="1"/>
          <w:iCs w:val="1"/>
          <w:sz w:val="20"/>
          <w:szCs w:val="20"/>
          <w:rtl w:val="0"/>
        </w:rPr>
        <w:t xml:space="preserve">C. Criterios de inclusión y exclusión</w:t>
      </w:r>
      <w:r w:rsidDel="00000000" w:rsidR="00000000" w:rsidRPr="00000000">
        <w:rPr>
          <w:rtl w:val="0"/>
        </w:rPr>
      </w:r>
    </w:p>
    <w:p w:rsidR="00000000" w:rsidDel="00000000" w:rsidP="00000000" w:rsidRDefault="00000000" w:rsidRPr="00000000" w14:paraId="0000002A">
      <w:pPr>
        <w:spacing w:after="0" w:before="0" w:line="240" w:lineRule="auto"/>
        <w:ind w:firstLine="259"/>
        <w:jc w:val="both"/>
        <w:rPr/>
      </w:pPr>
      <w:r w:rsidDel="00000000" w:rsidR="00000000" w:rsidRPr="00000000">
        <w:rPr>
          <w:rFonts w:ascii="Times New Roman" w:cs="Times New Roman" w:eastAsia="Times New Roman" w:hAnsi="Times New Roman"/>
          <w:sz w:val="20"/>
          <w:szCs w:val="20"/>
          <w:rtl w:val="0"/>
        </w:rPr>
        <w:t xml:space="preserve">Los criterios de inclusión y exclusión se definieron previamente al proceso de selección para mantener decisiones reproducibles. Los criterios de inclusión delimitan el tipo de estudio pertinente, mientras que los criterios de exclusión documentan las causas específicas de descarte.</w:t>
      </w:r>
      <w:r w:rsidDel="00000000" w:rsidR="00000000" w:rsidRPr="00000000">
        <w:rPr>
          <w:rtl w:val="0"/>
        </w:rPr>
      </w:r>
    </w:p>
    <w:p w:rsidR="00000000" w:rsidDel="00000000" w:rsidP="00000000" w:rsidRDefault="00000000" w:rsidRPr="00000000" w14:paraId="0000002B">
      <w:pPr>
        <w:keepNext w:val="1"/>
        <w:spacing w:after="0" w:before="80" w:lineRule="auto"/>
        <w:jc w:val="center"/>
        <w:rPr/>
      </w:pPr>
      <w:r w:rsidDel="00000000" w:rsidR="00000000" w:rsidRPr="00000000">
        <w:rPr>
          <w:rFonts w:ascii="Times New Roman" w:cs="Times New Roman" w:eastAsia="Times New Roman" w:hAnsi="Times New Roman"/>
          <w:sz w:val="16"/>
          <w:szCs w:val="16"/>
          <w:rtl w:val="0"/>
        </w:rPr>
        <w:t xml:space="preserve">TABLE III</w:t>
      </w:r>
      <w:r w:rsidDel="00000000" w:rsidR="00000000" w:rsidRPr="00000000">
        <w:rPr>
          <w:rtl w:val="0"/>
        </w:rPr>
      </w:r>
    </w:p>
    <w:p w:rsidR="00000000" w:rsidDel="00000000" w:rsidP="00000000" w:rsidRDefault="00000000" w:rsidRPr="00000000" w14:paraId="0000002C">
      <w:pPr>
        <w:keepNext w:val="1"/>
        <w:spacing w:after="40" w:before="0" w:lineRule="auto"/>
        <w:jc w:val="center"/>
        <w:rPr/>
      </w:pPr>
      <w:r w:rsidDel="00000000" w:rsidR="00000000" w:rsidRPr="00000000">
        <w:rPr>
          <w:rFonts w:ascii="Times New Roman" w:cs="Times New Roman" w:eastAsia="Times New Roman" w:hAnsi="Times New Roman"/>
          <w:i w:val="1"/>
          <w:iCs w:val="1"/>
          <w:sz w:val="16"/>
          <w:szCs w:val="16"/>
          <w:rtl w:val="0"/>
        </w:rPr>
        <w:t xml:space="preserve">Criterios de inclusión y exclusión (CI/CE)</w:t>
      </w:r>
      <w:r w:rsidDel="00000000" w:rsidR="00000000" w:rsidRPr="00000000">
        <w:rPr>
          <w:rtl w:val="0"/>
        </w:rPr>
      </w:r>
    </w:p>
    <w:tbl>
      <w:tblPr>
        <w:tblStyle w:val="Table3"/>
        <w:tblW w:w="4894.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604"/>
        <w:gridCol w:w="892"/>
        <w:gridCol w:w="3398"/>
        <w:tblGridChange w:id="0">
          <w:tblGrid>
            <w:gridCol w:w="604"/>
            <w:gridCol w:w="892"/>
            <w:gridCol w:w="3398"/>
          </w:tblGrid>
        </w:tblGridChange>
      </w:tblGrid>
      <w:tr>
        <w:trPr>
          <w:cantSplit w:val="1"/>
          <w:tblHeader w:val="0"/>
        </w:trPr>
        <w:tc>
          <w:tcPr>
            <w:shd w:fill="d9d9d9" w:val="clear"/>
            <w:vAlign w:val="center"/>
          </w:tcPr>
          <w:p w:rsidR="00000000" w:rsidDel="00000000" w:rsidP="00000000" w:rsidRDefault="00000000" w:rsidRPr="00000000" w14:paraId="0000002D">
            <w:pPr>
              <w:spacing w:after="0" w:before="0" w:line="240" w:lineRule="auto"/>
              <w:jc w:val="center"/>
              <w:rPr/>
            </w:pPr>
            <w:r w:rsidDel="00000000" w:rsidR="00000000" w:rsidRPr="00000000">
              <w:rPr>
                <w:rFonts w:ascii="Times New Roman" w:cs="Times New Roman" w:eastAsia="Times New Roman" w:hAnsi="Times New Roman"/>
                <w:b w:val="1"/>
                <w:bCs w:val="1"/>
                <w:sz w:val="13"/>
                <w:szCs w:val="13"/>
                <w:rtl w:val="0"/>
              </w:rPr>
              <w:t xml:space="preserve">Código</w:t>
            </w:r>
            <w:r w:rsidDel="00000000" w:rsidR="00000000" w:rsidRPr="00000000">
              <w:rPr>
                <w:rtl w:val="0"/>
              </w:rPr>
            </w:r>
          </w:p>
        </w:tc>
        <w:tc>
          <w:tcPr>
            <w:shd w:fill="d9d9d9" w:val="clear"/>
            <w:vAlign w:val="center"/>
          </w:tcPr>
          <w:p w:rsidR="00000000" w:rsidDel="00000000" w:rsidP="00000000" w:rsidRDefault="00000000" w:rsidRPr="00000000" w14:paraId="0000002E">
            <w:pPr>
              <w:spacing w:after="0" w:before="0" w:line="240" w:lineRule="auto"/>
              <w:jc w:val="center"/>
              <w:rPr/>
            </w:pPr>
            <w:r w:rsidDel="00000000" w:rsidR="00000000" w:rsidRPr="00000000">
              <w:rPr>
                <w:rFonts w:ascii="Times New Roman" w:cs="Times New Roman" w:eastAsia="Times New Roman" w:hAnsi="Times New Roman"/>
                <w:b w:val="1"/>
                <w:bCs w:val="1"/>
                <w:sz w:val="13"/>
                <w:szCs w:val="13"/>
                <w:rtl w:val="0"/>
              </w:rPr>
              <w:t xml:space="preserve">Tipo</w:t>
            </w:r>
            <w:r w:rsidDel="00000000" w:rsidR="00000000" w:rsidRPr="00000000">
              <w:rPr>
                <w:rtl w:val="0"/>
              </w:rPr>
            </w:r>
          </w:p>
        </w:tc>
        <w:tc>
          <w:tcPr>
            <w:shd w:fill="d9d9d9" w:val="clear"/>
            <w:vAlign w:val="center"/>
          </w:tcPr>
          <w:p w:rsidR="00000000" w:rsidDel="00000000" w:rsidP="00000000" w:rsidRDefault="00000000" w:rsidRPr="00000000" w14:paraId="0000002F">
            <w:pPr>
              <w:spacing w:after="0" w:before="0" w:line="240" w:lineRule="auto"/>
              <w:jc w:val="center"/>
              <w:rPr/>
            </w:pPr>
            <w:r w:rsidDel="00000000" w:rsidR="00000000" w:rsidRPr="00000000">
              <w:rPr>
                <w:rFonts w:ascii="Times New Roman" w:cs="Times New Roman" w:eastAsia="Times New Roman" w:hAnsi="Times New Roman"/>
                <w:b w:val="1"/>
                <w:bCs w:val="1"/>
                <w:sz w:val="13"/>
                <w:szCs w:val="13"/>
                <w:rtl w:val="0"/>
              </w:rPr>
              <w:t xml:space="preserve">Criterio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0">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CI1</w:t>
            </w:r>
            <w:r w:rsidDel="00000000" w:rsidR="00000000" w:rsidRPr="00000000">
              <w:rPr>
                <w:rtl w:val="0"/>
              </w:rPr>
            </w:r>
          </w:p>
        </w:tc>
        <w:tc>
          <w:tcPr>
            <w:vAlign w:val="center"/>
          </w:tcPr>
          <w:p w:rsidR="00000000" w:rsidDel="00000000" w:rsidP="00000000" w:rsidRDefault="00000000" w:rsidRPr="00000000" w14:paraId="00000031">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Inclusión</w:t>
            </w:r>
            <w:r w:rsidDel="00000000" w:rsidR="00000000" w:rsidRPr="00000000">
              <w:rPr>
                <w:rtl w:val="0"/>
              </w:rPr>
            </w:r>
          </w:p>
        </w:tc>
        <w:tc>
          <w:tcPr>
            <w:vAlign w:val="center"/>
          </w:tcPr>
          <w:p w:rsidR="00000000" w:rsidDel="00000000" w:rsidP="00000000" w:rsidRDefault="00000000" w:rsidRPr="00000000" w14:paraId="00000032">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Publicaciones entre 2020 y 2026.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3">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CI2</w:t>
            </w:r>
            <w:r w:rsidDel="00000000" w:rsidR="00000000" w:rsidRPr="00000000">
              <w:rPr>
                <w:rtl w:val="0"/>
              </w:rPr>
            </w:r>
          </w:p>
        </w:tc>
        <w:tc>
          <w:tcPr>
            <w:vAlign w:val="center"/>
          </w:tcPr>
          <w:p w:rsidR="00000000" w:rsidDel="00000000" w:rsidP="00000000" w:rsidRDefault="00000000" w:rsidRPr="00000000" w14:paraId="00000034">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Inclusión</w:t>
            </w:r>
            <w:r w:rsidDel="00000000" w:rsidR="00000000" w:rsidRPr="00000000">
              <w:rPr>
                <w:rtl w:val="0"/>
              </w:rPr>
            </w:r>
          </w:p>
        </w:tc>
        <w:tc>
          <w:tcPr>
            <w:vAlign w:val="center"/>
          </w:tcPr>
          <w:p w:rsidR="00000000" w:rsidDel="00000000" w:rsidP="00000000" w:rsidRDefault="00000000" w:rsidRPr="00000000" w14:paraId="00000035">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Artículos de revista o Conference Papers indexados en Scopus.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6">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CI3</w:t>
            </w:r>
            <w:r w:rsidDel="00000000" w:rsidR="00000000" w:rsidRPr="00000000">
              <w:rPr>
                <w:rtl w:val="0"/>
              </w:rPr>
            </w:r>
          </w:p>
        </w:tc>
        <w:tc>
          <w:tcPr>
            <w:vAlign w:val="center"/>
          </w:tcPr>
          <w:p w:rsidR="00000000" w:rsidDel="00000000" w:rsidP="00000000" w:rsidRDefault="00000000" w:rsidRPr="00000000" w14:paraId="00000037">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Inclusión</w:t>
            </w:r>
            <w:r w:rsidDel="00000000" w:rsidR="00000000" w:rsidRPr="00000000">
              <w:rPr>
                <w:rtl w:val="0"/>
              </w:rPr>
            </w:r>
          </w:p>
        </w:tc>
        <w:tc>
          <w:tcPr>
            <w:vAlign w:val="center"/>
          </w:tcPr>
          <w:p w:rsidR="00000000" w:rsidDel="00000000" w:rsidP="00000000" w:rsidRDefault="00000000" w:rsidRPr="00000000" w14:paraId="00000038">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Texto en inglés o español.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CI4</w:t>
            </w:r>
            <w:r w:rsidDel="00000000" w:rsidR="00000000" w:rsidRPr="00000000">
              <w:rPr>
                <w:rtl w:val="0"/>
              </w:rPr>
            </w:r>
          </w:p>
        </w:tc>
        <w:tc>
          <w:tcPr>
            <w:vAlign w:val="center"/>
          </w:tcPr>
          <w:p w:rsidR="00000000" w:rsidDel="00000000" w:rsidP="00000000" w:rsidRDefault="00000000" w:rsidRPr="00000000" w14:paraId="0000003A">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Inclusión</w:t>
            </w:r>
            <w:r w:rsidDel="00000000" w:rsidR="00000000" w:rsidRPr="00000000">
              <w:rPr>
                <w:rtl w:val="0"/>
              </w:rPr>
            </w:r>
          </w:p>
        </w:tc>
        <w:tc>
          <w:tcPr>
            <w:vAlign w:val="center"/>
          </w:tcPr>
          <w:p w:rsidR="00000000" w:rsidDel="00000000" w:rsidP="00000000" w:rsidRDefault="00000000" w:rsidRPr="00000000" w14:paraId="0000003B">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Estudios sobre prospectos/leads/oportunidades antes de la conversión y su predicción, scoring, propensión, calificación o priorización.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C">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CI5</w:t>
            </w:r>
            <w:r w:rsidDel="00000000" w:rsidR="00000000" w:rsidRPr="00000000">
              <w:rPr>
                <w:rtl w:val="0"/>
              </w:rPr>
            </w:r>
          </w:p>
        </w:tc>
        <w:tc>
          <w:tcPr>
            <w:vAlign w:val="center"/>
          </w:tcPr>
          <w:p w:rsidR="00000000" w:rsidDel="00000000" w:rsidP="00000000" w:rsidRDefault="00000000" w:rsidRPr="00000000" w14:paraId="0000003D">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Inclusión</w:t>
            </w:r>
            <w:r w:rsidDel="00000000" w:rsidR="00000000" w:rsidRPr="00000000">
              <w:rPr>
                <w:rtl w:val="0"/>
              </w:rPr>
            </w:r>
          </w:p>
        </w:tc>
        <w:tc>
          <w:tcPr>
            <w:vAlign w:val="center"/>
          </w:tcPr>
          <w:p w:rsidR="00000000" w:rsidDel="00000000" w:rsidP="00000000" w:rsidRDefault="00000000" w:rsidRPr="00000000" w14:paraId="0000003E">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Aplicación explícita de Machine Learning, IA predictiva, minería de datos, deep learning o modelos de clasificación.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F">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CI6</w:t>
            </w:r>
            <w:r w:rsidDel="00000000" w:rsidR="00000000" w:rsidRPr="00000000">
              <w:rPr>
                <w:rtl w:val="0"/>
              </w:rPr>
            </w:r>
          </w:p>
        </w:tc>
        <w:tc>
          <w:tcPr>
            <w:vAlign w:val="center"/>
          </w:tcPr>
          <w:p w:rsidR="00000000" w:rsidDel="00000000" w:rsidP="00000000" w:rsidRDefault="00000000" w:rsidRPr="00000000" w14:paraId="00000040">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Inclusión</w:t>
            </w:r>
            <w:r w:rsidDel="00000000" w:rsidR="00000000" w:rsidRPr="00000000">
              <w:rPr>
                <w:rtl w:val="0"/>
              </w:rPr>
            </w:r>
          </w:p>
        </w:tc>
        <w:tc>
          <w:tcPr>
            <w:vAlign w:val="center"/>
          </w:tcPr>
          <w:p w:rsidR="00000000" w:rsidDel="00000000" w:rsidP="00000000" w:rsidRDefault="00000000" w:rsidRPr="00000000" w14:paraId="00000041">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Contexto de CRM, ventas, marketing o gestión comercial relacionado con adquisición o gestión de prospectos.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2">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CI7</w:t>
            </w:r>
            <w:r w:rsidDel="00000000" w:rsidR="00000000" w:rsidRPr="00000000">
              <w:rPr>
                <w:rtl w:val="0"/>
              </w:rPr>
            </w:r>
          </w:p>
        </w:tc>
        <w:tc>
          <w:tcPr>
            <w:vAlign w:val="center"/>
          </w:tcPr>
          <w:p w:rsidR="00000000" w:rsidDel="00000000" w:rsidP="00000000" w:rsidRDefault="00000000" w:rsidRPr="00000000" w14:paraId="00000043">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Inclusión</w:t>
            </w:r>
            <w:r w:rsidDel="00000000" w:rsidR="00000000" w:rsidRPr="00000000">
              <w:rPr>
                <w:rtl w:val="0"/>
              </w:rPr>
            </w:r>
          </w:p>
        </w:tc>
        <w:tc>
          <w:tcPr>
            <w:vAlign w:val="center"/>
          </w:tcPr>
          <w:p w:rsidR="00000000" w:rsidDel="00000000" w:rsidP="00000000" w:rsidRDefault="00000000" w:rsidRPr="00000000" w14:paraId="00000044">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El estudio reporta evaluación, resultados o evidencia útil para responder al menos una pregunta de investigación.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5">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CE1</w:t>
            </w:r>
            <w:r w:rsidDel="00000000" w:rsidR="00000000" w:rsidRPr="00000000">
              <w:rPr>
                <w:rtl w:val="0"/>
              </w:rPr>
            </w:r>
          </w:p>
        </w:tc>
        <w:tc>
          <w:tcPr>
            <w:vAlign w:val="center"/>
          </w:tcPr>
          <w:p w:rsidR="00000000" w:rsidDel="00000000" w:rsidP="00000000" w:rsidRDefault="00000000" w:rsidRPr="00000000" w14:paraId="00000046">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Exclusión</w:t>
            </w:r>
            <w:r w:rsidDel="00000000" w:rsidR="00000000" w:rsidRPr="00000000">
              <w:rPr>
                <w:rtl w:val="0"/>
              </w:rPr>
            </w:r>
          </w:p>
        </w:tc>
        <w:tc>
          <w:tcPr>
            <w:vAlign w:val="center"/>
          </w:tcPr>
          <w:p w:rsidR="00000000" w:rsidDel="00000000" w:rsidP="00000000" w:rsidRDefault="00000000" w:rsidRPr="00000000" w14:paraId="00000047">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Registro duplicado dentro de la exportación.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8">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CE2</w:t>
            </w:r>
            <w:r w:rsidDel="00000000" w:rsidR="00000000" w:rsidRPr="00000000">
              <w:rPr>
                <w:rtl w:val="0"/>
              </w:rPr>
            </w:r>
          </w:p>
        </w:tc>
        <w:tc>
          <w:tcPr>
            <w:vAlign w:val="center"/>
          </w:tcPr>
          <w:p w:rsidR="00000000" w:rsidDel="00000000" w:rsidP="00000000" w:rsidRDefault="00000000" w:rsidRPr="00000000" w14:paraId="00000049">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Exclusión</w:t>
            </w:r>
            <w:r w:rsidDel="00000000" w:rsidR="00000000" w:rsidRPr="00000000">
              <w:rPr>
                <w:rtl w:val="0"/>
              </w:rPr>
            </w:r>
          </w:p>
        </w:tc>
        <w:tc>
          <w:tcPr>
            <w:vAlign w:val="center"/>
          </w:tcPr>
          <w:p w:rsidR="00000000" w:rsidDel="00000000" w:rsidP="00000000" w:rsidRDefault="00000000" w:rsidRPr="00000000" w14:paraId="0000004A">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Coincidencia terminológica en un dominio no comercial o ajeno a prospectos/leads.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B">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CE3</w:t>
            </w:r>
            <w:r w:rsidDel="00000000" w:rsidR="00000000" w:rsidRPr="00000000">
              <w:rPr>
                <w:rtl w:val="0"/>
              </w:rPr>
            </w:r>
          </w:p>
        </w:tc>
        <w:tc>
          <w:tcPr>
            <w:vAlign w:val="center"/>
          </w:tcPr>
          <w:p w:rsidR="00000000" w:rsidDel="00000000" w:rsidP="00000000" w:rsidRDefault="00000000" w:rsidRPr="00000000" w14:paraId="0000004C">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Exclusión</w:t>
            </w:r>
            <w:r w:rsidDel="00000000" w:rsidR="00000000" w:rsidRPr="00000000">
              <w:rPr>
                <w:rtl w:val="0"/>
              </w:rPr>
            </w:r>
          </w:p>
        </w:tc>
        <w:tc>
          <w:tcPr>
            <w:vAlign w:val="center"/>
          </w:tcPr>
          <w:p w:rsidR="00000000" w:rsidDel="00000000" w:rsidP="00000000" w:rsidRDefault="00000000" w:rsidRPr="00000000" w14:paraId="0000004D">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Estudios centrados exclusivamente en churn, retención o abandono de clientes existentes sin problema explícito de prospectos.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E">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CE4</w:t>
            </w:r>
            <w:r w:rsidDel="00000000" w:rsidR="00000000" w:rsidRPr="00000000">
              <w:rPr>
                <w:rtl w:val="0"/>
              </w:rPr>
            </w:r>
          </w:p>
        </w:tc>
        <w:tc>
          <w:tcPr>
            <w:vAlign w:val="center"/>
          </w:tcPr>
          <w:p w:rsidR="00000000" w:rsidDel="00000000" w:rsidP="00000000" w:rsidRDefault="00000000" w:rsidRPr="00000000" w14:paraId="0000004F">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Exclusión</w:t>
            </w:r>
            <w:r w:rsidDel="00000000" w:rsidR="00000000" w:rsidRPr="00000000">
              <w:rPr>
                <w:rtl w:val="0"/>
              </w:rPr>
            </w:r>
          </w:p>
        </w:tc>
        <w:tc>
          <w:tcPr>
            <w:vAlign w:val="center"/>
          </w:tcPr>
          <w:p w:rsidR="00000000" w:rsidDel="00000000" w:rsidP="00000000" w:rsidRDefault="00000000" w:rsidRPr="00000000" w14:paraId="00000050">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Contexto comercial/CRM/ventas sin predicción, scoring, calificación o priorización de prospectos.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1">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CE5</w:t>
            </w:r>
            <w:r w:rsidDel="00000000" w:rsidR="00000000" w:rsidRPr="00000000">
              <w:rPr>
                <w:rtl w:val="0"/>
              </w:rPr>
            </w:r>
          </w:p>
        </w:tc>
        <w:tc>
          <w:tcPr>
            <w:vAlign w:val="center"/>
          </w:tcPr>
          <w:p w:rsidR="00000000" w:rsidDel="00000000" w:rsidP="00000000" w:rsidRDefault="00000000" w:rsidRPr="00000000" w14:paraId="00000052">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Exclusión</w:t>
            </w:r>
            <w:r w:rsidDel="00000000" w:rsidR="00000000" w:rsidRPr="00000000">
              <w:rPr>
                <w:rtl w:val="0"/>
              </w:rPr>
            </w:r>
          </w:p>
        </w:tc>
        <w:tc>
          <w:tcPr>
            <w:vAlign w:val="center"/>
          </w:tcPr>
          <w:p w:rsidR="00000000" w:rsidDel="00000000" w:rsidP="00000000" w:rsidRDefault="00000000" w:rsidRPr="00000000" w14:paraId="00000053">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La intervención principal no corresponde a Machine Learning o IA predictiva aplicable al objetivo de la RSL.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4">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CE6</w:t>
            </w:r>
            <w:r w:rsidDel="00000000" w:rsidR="00000000" w:rsidRPr="00000000">
              <w:rPr>
                <w:rtl w:val="0"/>
              </w:rPr>
            </w:r>
          </w:p>
        </w:tc>
        <w:tc>
          <w:tcPr>
            <w:vAlign w:val="center"/>
          </w:tcPr>
          <w:p w:rsidR="00000000" w:rsidDel="00000000" w:rsidP="00000000" w:rsidRDefault="00000000" w:rsidRPr="00000000" w14:paraId="00000055">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Exclusión</w:t>
            </w:r>
            <w:r w:rsidDel="00000000" w:rsidR="00000000" w:rsidRPr="00000000">
              <w:rPr>
                <w:rtl w:val="0"/>
              </w:rPr>
            </w:r>
          </w:p>
        </w:tc>
        <w:tc>
          <w:tcPr>
            <w:vAlign w:val="center"/>
          </w:tcPr>
          <w:p w:rsidR="00000000" w:rsidDel="00000000" w:rsidP="00000000" w:rsidRDefault="00000000" w:rsidRPr="00000000" w14:paraId="00000056">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Automatización, framework o propuesta conceptual sin evaluación del componente predictivo o de priorización.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7">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CE7</w:t>
            </w:r>
            <w:r w:rsidDel="00000000" w:rsidR="00000000" w:rsidRPr="00000000">
              <w:rPr>
                <w:rtl w:val="0"/>
              </w:rPr>
            </w:r>
          </w:p>
        </w:tc>
        <w:tc>
          <w:tcPr>
            <w:vAlign w:val="center"/>
          </w:tcPr>
          <w:p w:rsidR="00000000" w:rsidDel="00000000" w:rsidP="00000000" w:rsidRDefault="00000000" w:rsidRPr="00000000" w14:paraId="00000058">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Exclusión</w:t>
            </w:r>
            <w:r w:rsidDel="00000000" w:rsidR="00000000" w:rsidRPr="00000000">
              <w:rPr>
                <w:rtl w:val="0"/>
              </w:rPr>
            </w:r>
          </w:p>
        </w:tc>
        <w:tc>
          <w:tcPr>
            <w:vAlign w:val="center"/>
          </w:tcPr>
          <w:p w:rsidR="00000000" w:rsidDel="00000000" w:rsidP="00000000" w:rsidRDefault="00000000" w:rsidRPr="00000000" w14:paraId="00000059">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Caso docente, material no empírico o documento que no constituye estudio primario elegible.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A">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CE8</w:t>
            </w:r>
            <w:r w:rsidDel="00000000" w:rsidR="00000000" w:rsidRPr="00000000">
              <w:rPr>
                <w:rtl w:val="0"/>
              </w:rPr>
            </w:r>
          </w:p>
        </w:tc>
        <w:tc>
          <w:tcPr>
            <w:vAlign w:val="center"/>
          </w:tcPr>
          <w:p w:rsidR="00000000" w:rsidDel="00000000" w:rsidP="00000000" w:rsidRDefault="00000000" w:rsidRPr="00000000" w14:paraId="0000005B">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Exclusión</w:t>
            </w:r>
            <w:r w:rsidDel="00000000" w:rsidR="00000000" w:rsidRPr="00000000">
              <w:rPr>
                <w:rtl w:val="0"/>
              </w:rPr>
            </w:r>
          </w:p>
        </w:tc>
        <w:tc>
          <w:tcPr>
            <w:vAlign w:val="center"/>
          </w:tcPr>
          <w:p w:rsidR="00000000" w:rsidDel="00000000" w:rsidP="00000000" w:rsidRDefault="00000000" w:rsidRPr="00000000" w14:paraId="0000005C">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Revisión, survey o mapping study; se conserva como antecedente, pero no integra el corpus primario.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D">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CE9</w:t>
            </w:r>
            <w:r w:rsidDel="00000000" w:rsidR="00000000" w:rsidRPr="00000000">
              <w:rPr>
                <w:rtl w:val="0"/>
              </w:rPr>
            </w:r>
          </w:p>
        </w:tc>
        <w:tc>
          <w:tcPr>
            <w:vAlign w:val="center"/>
          </w:tcPr>
          <w:p w:rsidR="00000000" w:rsidDel="00000000" w:rsidP="00000000" w:rsidRDefault="00000000" w:rsidRPr="00000000" w14:paraId="0000005E">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Exclusión</w:t>
            </w:r>
            <w:r w:rsidDel="00000000" w:rsidR="00000000" w:rsidRPr="00000000">
              <w:rPr>
                <w:rtl w:val="0"/>
              </w:rPr>
            </w:r>
          </w:p>
        </w:tc>
        <w:tc>
          <w:tcPr>
            <w:vAlign w:val="center"/>
          </w:tcPr>
          <w:p w:rsidR="00000000" w:rsidDel="00000000" w:rsidP="00000000" w:rsidRDefault="00000000" w:rsidRPr="00000000" w14:paraId="0000005F">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No responde a ninguna pregunta de investigación o no aporta datos extraíbles para la síntesis.</w:t>
            </w:r>
            <w:r w:rsidDel="00000000" w:rsidR="00000000" w:rsidRPr="00000000">
              <w:rPr>
                <w:rtl w:val="0"/>
              </w:rPr>
            </w:r>
          </w:p>
        </w:tc>
      </w:tr>
    </w:tbl>
    <w:p w:rsidR="00000000" w:rsidDel="00000000" w:rsidP="00000000" w:rsidRDefault="00000000" w:rsidRPr="00000000" w14:paraId="00000060">
      <w:pPr>
        <w:keepNext w:val="1"/>
        <w:spacing w:after="20" w:before="80" w:lineRule="auto"/>
        <w:jc w:val="left"/>
        <w:rPr/>
      </w:pPr>
      <w:r w:rsidDel="00000000" w:rsidR="00000000" w:rsidRPr="00000000">
        <w:rPr>
          <w:rFonts w:ascii="Times New Roman" w:cs="Times New Roman" w:eastAsia="Times New Roman" w:hAnsi="Times New Roman"/>
          <w:i w:val="1"/>
          <w:iCs w:val="1"/>
          <w:sz w:val="20"/>
          <w:szCs w:val="20"/>
          <w:rtl w:val="0"/>
        </w:rPr>
        <w:t xml:space="preserve">D. Proceso de selección y flujo PRISMA</w:t>
      </w:r>
      <w:r w:rsidDel="00000000" w:rsidR="00000000" w:rsidRPr="00000000">
        <w:rPr>
          <w:rtl w:val="0"/>
        </w:rPr>
      </w:r>
    </w:p>
    <w:p w:rsidR="00000000" w:rsidDel="00000000" w:rsidP="00000000" w:rsidRDefault="00000000" w:rsidRPr="00000000" w14:paraId="00000061">
      <w:pPr>
        <w:spacing w:after="0" w:before="0" w:line="240" w:lineRule="auto"/>
        <w:ind w:firstLine="259"/>
        <w:jc w:val="both"/>
        <w:rPr/>
      </w:pPr>
      <w:r w:rsidDel="00000000" w:rsidR="00000000" w:rsidRPr="00000000">
        <w:rPr>
          <w:rFonts w:ascii="Times New Roman" w:cs="Times New Roman" w:eastAsia="Times New Roman" w:hAnsi="Times New Roman"/>
          <w:sz w:val="20"/>
          <w:szCs w:val="20"/>
          <w:rtl w:val="0"/>
        </w:rPr>
        <w:t xml:space="preserve">El proceso de selección se organizó de acuerdo con la lógica de PRISMA 2020 [7], adaptada al flujo operativo del curso en cuatro fases: identificación, cribado, elegibilidad e inclusión. En identificación se registraron la consulta, los filtros, la exportación y la deduplicación. En cribado se aplicaron los criterios CI/CE sobre los registros únicos. En elegibilidad se verificó la correspondencia de los estudios con el objeto de la RSL y con las preguntas de investigación. Finalmente, la fase de inclusión consolida el corpus que alimentará la síntesis de resultados.</w:t>
      </w:r>
      <w:r w:rsidDel="00000000" w:rsidR="00000000" w:rsidRPr="00000000">
        <w:rPr>
          <w:rtl w:val="0"/>
        </w:rPr>
      </w:r>
    </w:p>
    <w:p w:rsidR="00000000" w:rsidDel="00000000" w:rsidP="00000000" w:rsidRDefault="00000000" w:rsidRPr="00000000" w14:paraId="00000062">
      <w:pPr>
        <w:keepNext w:val="1"/>
        <w:spacing w:after="0" w:before="80" w:lineRule="auto"/>
        <w:jc w:val="center"/>
        <w:rPr/>
      </w:pPr>
      <w:r w:rsidDel="00000000" w:rsidR="00000000" w:rsidRPr="00000000">
        <w:rPr>
          <w:rFonts w:ascii="Times New Roman" w:cs="Times New Roman" w:eastAsia="Times New Roman" w:hAnsi="Times New Roman"/>
          <w:sz w:val="16"/>
          <w:szCs w:val="16"/>
          <w:rtl w:val="0"/>
        </w:rPr>
        <w:t xml:space="preserve">TABLE IV</w:t>
      </w:r>
      <w:r w:rsidDel="00000000" w:rsidR="00000000" w:rsidRPr="00000000">
        <w:rPr>
          <w:rtl w:val="0"/>
        </w:rPr>
      </w:r>
    </w:p>
    <w:p w:rsidR="00000000" w:rsidDel="00000000" w:rsidP="00000000" w:rsidRDefault="00000000" w:rsidRPr="00000000" w14:paraId="00000063">
      <w:pPr>
        <w:keepNext w:val="1"/>
        <w:spacing w:after="40" w:before="0" w:lineRule="auto"/>
        <w:jc w:val="center"/>
        <w:rPr/>
      </w:pPr>
      <w:r w:rsidDel="00000000" w:rsidR="00000000" w:rsidRPr="00000000">
        <w:rPr>
          <w:rFonts w:ascii="Times New Roman" w:cs="Times New Roman" w:eastAsia="Times New Roman" w:hAnsi="Times New Roman"/>
          <w:i w:val="1"/>
          <w:iCs w:val="1"/>
          <w:sz w:val="16"/>
          <w:szCs w:val="16"/>
          <w:rtl w:val="0"/>
        </w:rPr>
        <w:t xml:space="preserve">Trazabilidad del proceso de selección</w:t>
      </w:r>
      <w:r w:rsidDel="00000000" w:rsidR="00000000" w:rsidRPr="00000000">
        <w:rPr>
          <w:rtl w:val="0"/>
        </w:rPr>
      </w:r>
    </w:p>
    <w:tbl>
      <w:tblPr>
        <w:tblStyle w:val="Table4"/>
        <w:tblW w:w="4894.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036"/>
        <w:gridCol w:w="3110"/>
        <w:gridCol w:w="748"/>
        <w:tblGridChange w:id="0">
          <w:tblGrid>
            <w:gridCol w:w="1036"/>
            <w:gridCol w:w="3110"/>
            <w:gridCol w:w="748"/>
          </w:tblGrid>
        </w:tblGridChange>
      </w:tblGrid>
      <w:tr>
        <w:trPr>
          <w:cantSplit w:val="1"/>
          <w:tblHeader w:val="0"/>
        </w:trPr>
        <w:tc>
          <w:tcPr>
            <w:shd w:fill="d9d9d9" w:val="clear"/>
            <w:vAlign w:val="center"/>
          </w:tcPr>
          <w:p w:rsidR="00000000" w:rsidDel="00000000" w:rsidP="00000000" w:rsidRDefault="00000000" w:rsidRPr="00000000" w14:paraId="00000064">
            <w:pPr>
              <w:spacing w:after="0" w:before="0" w:line="240" w:lineRule="auto"/>
              <w:jc w:val="center"/>
              <w:rPr/>
            </w:pPr>
            <w:r w:rsidDel="00000000" w:rsidR="00000000" w:rsidRPr="00000000">
              <w:rPr>
                <w:rFonts w:ascii="Times New Roman" w:cs="Times New Roman" w:eastAsia="Times New Roman" w:hAnsi="Times New Roman"/>
                <w:b w:val="1"/>
                <w:bCs w:val="1"/>
                <w:sz w:val="13"/>
                <w:szCs w:val="13"/>
                <w:rtl w:val="0"/>
              </w:rPr>
              <w:t xml:space="preserve">Fase</w:t>
            </w:r>
            <w:r w:rsidDel="00000000" w:rsidR="00000000" w:rsidRPr="00000000">
              <w:rPr>
                <w:rtl w:val="0"/>
              </w:rPr>
            </w:r>
          </w:p>
        </w:tc>
        <w:tc>
          <w:tcPr>
            <w:shd w:fill="d9d9d9" w:val="clear"/>
            <w:vAlign w:val="center"/>
          </w:tcPr>
          <w:p w:rsidR="00000000" w:rsidDel="00000000" w:rsidP="00000000" w:rsidRDefault="00000000" w:rsidRPr="00000000" w14:paraId="00000065">
            <w:pPr>
              <w:spacing w:after="0" w:before="0" w:line="240" w:lineRule="auto"/>
              <w:jc w:val="center"/>
              <w:rPr/>
            </w:pPr>
            <w:r w:rsidDel="00000000" w:rsidR="00000000" w:rsidRPr="00000000">
              <w:rPr>
                <w:rFonts w:ascii="Times New Roman" w:cs="Times New Roman" w:eastAsia="Times New Roman" w:hAnsi="Times New Roman"/>
                <w:b w:val="1"/>
                <w:bCs w:val="1"/>
                <w:sz w:val="13"/>
                <w:szCs w:val="13"/>
                <w:rtl w:val="0"/>
              </w:rPr>
              <w:t xml:space="preserve">Evento</w:t>
            </w:r>
            <w:r w:rsidDel="00000000" w:rsidR="00000000" w:rsidRPr="00000000">
              <w:rPr>
                <w:rtl w:val="0"/>
              </w:rPr>
            </w:r>
          </w:p>
        </w:tc>
        <w:tc>
          <w:tcPr>
            <w:shd w:fill="d9d9d9" w:val="clear"/>
            <w:vAlign w:val="center"/>
          </w:tcPr>
          <w:p w:rsidR="00000000" w:rsidDel="00000000" w:rsidP="00000000" w:rsidRDefault="00000000" w:rsidRPr="00000000" w14:paraId="00000066">
            <w:pPr>
              <w:spacing w:after="0" w:before="0" w:line="240" w:lineRule="auto"/>
              <w:jc w:val="center"/>
              <w:rPr/>
            </w:pPr>
            <w:r w:rsidDel="00000000" w:rsidR="00000000" w:rsidRPr="00000000">
              <w:rPr>
                <w:rFonts w:ascii="Times New Roman" w:cs="Times New Roman" w:eastAsia="Times New Roman" w:hAnsi="Times New Roman"/>
                <w:b w:val="1"/>
                <w:bCs w:val="1"/>
                <w:sz w:val="13"/>
                <w:szCs w:val="13"/>
                <w:rtl w:val="0"/>
              </w:rPr>
              <w:t xml:space="preserv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7">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Identificación</w:t>
            </w:r>
            <w:r w:rsidDel="00000000" w:rsidR="00000000" w:rsidRPr="00000000">
              <w:rPr>
                <w:rtl w:val="0"/>
              </w:rPr>
            </w:r>
          </w:p>
        </w:tc>
        <w:tc>
          <w:tcPr>
            <w:vAlign w:val="center"/>
          </w:tcPr>
          <w:p w:rsidR="00000000" w:rsidDel="00000000" w:rsidP="00000000" w:rsidRDefault="00000000" w:rsidRPr="00000000" w14:paraId="00000068">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Registros brutos recuperados en Scopus</w:t>
            </w:r>
            <w:r w:rsidDel="00000000" w:rsidR="00000000" w:rsidRPr="00000000">
              <w:rPr>
                <w:rtl w:val="0"/>
              </w:rPr>
            </w:r>
          </w:p>
        </w:tc>
        <w:tc>
          <w:tcPr>
            <w:vAlign w:val="center"/>
          </w:tcPr>
          <w:p w:rsidR="00000000" w:rsidDel="00000000" w:rsidP="00000000" w:rsidRDefault="00000000" w:rsidRPr="00000000" w14:paraId="00000069">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2,262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A">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Identificación</w:t>
            </w:r>
            <w:r w:rsidDel="00000000" w:rsidR="00000000" w:rsidRPr="00000000">
              <w:rPr>
                <w:rtl w:val="0"/>
              </w:rPr>
            </w:r>
          </w:p>
        </w:tc>
        <w:tc>
          <w:tcPr>
            <w:vAlign w:val="center"/>
          </w:tcPr>
          <w:p w:rsidR="00000000" w:rsidDel="00000000" w:rsidP="00000000" w:rsidRDefault="00000000" w:rsidRPr="00000000" w14:paraId="0000006B">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Registros después de filtros nativos</w:t>
            </w:r>
            <w:r w:rsidDel="00000000" w:rsidR="00000000" w:rsidRPr="00000000">
              <w:rPr>
                <w:rtl w:val="0"/>
              </w:rPr>
            </w:r>
          </w:p>
        </w:tc>
        <w:tc>
          <w:tcPr>
            <w:vAlign w:val="center"/>
          </w:tcPr>
          <w:p w:rsidR="00000000" w:rsidDel="00000000" w:rsidP="00000000" w:rsidRDefault="00000000" w:rsidRPr="00000000" w14:paraId="0000006C">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1,462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D">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Identificación</w:t>
            </w:r>
            <w:r w:rsidDel="00000000" w:rsidR="00000000" w:rsidRPr="00000000">
              <w:rPr>
                <w:rtl w:val="0"/>
              </w:rPr>
            </w:r>
          </w:p>
        </w:tc>
        <w:tc>
          <w:tcPr>
            <w:vAlign w:val="center"/>
          </w:tcPr>
          <w:p w:rsidR="00000000" w:rsidDel="00000000" w:rsidP="00000000" w:rsidRDefault="00000000" w:rsidRPr="00000000" w14:paraId="0000006E">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Registros efectivamente exportados</w:t>
            </w:r>
            <w:r w:rsidDel="00000000" w:rsidR="00000000" w:rsidRPr="00000000">
              <w:rPr>
                <w:rtl w:val="0"/>
              </w:rPr>
            </w:r>
          </w:p>
        </w:tc>
        <w:tc>
          <w:tcPr>
            <w:vAlign w:val="center"/>
          </w:tcPr>
          <w:p w:rsidR="00000000" w:rsidDel="00000000" w:rsidP="00000000" w:rsidRDefault="00000000" w:rsidRPr="00000000" w14:paraId="0000006F">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1,460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0">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Identificación</w:t>
            </w:r>
            <w:r w:rsidDel="00000000" w:rsidR="00000000" w:rsidRPr="00000000">
              <w:rPr>
                <w:rtl w:val="0"/>
              </w:rPr>
            </w:r>
          </w:p>
        </w:tc>
        <w:tc>
          <w:tcPr>
            <w:vAlign w:val="center"/>
          </w:tcPr>
          <w:p w:rsidR="00000000" w:rsidDel="00000000" w:rsidP="00000000" w:rsidRDefault="00000000" w:rsidRPr="00000000" w14:paraId="00000071">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Duplicados internos retirados</w:t>
            </w:r>
            <w:r w:rsidDel="00000000" w:rsidR="00000000" w:rsidRPr="00000000">
              <w:rPr>
                <w:rtl w:val="0"/>
              </w:rPr>
            </w:r>
          </w:p>
        </w:tc>
        <w:tc>
          <w:tcPr>
            <w:vAlign w:val="center"/>
          </w:tcPr>
          <w:p w:rsidR="00000000" w:rsidDel="00000000" w:rsidP="00000000" w:rsidRDefault="00000000" w:rsidRPr="00000000" w14:paraId="00000072">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3">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Cribado</w:t>
            </w:r>
            <w:r w:rsidDel="00000000" w:rsidR="00000000" w:rsidRPr="00000000">
              <w:rPr>
                <w:rtl w:val="0"/>
              </w:rPr>
            </w:r>
          </w:p>
        </w:tc>
        <w:tc>
          <w:tcPr>
            <w:vAlign w:val="center"/>
          </w:tcPr>
          <w:p w:rsidR="00000000" w:rsidDel="00000000" w:rsidP="00000000" w:rsidRDefault="00000000" w:rsidRPr="00000000" w14:paraId="00000074">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Registros únicos evaluados</w:t>
            </w:r>
            <w:r w:rsidDel="00000000" w:rsidR="00000000" w:rsidRPr="00000000">
              <w:rPr>
                <w:rtl w:val="0"/>
              </w:rPr>
            </w:r>
          </w:p>
        </w:tc>
        <w:tc>
          <w:tcPr>
            <w:vAlign w:val="center"/>
          </w:tcPr>
          <w:p w:rsidR="00000000" w:rsidDel="00000000" w:rsidP="00000000" w:rsidRDefault="00000000" w:rsidRPr="00000000" w14:paraId="00000075">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1,458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6">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Cribado</w:t>
            </w:r>
            <w:r w:rsidDel="00000000" w:rsidR="00000000" w:rsidRPr="00000000">
              <w:rPr>
                <w:rtl w:val="0"/>
              </w:rPr>
            </w:r>
          </w:p>
        </w:tc>
        <w:tc>
          <w:tcPr>
            <w:vAlign w:val="center"/>
          </w:tcPr>
          <w:p w:rsidR="00000000" w:rsidDel="00000000" w:rsidP="00000000" w:rsidRDefault="00000000" w:rsidRPr="00000000" w14:paraId="00000077">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Registros excluidos</w:t>
            </w:r>
            <w:r w:rsidDel="00000000" w:rsidR="00000000" w:rsidRPr="00000000">
              <w:rPr>
                <w:rtl w:val="0"/>
              </w:rPr>
            </w:r>
          </w:p>
        </w:tc>
        <w:tc>
          <w:tcPr>
            <w:vAlign w:val="center"/>
          </w:tcPr>
          <w:p w:rsidR="00000000" w:rsidDel="00000000" w:rsidP="00000000" w:rsidRDefault="00000000" w:rsidRPr="00000000" w14:paraId="00000078">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1,417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9">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Elegibilidad</w:t>
            </w:r>
            <w:r w:rsidDel="00000000" w:rsidR="00000000" w:rsidRPr="00000000">
              <w:rPr>
                <w:rtl w:val="0"/>
              </w:rPr>
            </w:r>
          </w:p>
        </w:tc>
        <w:tc>
          <w:tcPr>
            <w:vAlign w:val="center"/>
          </w:tcPr>
          <w:p w:rsidR="00000000" w:rsidDel="00000000" w:rsidP="00000000" w:rsidRDefault="00000000" w:rsidRPr="00000000" w14:paraId="0000007A">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Registros que continúan a evaluación</w:t>
            </w:r>
            <w:r w:rsidDel="00000000" w:rsidR="00000000" w:rsidRPr="00000000">
              <w:rPr>
                <w:rtl w:val="0"/>
              </w:rPr>
            </w:r>
          </w:p>
        </w:tc>
        <w:tc>
          <w:tcPr>
            <w:vAlign w:val="center"/>
          </w:tcPr>
          <w:p w:rsidR="00000000" w:rsidDel="00000000" w:rsidP="00000000" w:rsidRDefault="00000000" w:rsidRPr="00000000" w14:paraId="0000007B">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C">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Elegibilidad</w:t>
            </w:r>
            <w:r w:rsidDel="00000000" w:rsidR="00000000" w:rsidRPr="00000000">
              <w:rPr>
                <w:rtl w:val="0"/>
              </w:rPr>
            </w:r>
          </w:p>
        </w:tc>
        <w:tc>
          <w:tcPr>
            <w:vAlign w:val="center"/>
          </w:tcPr>
          <w:p w:rsidR="00000000" w:rsidDel="00000000" w:rsidP="00000000" w:rsidRDefault="00000000" w:rsidRPr="00000000" w14:paraId="0000007D">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Estudios mantenidos en el conjunto de análisis actual</w:t>
            </w:r>
            <w:r w:rsidDel="00000000" w:rsidR="00000000" w:rsidRPr="00000000">
              <w:rPr>
                <w:rtl w:val="0"/>
              </w:rPr>
            </w:r>
          </w:p>
        </w:tc>
        <w:tc>
          <w:tcPr>
            <w:vAlign w:val="center"/>
          </w:tcPr>
          <w:p w:rsidR="00000000" w:rsidDel="00000000" w:rsidP="00000000" w:rsidRDefault="00000000" w:rsidRPr="00000000" w14:paraId="0000007E">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F">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Elegibilidad</w:t>
            </w:r>
            <w:r w:rsidDel="00000000" w:rsidR="00000000" w:rsidRPr="00000000">
              <w:rPr>
                <w:rtl w:val="0"/>
              </w:rPr>
            </w:r>
          </w:p>
        </w:tc>
        <w:tc>
          <w:tcPr>
            <w:vAlign w:val="center"/>
          </w:tcPr>
          <w:p w:rsidR="00000000" w:rsidDel="00000000" w:rsidP="00000000" w:rsidRDefault="00000000" w:rsidRPr="00000000" w14:paraId="00000080">
            <w:pPr>
              <w:spacing w:after="0" w:before="0" w:line="240" w:lineRule="auto"/>
              <w:jc w:val="left"/>
              <w:rPr/>
            </w:pPr>
            <w:r w:rsidDel="00000000" w:rsidR="00000000" w:rsidRPr="00000000">
              <w:rPr>
                <w:rFonts w:ascii="Times New Roman" w:cs="Times New Roman" w:eastAsia="Times New Roman" w:hAnsi="Times New Roman"/>
                <w:b w:val="0"/>
                <w:bCs w:val="0"/>
                <w:sz w:val="13"/>
                <w:szCs w:val="13"/>
                <w:rtl w:val="0"/>
              </w:rPr>
              <w:t xml:space="preserve">Estudios descartados en esta etapa</w:t>
            </w:r>
            <w:r w:rsidDel="00000000" w:rsidR="00000000" w:rsidRPr="00000000">
              <w:rPr>
                <w:rtl w:val="0"/>
              </w:rPr>
            </w:r>
          </w:p>
        </w:tc>
        <w:tc>
          <w:tcPr>
            <w:vAlign w:val="center"/>
          </w:tcPr>
          <w:p w:rsidR="00000000" w:rsidDel="00000000" w:rsidP="00000000" w:rsidRDefault="00000000" w:rsidRPr="00000000" w14:paraId="00000081">
            <w:pPr>
              <w:spacing w:after="0" w:before="0" w:line="240" w:lineRule="auto"/>
              <w:jc w:val="center"/>
              <w:rPr/>
            </w:pPr>
            <w:r w:rsidDel="00000000" w:rsidR="00000000" w:rsidRPr="00000000">
              <w:rPr>
                <w:rFonts w:ascii="Times New Roman" w:cs="Times New Roman" w:eastAsia="Times New Roman" w:hAnsi="Times New Roman"/>
                <w:b w:val="0"/>
                <w:bCs w:val="0"/>
                <w:sz w:val="13"/>
                <w:szCs w:val="13"/>
                <w:rtl w:val="0"/>
              </w:rPr>
              <w:t xml:space="preserve">10</w:t>
            </w:r>
            <w:r w:rsidDel="00000000" w:rsidR="00000000" w:rsidRPr="00000000">
              <w:rPr>
                <w:rtl w:val="0"/>
              </w:rPr>
            </w:r>
          </w:p>
        </w:tc>
      </w:tr>
    </w:tbl>
    <w:p w:rsidR="00000000" w:rsidDel="00000000" w:rsidP="00000000" w:rsidRDefault="00000000" w:rsidRPr="00000000" w14:paraId="00000082">
      <w:pPr>
        <w:spacing w:after="0" w:before="0" w:line="240" w:lineRule="auto"/>
        <w:ind w:firstLine="259"/>
        <w:jc w:val="both"/>
        <w:rPr/>
      </w:pPr>
      <w:r w:rsidDel="00000000" w:rsidR="00000000" w:rsidRPr="00000000">
        <w:rPr>
          <w:rFonts w:ascii="Times New Roman" w:cs="Times New Roman" w:eastAsia="Times New Roman" w:hAnsi="Times New Roman"/>
          <w:sz w:val="20"/>
          <w:szCs w:val="20"/>
          <w:rtl w:val="0"/>
        </w:rPr>
        <w:t xml:space="preserve">La trazabilidad numérica se mantuvo en cada reducción del corpus. En el estado actual de la revisión, 31 estudios permanecen en el conjunto de análisis. El número definitivo de estudios incluidos se consolidará después de completar la evaluación de calidad y la verificación de consistencia de los datos extraídos.</w:t>
      </w:r>
      <w:r w:rsidDel="00000000" w:rsidR="00000000" w:rsidRPr="00000000">
        <w:rPr>
          <w:rtl w:val="0"/>
        </w:rPr>
      </w:r>
    </w:p>
    <w:p w:rsidR="00000000" w:rsidDel="00000000" w:rsidP="00000000" w:rsidRDefault="00000000" w:rsidRPr="00000000" w14:paraId="00000083">
      <w:pPr>
        <w:keepNext w:val="1"/>
        <w:spacing w:after="20" w:before="80" w:lineRule="auto"/>
        <w:jc w:val="left"/>
        <w:rPr/>
      </w:pPr>
      <w:r w:rsidDel="00000000" w:rsidR="00000000" w:rsidRPr="00000000">
        <w:rPr>
          <w:rFonts w:ascii="Times New Roman" w:cs="Times New Roman" w:eastAsia="Times New Roman" w:hAnsi="Times New Roman"/>
          <w:i w:val="1"/>
          <w:iCs w:val="1"/>
          <w:sz w:val="20"/>
          <w:szCs w:val="20"/>
          <w:rtl w:val="0"/>
        </w:rPr>
        <w:t xml:space="preserve">E. Evaluación de calidad de los estudios</w:t>
      </w:r>
      <w:r w:rsidDel="00000000" w:rsidR="00000000" w:rsidRPr="00000000">
        <w:rPr>
          <w:rtl w:val="0"/>
        </w:rPr>
      </w:r>
    </w:p>
    <w:p w:rsidR="00000000" w:rsidDel="00000000" w:rsidP="00000000" w:rsidRDefault="00000000" w:rsidRPr="00000000" w14:paraId="00000084">
      <w:pPr>
        <w:spacing w:after="60" w:before="0" w:line="240" w:lineRule="auto"/>
        <w:ind w:firstLine="259"/>
        <w:jc w:val="both"/>
        <w:rPr/>
      </w:pPr>
      <w:r w:rsidDel="00000000" w:rsidR="00000000" w:rsidRPr="00000000">
        <w:rPr>
          <w:rFonts w:ascii="Times New Roman" w:cs="Times New Roman" w:eastAsia="Times New Roman" w:hAnsi="Times New Roman"/>
          <w:sz w:val="20"/>
          <w:szCs w:val="20"/>
          <w:rtl w:val="0"/>
        </w:rPr>
        <w:t xml:space="preserve">Para valorar la calidad metodológica de los estudios seleccionados se utilizó un instrumento QA1–QA5, alineado con criterios empleados en revisiones sistemáticas de ingeniería de software [8]. Cada criterio recibe 1 punto cuando se cumple, 0.5 cuando se cumple parcialmente y 0 cuando no se encuentra evidencia suficiente. Para fines del avance, se aplicó una matriz preliminar de puntuación a los 31 estudios seleccionados, tomando como referencia la información disponible en los registros bibliográficos. Esta valoración es orientativa y deberá confirmarse durante la revisión integral del corpus.</w:t>
      </w:r>
      <w:r w:rsidDel="00000000" w:rsidR="00000000" w:rsidRPr="00000000">
        <w:rPr>
          <w:rtl w:val="0"/>
        </w:rPr>
      </w:r>
    </w:p>
    <w:p w:rsidR="00000000" w:rsidDel="00000000" w:rsidP="00000000" w:rsidRDefault="00000000" w:rsidRPr="00000000" w14:paraId="00000085">
      <w:pPr>
        <w:keepNext w:val="1"/>
        <w:spacing w:after="0" w:before="80" w:lineRule="auto"/>
        <w:jc w:val="center"/>
        <w:rPr/>
      </w:pPr>
      <w:r w:rsidDel="00000000" w:rsidR="00000000" w:rsidRPr="00000000">
        <w:rPr>
          <w:rFonts w:ascii="Times New Roman" w:cs="Times New Roman" w:eastAsia="Times New Roman" w:hAnsi="Times New Roman"/>
          <w:sz w:val="16"/>
          <w:szCs w:val="16"/>
          <w:rtl w:val="0"/>
        </w:rPr>
        <w:t xml:space="preserve">TABLE V</w:t>
      </w:r>
      <w:r w:rsidDel="00000000" w:rsidR="00000000" w:rsidRPr="00000000">
        <w:rPr>
          <w:rtl w:val="0"/>
        </w:rPr>
      </w:r>
    </w:p>
    <w:p w:rsidR="00000000" w:rsidDel="00000000" w:rsidP="00000000" w:rsidRDefault="00000000" w:rsidRPr="00000000" w14:paraId="00000086">
      <w:pPr>
        <w:keepNext w:val="1"/>
        <w:spacing w:after="40" w:before="0" w:lineRule="auto"/>
        <w:jc w:val="center"/>
        <w:rPr/>
      </w:pPr>
      <w:r w:rsidDel="00000000" w:rsidR="00000000" w:rsidRPr="00000000">
        <w:rPr>
          <w:rFonts w:ascii="Times New Roman" w:cs="Times New Roman" w:eastAsia="Times New Roman" w:hAnsi="Times New Roman"/>
          <w:i w:val="1"/>
          <w:iCs w:val="1"/>
          <w:sz w:val="16"/>
          <w:szCs w:val="16"/>
          <w:rtl w:val="0"/>
        </w:rPr>
        <w:t xml:space="preserve">Criterios de evaluación de calidad (QA)</w:t>
      </w:r>
      <w:r w:rsidDel="00000000" w:rsidR="00000000" w:rsidRPr="00000000">
        <w:rPr>
          <w:rtl w:val="0"/>
        </w:rPr>
      </w:r>
    </w:p>
    <w:tbl>
      <w:tblPr>
        <w:tblStyle w:val="Table5"/>
        <w:tblW w:w="489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648"/>
        <w:gridCol w:w="3096"/>
        <w:gridCol w:w="1152"/>
        <w:tblGridChange w:id="0">
          <w:tblGrid>
            <w:gridCol w:w="648"/>
            <w:gridCol w:w="3096"/>
            <w:gridCol w:w="1152"/>
          </w:tblGrid>
        </w:tblGridChange>
      </w:tblGrid>
      <w:tr>
        <w:trPr>
          <w:cantSplit w:val="1"/>
          <w:tblHeader w:val="0"/>
        </w:trPr>
        <w:tc>
          <w:tcPr>
            <w:shd w:fill="d9d9d9" w:val="clear"/>
            <w:vAlign w:val="center"/>
          </w:tcPr>
          <w:p w:rsidR="00000000" w:rsidDel="00000000" w:rsidP="00000000" w:rsidRDefault="00000000" w:rsidRPr="00000000" w14:paraId="00000087">
            <w:pPr>
              <w:spacing w:after="0" w:before="0" w:line="240" w:lineRule="auto"/>
              <w:jc w:val="center"/>
              <w:rPr/>
            </w:pPr>
            <w:r w:rsidDel="00000000" w:rsidR="00000000" w:rsidRPr="00000000">
              <w:rPr>
                <w:rFonts w:ascii="Times New Roman" w:cs="Times New Roman" w:eastAsia="Times New Roman" w:hAnsi="Times New Roman"/>
                <w:b w:val="1"/>
                <w:bCs w:val="1"/>
                <w:sz w:val="16"/>
                <w:szCs w:val="16"/>
                <w:rtl w:val="0"/>
              </w:rPr>
              <w:t xml:space="preserve">Código</w:t>
            </w:r>
            <w:r w:rsidDel="00000000" w:rsidR="00000000" w:rsidRPr="00000000">
              <w:rPr>
                <w:rtl w:val="0"/>
              </w:rPr>
            </w:r>
          </w:p>
        </w:tc>
        <w:tc>
          <w:tcPr>
            <w:shd w:fill="d9d9d9" w:val="clear"/>
            <w:vAlign w:val="center"/>
          </w:tcPr>
          <w:p w:rsidR="00000000" w:rsidDel="00000000" w:rsidP="00000000" w:rsidRDefault="00000000" w:rsidRPr="00000000" w14:paraId="00000088">
            <w:pPr>
              <w:spacing w:after="0" w:before="0" w:line="240" w:lineRule="auto"/>
              <w:jc w:val="left"/>
              <w:rPr/>
            </w:pPr>
            <w:r w:rsidDel="00000000" w:rsidR="00000000" w:rsidRPr="00000000">
              <w:rPr>
                <w:rFonts w:ascii="Times New Roman" w:cs="Times New Roman" w:eastAsia="Times New Roman" w:hAnsi="Times New Roman"/>
                <w:b w:val="1"/>
                <w:bCs w:val="1"/>
                <w:sz w:val="16"/>
                <w:szCs w:val="16"/>
                <w:rtl w:val="0"/>
              </w:rPr>
              <w:t xml:space="preserve">Pregunta de calidad</w:t>
            </w:r>
            <w:r w:rsidDel="00000000" w:rsidR="00000000" w:rsidRPr="00000000">
              <w:rPr>
                <w:rtl w:val="0"/>
              </w:rPr>
            </w:r>
          </w:p>
        </w:tc>
        <w:tc>
          <w:tcPr>
            <w:shd w:fill="d9d9d9" w:val="clear"/>
            <w:vAlign w:val="center"/>
          </w:tcPr>
          <w:p w:rsidR="00000000" w:rsidDel="00000000" w:rsidP="00000000" w:rsidRDefault="00000000" w:rsidRPr="00000000" w14:paraId="00000089">
            <w:pPr>
              <w:spacing w:after="0" w:before="0" w:line="240" w:lineRule="auto"/>
              <w:jc w:val="center"/>
              <w:rPr/>
            </w:pPr>
            <w:r w:rsidDel="00000000" w:rsidR="00000000" w:rsidRPr="00000000">
              <w:rPr>
                <w:rFonts w:ascii="Times New Roman" w:cs="Times New Roman" w:eastAsia="Times New Roman" w:hAnsi="Times New Roman"/>
                <w:b w:val="1"/>
                <w:bCs w:val="1"/>
                <w:sz w:val="16"/>
                <w:szCs w:val="16"/>
                <w:rtl w:val="0"/>
              </w:rPr>
              <w:t xml:space="preserve">Puntuación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A">
            <w:pPr>
              <w:spacing w:after="0" w:before="0" w:line="240" w:lineRule="auto"/>
              <w:jc w:val="center"/>
              <w:rPr/>
            </w:pPr>
            <w:r w:rsidDel="00000000" w:rsidR="00000000" w:rsidRPr="00000000">
              <w:rPr>
                <w:rFonts w:ascii="Times New Roman" w:cs="Times New Roman" w:eastAsia="Times New Roman" w:hAnsi="Times New Roman"/>
                <w:b w:val="0"/>
                <w:bCs w:val="0"/>
                <w:sz w:val="16"/>
                <w:szCs w:val="16"/>
                <w:rtl w:val="0"/>
              </w:rPr>
              <w:t xml:space="preserve">QA1</w:t>
            </w:r>
            <w:r w:rsidDel="00000000" w:rsidR="00000000" w:rsidRPr="00000000">
              <w:rPr>
                <w:rtl w:val="0"/>
              </w:rPr>
            </w:r>
          </w:p>
        </w:tc>
        <w:tc>
          <w:tcPr>
            <w:vAlign w:val="center"/>
          </w:tcPr>
          <w:p w:rsidR="00000000" w:rsidDel="00000000" w:rsidP="00000000" w:rsidRDefault="00000000" w:rsidRPr="00000000" w14:paraId="0000008B">
            <w:pPr>
              <w:spacing w:after="0" w:before="0" w:line="240" w:lineRule="auto"/>
              <w:jc w:val="left"/>
              <w:rPr/>
            </w:pPr>
            <w:r w:rsidDel="00000000" w:rsidR="00000000" w:rsidRPr="00000000">
              <w:rPr>
                <w:rFonts w:ascii="Times New Roman" w:cs="Times New Roman" w:eastAsia="Times New Roman" w:hAnsi="Times New Roman"/>
                <w:b w:val="0"/>
                <w:bCs w:val="0"/>
                <w:sz w:val="16"/>
                <w:szCs w:val="16"/>
                <w:rtl w:val="0"/>
              </w:rPr>
              <w:t xml:space="preserve">¿El objetivo y el problema de predicción/priorización están claramente definidos?</w:t>
            </w:r>
            <w:r w:rsidDel="00000000" w:rsidR="00000000" w:rsidRPr="00000000">
              <w:rPr>
                <w:rtl w:val="0"/>
              </w:rPr>
            </w:r>
          </w:p>
        </w:tc>
        <w:tc>
          <w:tcPr>
            <w:vAlign w:val="center"/>
          </w:tcPr>
          <w:p w:rsidR="00000000" w:rsidDel="00000000" w:rsidP="00000000" w:rsidRDefault="00000000" w:rsidRPr="00000000" w14:paraId="0000008C">
            <w:pPr>
              <w:jc w:val="center"/>
              <w:rPr/>
            </w:pPr>
            <w:r w:rsidDel="00000000" w:rsidR="00000000" w:rsidRPr="00000000">
              <w:rPr>
                <w:rFonts w:ascii="Times New Roman" w:cs="Times New Roman" w:eastAsia="Times New Roman" w:hAnsi="Times New Roman"/>
                <w:sz w:val="16"/>
                <w:szCs w:val="16"/>
                <w:rtl w:val="0"/>
              </w:rPr>
              <w:t xml:space="preserve">Sí = 1</w:t>
              <w:br w:type="textWrapping"/>
              <w:t xml:space="preserve">Parcial = 0.5</w:t>
              <w:br w:type="textWrapping"/>
              <w:t xml:space="preserve">No =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D">
            <w:pPr>
              <w:spacing w:after="0" w:before="0" w:line="240" w:lineRule="auto"/>
              <w:jc w:val="center"/>
              <w:rPr/>
            </w:pPr>
            <w:r w:rsidDel="00000000" w:rsidR="00000000" w:rsidRPr="00000000">
              <w:rPr>
                <w:rFonts w:ascii="Times New Roman" w:cs="Times New Roman" w:eastAsia="Times New Roman" w:hAnsi="Times New Roman"/>
                <w:b w:val="0"/>
                <w:bCs w:val="0"/>
                <w:sz w:val="16"/>
                <w:szCs w:val="16"/>
                <w:rtl w:val="0"/>
              </w:rPr>
              <w:t xml:space="preserve">QA2</w:t>
            </w:r>
            <w:r w:rsidDel="00000000" w:rsidR="00000000" w:rsidRPr="00000000">
              <w:rPr>
                <w:rtl w:val="0"/>
              </w:rPr>
            </w:r>
          </w:p>
        </w:tc>
        <w:tc>
          <w:tcPr>
            <w:vAlign w:val="center"/>
          </w:tcPr>
          <w:p w:rsidR="00000000" w:rsidDel="00000000" w:rsidP="00000000" w:rsidRDefault="00000000" w:rsidRPr="00000000" w14:paraId="0000008E">
            <w:pPr>
              <w:spacing w:after="0" w:before="0" w:line="240" w:lineRule="auto"/>
              <w:jc w:val="left"/>
              <w:rPr/>
            </w:pPr>
            <w:r w:rsidDel="00000000" w:rsidR="00000000" w:rsidRPr="00000000">
              <w:rPr>
                <w:rFonts w:ascii="Times New Roman" w:cs="Times New Roman" w:eastAsia="Times New Roman" w:hAnsi="Times New Roman"/>
                <w:b w:val="0"/>
                <w:bCs w:val="0"/>
                <w:sz w:val="16"/>
                <w:szCs w:val="16"/>
                <w:rtl w:val="0"/>
              </w:rPr>
              <w:t xml:space="preserve">¿El conjunto de datos, las variables y la variable objetivo están descritos con suficiente detalle?</w:t>
            </w:r>
            <w:r w:rsidDel="00000000" w:rsidR="00000000" w:rsidRPr="00000000">
              <w:rPr>
                <w:rtl w:val="0"/>
              </w:rPr>
            </w:r>
          </w:p>
        </w:tc>
        <w:tc>
          <w:tcPr>
            <w:vAlign w:val="center"/>
          </w:tcPr>
          <w:p w:rsidR="00000000" w:rsidDel="00000000" w:rsidP="00000000" w:rsidRDefault="00000000" w:rsidRPr="00000000" w14:paraId="0000008F">
            <w:pPr>
              <w:jc w:val="center"/>
              <w:rPr/>
            </w:pPr>
            <w:r w:rsidDel="00000000" w:rsidR="00000000" w:rsidRPr="00000000">
              <w:rPr>
                <w:rFonts w:ascii="Times New Roman" w:cs="Times New Roman" w:eastAsia="Times New Roman" w:hAnsi="Times New Roman"/>
                <w:sz w:val="16"/>
                <w:szCs w:val="16"/>
                <w:rtl w:val="0"/>
              </w:rPr>
              <w:t xml:space="preserve">Sí = 1</w:t>
              <w:br w:type="textWrapping"/>
              <w:t xml:space="preserve">Parcial = 0.5</w:t>
              <w:br w:type="textWrapping"/>
              <w:t xml:space="preserve">No =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0">
            <w:pPr>
              <w:spacing w:after="0" w:before="0" w:line="240" w:lineRule="auto"/>
              <w:jc w:val="center"/>
              <w:rPr/>
            </w:pPr>
            <w:r w:rsidDel="00000000" w:rsidR="00000000" w:rsidRPr="00000000">
              <w:rPr>
                <w:rFonts w:ascii="Times New Roman" w:cs="Times New Roman" w:eastAsia="Times New Roman" w:hAnsi="Times New Roman"/>
                <w:b w:val="0"/>
                <w:bCs w:val="0"/>
                <w:sz w:val="16"/>
                <w:szCs w:val="16"/>
                <w:rtl w:val="0"/>
              </w:rPr>
              <w:t xml:space="preserve">QA3</w:t>
            </w:r>
            <w:r w:rsidDel="00000000" w:rsidR="00000000" w:rsidRPr="00000000">
              <w:rPr>
                <w:rtl w:val="0"/>
              </w:rPr>
            </w:r>
          </w:p>
        </w:tc>
        <w:tc>
          <w:tcPr>
            <w:vAlign w:val="center"/>
          </w:tcPr>
          <w:p w:rsidR="00000000" w:rsidDel="00000000" w:rsidP="00000000" w:rsidRDefault="00000000" w:rsidRPr="00000000" w14:paraId="00000091">
            <w:pPr>
              <w:spacing w:after="0" w:before="0" w:line="240" w:lineRule="auto"/>
              <w:jc w:val="left"/>
              <w:rPr/>
            </w:pPr>
            <w:r w:rsidDel="00000000" w:rsidR="00000000" w:rsidRPr="00000000">
              <w:rPr>
                <w:rFonts w:ascii="Times New Roman" w:cs="Times New Roman" w:eastAsia="Times New Roman" w:hAnsi="Times New Roman"/>
                <w:b w:val="0"/>
                <w:bCs w:val="0"/>
                <w:sz w:val="16"/>
                <w:szCs w:val="16"/>
                <w:rtl w:val="0"/>
              </w:rPr>
              <w:t xml:space="preserve">¿La metodología del modelo y el procedimiento de validación son comprensibles y reproducibles?</w:t>
            </w:r>
            <w:r w:rsidDel="00000000" w:rsidR="00000000" w:rsidRPr="00000000">
              <w:rPr>
                <w:rtl w:val="0"/>
              </w:rPr>
            </w:r>
          </w:p>
        </w:tc>
        <w:tc>
          <w:tcPr>
            <w:vAlign w:val="center"/>
          </w:tcPr>
          <w:p w:rsidR="00000000" w:rsidDel="00000000" w:rsidP="00000000" w:rsidRDefault="00000000" w:rsidRPr="00000000" w14:paraId="00000092">
            <w:pPr>
              <w:jc w:val="center"/>
              <w:rPr/>
            </w:pPr>
            <w:r w:rsidDel="00000000" w:rsidR="00000000" w:rsidRPr="00000000">
              <w:rPr>
                <w:rFonts w:ascii="Times New Roman" w:cs="Times New Roman" w:eastAsia="Times New Roman" w:hAnsi="Times New Roman"/>
                <w:sz w:val="16"/>
                <w:szCs w:val="16"/>
                <w:rtl w:val="0"/>
              </w:rPr>
              <w:t xml:space="preserve">Sí = 1</w:t>
              <w:br w:type="textWrapping"/>
              <w:t xml:space="preserve">Parcial = 0.5</w:t>
              <w:br w:type="textWrapping"/>
              <w:t xml:space="preserve">No =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3">
            <w:pPr>
              <w:spacing w:after="0" w:before="0" w:line="240" w:lineRule="auto"/>
              <w:jc w:val="center"/>
              <w:rPr/>
            </w:pPr>
            <w:r w:rsidDel="00000000" w:rsidR="00000000" w:rsidRPr="00000000">
              <w:rPr>
                <w:rFonts w:ascii="Times New Roman" w:cs="Times New Roman" w:eastAsia="Times New Roman" w:hAnsi="Times New Roman"/>
                <w:b w:val="0"/>
                <w:bCs w:val="0"/>
                <w:sz w:val="16"/>
                <w:szCs w:val="16"/>
                <w:rtl w:val="0"/>
              </w:rPr>
              <w:t xml:space="preserve">QA4</w:t>
            </w:r>
            <w:r w:rsidDel="00000000" w:rsidR="00000000" w:rsidRPr="00000000">
              <w:rPr>
                <w:rtl w:val="0"/>
              </w:rPr>
            </w:r>
          </w:p>
        </w:tc>
        <w:tc>
          <w:tcPr>
            <w:vAlign w:val="center"/>
          </w:tcPr>
          <w:p w:rsidR="00000000" w:rsidDel="00000000" w:rsidP="00000000" w:rsidRDefault="00000000" w:rsidRPr="00000000" w14:paraId="00000094">
            <w:pPr>
              <w:spacing w:after="0" w:before="0" w:line="240" w:lineRule="auto"/>
              <w:jc w:val="left"/>
              <w:rPr/>
            </w:pPr>
            <w:r w:rsidDel="00000000" w:rsidR="00000000" w:rsidRPr="00000000">
              <w:rPr>
                <w:rFonts w:ascii="Times New Roman" w:cs="Times New Roman" w:eastAsia="Times New Roman" w:hAnsi="Times New Roman"/>
                <w:b w:val="0"/>
                <w:bCs w:val="0"/>
                <w:sz w:val="16"/>
                <w:szCs w:val="16"/>
                <w:rtl w:val="0"/>
              </w:rPr>
              <w:t xml:space="preserve">¿Las métricas de evaluación son pertinentes para el problema y se reportan con claridad?</w:t>
            </w:r>
            <w:r w:rsidDel="00000000" w:rsidR="00000000" w:rsidRPr="00000000">
              <w:rPr>
                <w:rtl w:val="0"/>
              </w:rPr>
            </w:r>
          </w:p>
        </w:tc>
        <w:tc>
          <w:tcPr>
            <w:vAlign w:val="center"/>
          </w:tcPr>
          <w:p w:rsidR="00000000" w:rsidDel="00000000" w:rsidP="00000000" w:rsidRDefault="00000000" w:rsidRPr="00000000" w14:paraId="00000095">
            <w:pPr>
              <w:jc w:val="center"/>
              <w:rPr/>
            </w:pPr>
            <w:r w:rsidDel="00000000" w:rsidR="00000000" w:rsidRPr="00000000">
              <w:rPr>
                <w:rFonts w:ascii="Times New Roman" w:cs="Times New Roman" w:eastAsia="Times New Roman" w:hAnsi="Times New Roman"/>
                <w:sz w:val="16"/>
                <w:szCs w:val="16"/>
                <w:rtl w:val="0"/>
              </w:rPr>
              <w:t xml:space="preserve">Sí = 1</w:t>
              <w:br w:type="textWrapping"/>
              <w:t xml:space="preserve">Parcial = 0.5</w:t>
              <w:br w:type="textWrapping"/>
              <w:t xml:space="preserve">No =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6">
            <w:pPr>
              <w:spacing w:after="0" w:before="0" w:line="240" w:lineRule="auto"/>
              <w:jc w:val="center"/>
              <w:rPr/>
            </w:pPr>
            <w:r w:rsidDel="00000000" w:rsidR="00000000" w:rsidRPr="00000000">
              <w:rPr>
                <w:rFonts w:ascii="Times New Roman" w:cs="Times New Roman" w:eastAsia="Times New Roman" w:hAnsi="Times New Roman"/>
                <w:b w:val="0"/>
                <w:bCs w:val="0"/>
                <w:sz w:val="16"/>
                <w:szCs w:val="16"/>
                <w:rtl w:val="0"/>
              </w:rPr>
              <w:t xml:space="preserve">QA5</w:t>
            </w:r>
            <w:r w:rsidDel="00000000" w:rsidR="00000000" w:rsidRPr="00000000">
              <w:rPr>
                <w:rtl w:val="0"/>
              </w:rPr>
            </w:r>
          </w:p>
        </w:tc>
        <w:tc>
          <w:tcPr>
            <w:vAlign w:val="center"/>
          </w:tcPr>
          <w:p w:rsidR="00000000" w:rsidDel="00000000" w:rsidP="00000000" w:rsidRDefault="00000000" w:rsidRPr="00000000" w14:paraId="00000097">
            <w:pPr>
              <w:spacing w:after="0" w:before="0" w:line="240" w:lineRule="auto"/>
              <w:jc w:val="left"/>
              <w:rPr/>
            </w:pPr>
            <w:r w:rsidDel="00000000" w:rsidR="00000000" w:rsidRPr="00000000">
              <w:rPr>
                <w:rFonts w:ascii="Times New Roman" w:cs="Times New Roman" w:eastAsia="Times New Roman" w:hAnsi="Times New Roman"/>
                <w:b w:val="0"/>
                <w:bCs w:val="0"/>
                <w:sz w:val="16"/>
                <w:szCs w:val="16"/>
                <w:rtl w:val="0"/>
              </w:rPr>
              <w:t xml:space="preserve">¿El estudio declara limitaciones o amenazas a la validez/generalización?</w:t>
            </w:r>
            <w:r w:rsidDel="00000000" w:rsidR="00000000" w:rsidRPr="00000000">
              <w:rPr>
                <w:rtl w:val="0"/>
              </w:rPr>
            </w:r>
          </w:p>
        </w:tc>
        <w:tc>
          <w:tcPr>
            <w:vAlign w:val="center"/>
          </w:tcPr>
          <w:p w:rsidR="00000000" w:rsidDel="00000000" w:rsidP="00000000" w:rsidRDefault="00000000" w:rsidRPr="00000000" w14:paraId="00000098">
            <w:pPr>
              <w:jc w:val="center"/>
              <w:rPr/>
            </w:pPr>
            <w:r w:rsidDel="00000000" w:rsidR="00000000" w:rsidRPr="00000000">
              <w:rPr>
                <w:rFonts w:ascii="Times New Roman" w:cs="Times New Roman" w:eastAsia="Times New Roman" w:hAnsi="Times New Roman"/>
                <w:sz w:val="16"/>
                <w:szCs w:val="16"/>
                <w:rtl w:val="0"/>
              </w:rPr>
              <w:t xml:space="preserve">Sí = 1</w:t>
              <w:br w:type="textWrapping"/>
              <w:t xml:space="preserve">Parcial = 0.5</w:t>
              <w:br w:type="textWrapping"/>
              <w:t xml:space="preserve">No = 0</w:t>
            </w:r>
            <w:r w:rsidDel="00000000" w:rsidR="00000000" w:rsidRPr="00000000">
              <w:rPr>
                <w:rtl w:val="0"/>
              </w:rPr>
            </w:r>
          </w:p>
        </w:tc>
      </w:tr>
    </w:tbl>
    <w:p w:rsidR="00000000" w:rsidDel="00000000" w:rsidP="00000000" w:rsidRDefault="00000000" w:rsidRPr="00000000" w14:paraId="00000099">
      <w:pPr>
        <w:spacing w:after="60" w:before="40" w:lineRule="auto"/>
        <w:jc w:val="both"/>
        <w:rPr/>
      </w:pPr>
      <w:r w:rsidDel="00000000" w:rsidR="00000000" w:rsidRPr="00000000">
        <w:rPr>
          <w:rFonts w:ascii="Times New Roman" w:cs="Times New Roman" w:eastAsia="Times New Roman" w:hAnsi="Times New Roman"/>
          <w:sz w:val="20"/>
          <w:szCs w:val="20"/>
          <w:rtl w:val="0"/>
        </w:rPr>
        <w:t xml:space="preserve">El puntaje global se calcula como QA = QA1 + QA2 + QA3 + QA4 + QA5, con un rango de 0 a 5 puntos. Se considera calidad alta entre 4.0 y 5.0 puntos, calidad media entre 2.5 y 3.5 puntos y calidad baja entre 0 y 2.0 puntos. La clasificación se utiliza como apoyo para valorar la solidez metodológica de la evidencia y no, por sí sola, para establecer la superioridad de un algoritmo.</w:t>
      </w:r>
      <w:r w:rsidDel="00000000" w:rsidR="00000000" w:rsidRPr="00000000">
        <w:rPr>
          <w:rtl w:val="0"/>
        </w:rPr>
      </w:r>
    </w:p>
    <w:p w:rsidR="00000000" w:rsidDel="00000000" w:rsidP="00000000" w:rsidRDefault="00000000" w:rsidRPr="00000000" w14:paraId="0000009A">
      <w:pPr>
        <w:jc w:val="center"/>
        <w:rPr/>
      </w:pPr>
      <w:r w:rsidDel="00000000" w:rsidR="00000000" w:rsidRPr="00000000">
        <w:rPr>
          <w:rFonts w:ascii="Times New Roman" w:cs="Times New Roman" w:eastAsia="Times New Roman" w:hAnsi="Times New Roman"/>
          <w:b w:val="0"/>
          <w:bCs w:val="0"/>
          <w:i w:val="0"/>
          <w:iCs w:val="0"/>
          <w:sz w:val="16"/>
          <w:szCs w:val="16"/>
          <w:rtl w:val="0"/>
        </w:rPr>
        <w:t xml:space="preserve">TABLE VI</w:t>
      </w:r>
      <w:r w:rsidDel="00000000" w:rsidR="00000000" w:rsidRPr="00000000">
        <w:rPr>
          <w:rtl w:val="0"/>
        </w:rPr>
      </w:r>
    </w:p>
    <w:p w:rsidR="00000000" w:rsidDel="00000000" w:rsidP="00000000" w:rsidRDefault="00000000" w:rsidRPr="00000000" w14:paraId="0000009B">
      <w:pPr>
        <w:jc w:val="center"/>
        <w:rPr/>
      </w:pPr>
      <w:r w:rsidDel="00000000" w:rsidR="00000000" w:rsidRPr="00000000">
        <w:rPr>
          <w:rFonts w:ascii="Times New Roman" w:cs="Times New Roman" w:eastAsia="Times New Roman" w:hAnsi="Times New Roman"/>
          <w:b w:val="0"/>
          <w:bCs w:val="0"/>
          <w:i w:val="1"/>
          <w:iCs w:val="1"/>
          <w:sz w:val="16"/>
          <w:szCs w:val="16"/>
          <w:rtl w:val="0"/>
        </w:rPr>
        <w:t xml:space="preserve">Matriz preliminar de evaluación de calidad (QA)</w:t>
      </w:r>
      <w:r w:rsidDel="00000000" w:rsidR="00000000" w:rsidRPr="00000000">
        <w:rPr>
          <w:rtl w:val="0"/>
        </w:rPr>
      </w:r>
    </w:p>
    <w:tbl>
      <w:tblPr>
        <w:tblStyle w:val="Table6"/>
        <w:tblW w:w="4988.9763779527575" w:type="dxa"/>
        <w:jc w:val="center"/>
        <w:tblLayout w:type="fixed"/>
        <w:tblLook w:val="0400"/>
      </w:tblPr>
      <w:tblGrid>
        <w:gridCol w:w="623.6220472440946"/>
        <w:gridCol w:w="623.6220472440946"/>
        <w:gridCol w:w="623.6220472440946"/>
        <w:gridCol w:w="623.6220472440946"/>
        <w:gridCol w:w="623.6220472440946"/>
        <w:gridCol w:w="623.6220472440946"/>
        <w:gridCol w:w="623.6220472440946"/>
        <w:gridCol w:w="623.6220472440946"/>
        <w:tblGridChange w:id="0">
          <w:tblGrid>
            <w:gridCol w:w="623.6220472440946"/>
            <w:gridCol w:w="623.6220472440946"/>
            <w:gridCol w:w="623.6220472440946"/>
            <w:gridCol w:w="623.6220472440946"/>
            <w:gridCol w:w="623.6220472440946"/>
            <w:gridCol w:w="623.6220472440946"/>
            <w:gridCol w:w="623.6220472440946"/>
            <w:gridCol w:w="623.6220472440946"/>
          </w:tblGrid>
        </w:tblGridChange>
      </w:tblGrid>
      <w:tr>
        <w:trPr>
          <w:cantSplit w:val="1"/>
          <w:tblHeader w:val="1"/>
        </w:trPr>
        <w:tc>
          <w:tcPr>
            <w:tcBorders>
              <w:top w:color="7f7f7f" w:space="0" w:sz="4" w:val="single"/>
              <w:left w:color="7f7f7f" w:space="0" w:sz="4" w:val="single"/>
              <w:bottom w:color="7f7f7f" w:space="0" w:sz="4" w:val="single"/>
              <w:right w:color="7f7f7f" w:space="0" w:sz="4" w:val="single"/>
            </w:tcBorders>
            <w:shd w:fill="d9d9d9" w:val="clear"/>
            <w:tcMar>
              <w:top w:w="18.0" w:type="dxa"/>
              <w:left w:w="18.0" w:type="dxa"/>
              <w:bottom w:w="18.0" w:type="dxa"/>
              <w:right w:w="18.0" w:type="dxa"/>
            </w:tcMar>
            <w:vAlign w:val="center"/>
          </w:tcPr>
          <w:p w:rsidR="00000000" w:rsidDel="00000000" w:rsidP="00000000" w:rsidRDefault="00000000" w:rsidRPr="00000000" w14:paraId="0000009C">
            <w:pPr>
              <w:spacing w:after="0" w:before="0" w:line="240" w:lineRule="auto"/>
              <w:jc w:val="left"/>
              <w:rPr/>
            </w:pPr>
            <w:r w:rsidDel="00000000" w:rsidR="00000000" w:rsidRPr="00000000">
              <w:rPr>
                <w:rFonts w:ascii="Times New Roman" w:cs="Times New Roman" w:eastAsia="Times New Roman" w:hAnsi="Times New Roman"/>
                <w:b w:val="1"/>
                <w:bCs w:val="1"/>
                <w:sz w:val="12"/>
                <w:szCs w:val="12"/>
                <w:rtl w:val="0"/>
              </w:rPr>
              <w:t xml:space="preserve">Estudio</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shd w:fill="d9d9d9" w:val="clear"/>
            <w:tcMar>
              <w:top w:w="18.0" w:type="dxa"/>
              <w:left w:w="18.0" w:type="dxa"/>
              <w:bottom w:w="18.0" w:type="dxa"/>
              <w:right w:w="18.0" w:type="dxa"/>
            </w:tcMar>
            <w:vAlign w:val="center"/>
          </w:tcPr>
          <w:p w:rsidR="00000000" w:rsidDel="00000000" w:rsidP="00000000" w:rsidRDefault="00000000" w:rsidRPr="00000000" w14:paraId="0000009D">
            <w:pPr>
              <w:spacing w:after="0" w:before="0" w:line="240" w:lineRule="auto"/>
              <w:jc w:val="center"/>
              <w:rPr/>
            </w:pPr>
            <w:r w:rsidDel="00000000" w:rsidR="00000000" w:rsidRPr="00000000">
              <w:rPr>
                <w:rFonts w:ascii="Times New Roman" w:cs="Times New Roman" w:eastAsia="Times New Roman" w:hAnsi="Times New Roman"/>
                <w:b w:val="1"/>
                <w:bCs w:val="1"/>
                <w:sz w:val="12"/>
                <w:szCs w:val="12"/>
                <w:rtl w:val="0"/>
              </w:rPr>
              <w:t xml:space="preserve">QA1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shd w:fill="d9d9d9" w:val="clear"/>
            <w:tcMar>
              <w:top w:w="18.0" w:type="dxa"/>
              <w:left w:w="18.0" w:type="dxa"/>
              <w:bottom w:w="18.0" w:type="dxa"/>
              <w:right w:w="18.0" w:type="dxa"/>
            </w:tcMar>
            <w:vAlign w:val="center"/>
          </w:tcPr>
          <w:p w:rsidR="00000000" w:rsidDel="00000000" w:rsidP="00000000" w:rsidRDefault="00000000" w:rsidRPr="00000000" w14:paraId="0000009E">
            <w:pPr>
              <w:spacing w:after="0" w:before="0" w:line="240" w:lineRule="auto"/>
              <w:jc w:val="center"/>
              <w:rPr/>
            </w:pPr>
            <w:r w:rsidDel="00000000" w:rsidR="00000000" w:rsidRPr="00000000">
              <w:rPr>
                <w:rFonts w:ascii="Times New Roman" w:cs="Times New Roman" w:eastAsia="Times New Roman" w:hAnsi="Times New Roman"/>
                <w:b w:val="1"/>
                <w:bCs w:val="1"/>
                <w:sz w:val="12"/>
                <w:szCs w:val="12"/>
                <w:rtl w:val="0"/>
              </w:rPr>
              <w:t xml:space="preserve">QA2</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shd w:fill="d9d9d9" w:val="clear"/>
            <w:tcMar>
              <w:top w:w="18.0" w:type="dxa"/>
              <w:left w:w="18.0" w:type="dxa"/>
              <w:bottom w:w="18.0" w:type="dxa"/>
              <w:right w:w="18.0" w:type="dxa"/>
            </w:tcMar>
            <w:vAlign w:val="center"/>
          </w:tcPr>
          <w:p w:rsidR="00000000" w:rsidDel="00000000" w:rsidP="00000000" w:rsidRDefault="00000000" w:rsidRPr="00000000" w14:paraId="0000009F">
            <w:pPr>
              <w:spacing w:after="0" w:before="0" w:line="240" w:lineRule="auto"/>
              <w:jc w:val="center"/>
              <w:rPr/>
            </w:pPr>
            <w:r w:rsidDel="00000000" w:rsidR="00000000" w:rsidRPr="00000000">
              <w:rPr>
                <w:rFonts w:ascii="Times New Roman" w:cs="Times New Roman" w:eastAsia="Times New Roman" w:hAnsi="Times New Roman"/>
                <w:b w:val="1"/>
                <w:bCs w:val="1"/>
                <w:sz w:val="12"/>
                <w:szCs w:val="12"/>
                <w:rtl w:val="0"/>
              </w:rPr>
              <w:t xml:space="preserve">QA3</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shd w:fill="d9d9d9" w:val="clear"/>
            <w:tcMar>
              <w:top w:w="18.0" w:type="dxa"/>
              <w:left w:w="18.0" w:type="dxa"/>
              <w:bottom w:w="18.0" w:type="dxa"/>
              <w:right w:w="18.0" w:type="dxa"/>
            </w:tcMar>
            <w:vAlign w:val="center"/>
          </w:tcPr>
          <w:p w:rsidR="00000000" w:rsidDel="00000000" w:rsidP="00000000" w:rsidRDefault="00000000" w:rsidRPr="00000000" w14:paraId="000000A0">
            <w:pPr>
              <w:spacing w:after="0" w:before="0" w:line="240" w:lineRule="auto"/>
              <w:jc w:val="center"/>
              <w:rPr/>
            </w:pPr>
            <w:r w:rsidDel="00000000" w:rsidR="00000000" w:rsidRPr="00000000">
              <w:rPr>
                <w:rFonts w:ascii="Times New Roman" w:cs="Times New Roman" w:eastAsia="Times New Roman" w:hAnsi="Times New Roman"/>
                <w:b w:val="1"/>
                <w:bCs w:val="1"/>
                <w:sz w:val="12"/>
                <w:szCs w:val="12"/>
                <w:rtl w:val="0"/>
              </w:rPr>
              <w:t xml:space="preserve">QA4</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shd w:fill="d9d9d9" w:val="clear"/>
            <w:tcMar>
              <w:top w:w="18.0" w:type="dxa"/>
              <w:left w:w="18.0" w:type="dxa"/>
              <w:bottom w:w="18.0" w:type="dxa"/>
              <w:right w:w="18.0" w:type="dxa"/>
            </w:tcMar>
            <w:vAlign w:val="center"/>
          </w:tcPr>
          <w:p w:rsidR="00000000" w:rsidDel="00000000" w:rsidP="00000000" w:rsidRDefault="00000000" w:rsidRPr="00000000" w14:paraId="000000A1">
            <w:pPr>
              <w:spacing w:after="0" w:before="0" w:line="240" w:lineRule="auto"/>
              <w:jc w:val="center"/>
              <w:rPr/>
            </w:pPr>
            <w:r w:rsidDel="00000000" w:rsidR="00000000" w:rsidRPr="00000000">
              <w:rPr>
                <w:rFonts w:ascii="Times New Roman" w:cs="Times New Roman" w:eastAsia="Times New Roman" w:hAnsi="Times New Roman"/>
                <w:b w:val="1"/>
                <w:bCs w:val="1"/>
                <w:sz w:val="12"/>
                <w:szCs w:val="12"/>
                <w:rtl w:val="0"/>
              </w:rPr>
              <w:t xml:space="preserve">QA5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shd w:fill="d9d9d9" w:val="clear"/>
            <w:tcMar>
              <w:top w:w="18.0" w:type="dxa"/>
              <w:left w:w="18.0" w:type="dxa"/>
              <w:bottom w:w="18.0" w:type="dxa"/>
              <w:right w:w="18.0" w:type="dxa"/>
            </w:tcMar>
            <w:vAlign w:val="center"/>
          </w:tcPr>
          <w:p w:rsidR="00000000" w:rsidDel="00000000" w:rsidP="00000000" w:rsidRDefault="00000000" w:rsidRPr="00000000" w14:paraId="000000A2">
            <w:pPr>
              <w:spacing w:after="0" w:before="0" w:line="240" w:lineRule="auto"/>
              <w:jc w:val="center"/>
              <w:rPr/>
            </w:pPr>
            <w:r w:rsidDel="00000000" w:rsidR="00000000" w:rsidRPr="00000000">
              <w:rPr>
                <w:rFonts w:ascii="Times New Roman" w:cs="Times New Roman" w:eastAsia="Times New Roman" w:hAnsi="Times New Roman"/>
                <w:b w:val="1"/>
                <w:bCs w:val="1"/>
                <w:sz w:val="12"/>
                <w:szCs w:val="12"/>
                <w:rtl w:val="0"/>
              </w:rPr>
              <w:t xml:space="preserve">Total</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shd w:fill="d9d9d9" w:val="clear"/>
            <w:tcMar>
              <w:top w:w="18.0" w:type="dxa"/>
              <w:left w:w="18.0" w:type="dxa"/>
              <w:bottom w:w="18.0" w:type="dxa"/>
              <w:right w:w="18.0" w:type="dxa"/>
            </w:tcMar>
            <w:vAlign w:val="center"/>
          </w:tcPr>
          <w:p w:rsidR="00000000" w:rsidDel="00000000" w:rsidP="00000000" w:rsidRDefault="00000000" w:rsidRPr="00000000" w14:paraId="000000A3">
            <w:pPr>
              <w:spacing w:after="0" w:before="0" w:line="240" w:lineRule="auto"/>
              <w:jc w:val="center"/>
              <w:rPr/>
            </w:pPr>
            <w:r w:rsidDel="00000000" w:rsidR="00000000" w:rsidRPr="00000000">
              <w:rPr>
                <w:rFonts w:ascii="Times New Roman" w:cs="Times New Roman" w:eastAsia="Times New Roman" w:hAnsi="Times New Roman"/>
                <w:b w:val="1"/>
                <w:bCs w:val="1"/>
                <w:sz w:val="12"/>
                <w:szCs w:val="12"/>
                <w:rtl w:val="0"/>
              </w:rPr>
              <w:t xml:space="preserve">Nivel</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A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ID52 – Ichangi (2025)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A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A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A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A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A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A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4.0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A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A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ID58 – Murphy (2025)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A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A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A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3.5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ID236 – Rafi (2026)</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4.0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ID322 – Victoria (2026)</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B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3.5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ID348 – Wu (2026)</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3.5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ID368 – Joshi (2026)</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C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3.0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ID380 – Sundhar (2025)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4.0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ID476 – Liu (2025)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D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5.0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ID480 – Mazur (2025)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3.5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ID544 – Ramachandran (2024)</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E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3.5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ID555 – Wu (2024)</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3.0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ID623 – Gaddam (2024)</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0F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ID648 – González-Flores (2025)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4.5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ID714 – Kaplan (2025)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0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4.0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ID716 – Tan (2024)</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5.0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ID734 – Helen (2024)</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1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3.5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ID772 – Radich (2025)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ID904 – Zhao (2023)</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2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3.0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ID939 – Rochaz (2025)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4.0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ID948 – Alcocer (2025)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3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ID960 – Liu (2025)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4.0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ID982 – Jadli (2023)</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4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4.0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ID985 – Tomer (2025)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4.5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ID996 – Roslin (2025)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5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4.0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ID1056 – Puravankara (2020)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2.0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Baja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ID1146 – Ronen (2021)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6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4.0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ID1175 – Karthik (2020)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3.0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ID1234 – Nygård (2020)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7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3.5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ID1247 – Espadinha-Cruz (2021)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2.5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Media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C">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ID1254 – Jadli (2022)</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D">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E">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8F">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90">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91">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0.5</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92">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4.0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93">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r>
        <w:trPr>
          <w:cantSplit w:val="1"/>
          <w:tblHeader w:val="0"/>
        </w:trPr>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94">
            <w:pPr>
              <w:spacing w:after="0" w:before="0" w:line="240" w:lineRule="auto"/>
              <w:jc w:val="left"/>
              <w:rPr/>
            </w:pPr>
            <w:r w:rsidDel="00000000" w:rsidR="00000000" w:rsidRPr="00000000">
              <w:rPr>
                <w:rFonts w:ascii="Times New Roman" w:cs="Times New Roman" w:eastAsia="Times New Roman" w:hAnsi="Times New Roman"/>
                <w:sz w:val="12"/>
                <w:szCs w:val="12"/>
                <w:rtl w:val="0"/>
              </w:rPr>
              <w:t xml:space="preserve">ID1432 – Gouveia (2022)</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95">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96">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97">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98">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1</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99">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9A">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4.0</w:t>
            </w:r>
            <w:r w:rsidDel="00000000" w:rsidR="00000000" w:rsidRPr="00000000">
              <w:rPr>
                <w:rtl w:val="0"/>
              </w:rPr>
            </w:r>
          </w:p>
        </w:tc>
        <w:tc>
          <w:tcPr>
            <w:tcBorders>
              <w:top w:color="7f7f7f" w:space="0" w:sz="4" w:val="single"/>
              <w:left w:color="7f7f7f" w:space="0" w:sz="4" w:val="single"/>
              <w:bottom w:color="7f7f7f" w:space="0" w:sz="4" w:val="single"/>
              <w:right w:color="7f7f7f" w:space="0" w:sz="4" w:val="single"/>
            </w:tcBorders>
            <w:tcMar>
              <w:top w:w="18.0" w:type="dxa"/>
              <w:left w:w="18.0" w:type="dxa"/>
              <w:bottom w:w="18.0" w:type="dxa"/>
              <w:right w:w="18.0" w:type="dxa"/>
            </w:tcMar>
            <w:vAlign w:val="center"/>
          </w:tcPr>
          <w:p w:rsidR="00000000" w:rsidDel="00000000" w:rsidP="00000000" w:rsidRDefault="00000000" w:rsidRPr="00000000" w14:paraId="0000019B">
            <w:pPr>
              <w:spacing w:after="0" w:before="0" w:line="240" w:lineRule="auto"/>
              <w:jc w:val="center"/>
              <w:rPr/>
            </w:pPr>
            <w:r w:rsidDel="00000000" w:rsidR="00000000" w:rsidRPr="00000000">
              <w:rPr>
                <w:rFonts w:ascii="Times New Roman" w:cs="Times New Roman" w:eastAsia="Times New Roman" w:hAnsi="Times New Roman"/>
                <w:sz w:val="12"/>
                <w:szCs w:val="12"/>
                <w:rtl w:val="0"/>
              </w:rPr>
              <w:t xml:space="preserve">Alta</w:t>
            </w:r>
            <w:r w:rsidDel="00000000" w:rsidR="00000000" w:rsidRPr="00000000">
              <w:rPr>
                <w:rtl w:val="0"/>
              </w:rPr>
            </w:r>
          </w:p>
        </w:tc>
      </w:tr>
    </w:tbl>
    <w:p w:rsidR="00000000" w:rsidDel="00000000" w:rsidP="00000000" w:rsidRDefault="00000000" w:rsidRPr="00000000" w14:paraId="0000019C">
      <w:pPr>
        <w:jc w:val="both"/>
        <w:rPr/>
      </w:pPr>
      <w:r w:rsidDel="00000000" w:rsidR="00000000" w:rsidRPr="00000000">
        <w:rPr>
          <w:rFonts w:ascii="Times New Roman" w:cs="Times New Roman" w:eastAsia="Times New Roman" w:hAnsi="Times New Roman"/>
          <w:b w:val="0"/>
          <w:bCs w:val="0"/>
          <w:i w:val="1"/>
          <w:iCs w:val="1"/>
          <w:sz w:val="15"/>
          <w:szCs w:val="15"/>
          <w:rtl w:val="0"/>
        </w:rPr>
        <w:t xml:space="preserve">Nota: los puntajes de la Tabla VI constituyen una evaluación preliminar para el avance metodológico y deben confirmarse durante la revisión integral de cada estudio.</w:t>
      </w:r>
      <w:r w:rsidDel="00000000" w:rsidR="00000000" w:rsidRPr="00000000">
        <w:rPr>
          <w:rtl w:val="0"/>
        </w:rPr>
      </w:r>
    </w:p>
    <w:p w:rsidR="00000000" w:rsidDel="00000000" w:rsidP="00000000" w:rsidRDefault="00000000" w:rsidRPr="00000000" w14:paraId="0000019D">
      <w:pPr>
        <w:jc w:val="both"/>
        <w:rPr/>
      </w:pPr>
      <w:r w:rsidDel="00000000" w:rsidR="00000000" w:rsidRPr="00000000">
        <w:rPr>
          <w:rFonts w:ascii="Times New Roman" w:cs="Times New Roman" w:eastAsia="Times New Roman" w:hAnsi="Times New Roman"/>
          <w:b w:val="0"/>
          <w:bCs w:val="0"/>
          <w:i w:val="0"/>
          <w:iCs w:val="0"/>
          <w:sz w:val="20"/>
          <w:szCs w:val="20"/>
          <w:rtl w:val="0"/>
        </w:rPr>
        <w:t xml:space="preserve">En esta aplicación preliminar, 15 estudios alcanzaron calidad alta, 15 calidad media y 1 calidad baja, con un promedio global de 3.60 sobre 5. Estos resultados permiten priorizar la evidencia con mayor respaldo metodológico durante la síntesis posterior.</w:t>
      </w:r>
      <w:r w:rsidDel="00000000" w:rsidR="00000000" w:rsidRPr="00000000">
        <w:rPr>
          <w:rtl w:val="0"/>
        </w:rPr>
      </w:r>
    </w:p>
    <w:p w:rsidR="00000000" w:rsidDel="00000000" w:rsidP="00000000" w:rsidRDefault="00000000" w:rsidRPr="00000000" w14:paraId="0000019E">
      <w:pPr>
        <w:keepNext w:val="1"/>
        <w:spacing w:after="20" w:before="80" w:lineRule="auto"/>
        <w:jc w:val="left"/>
        <w:rPr/>
      </w:pPr>
      <w:r w:rsidDel="00000000" w:rsidR="00000000" w:rsidRPr="00000000">
        <w:rPr>
          <w:rFonts w:ascii="Times New Roman" w:cs="Times New Roman" w:eastAsia="Times New Roman" w:hAnsi="Times New Roman"/>
          <w:i w:val="1"/>
          <w:iCs w:val="1"/>
          <w:sz w:val="20"/>
          <w:szCs w:val="20"/>
          <w:rtl w:val="0"/>
        </w:rPr>
        <w:t xml:space="preserve">F. Extracción y síntesis de datos</w:t>
      </w:r>
      <w:r w:rsidDel="00000000" w:rsidR="00000000" w:rsidRPr="00000000">
        <w:rPr>
          <w:rtl w:val="0"/>
        </w:rPr>
      </w:r>
    </w:p>
    <w:p w:rsidR="00000000" w:rsidDel="00000000" w:rsidP="00000000" w:rsidRDefault="00000000" w:rsidRPr="00000000" w14:paraId="0000019F">
      <w:pPr>
        <w:spacing w:after="0" w:before="0" w:line="240" w:lineRule="auto"/>
        <w:ind w:firstLine="259"/>
        <w:jc w:val="both"/>
        <w:rPr/>
      </w:pPr>
      <w:r w:rsidDel="00000000" w:rsidR="00000000" w:rsidRPr="00000000">
        <w:rPr>
          <w:rFonts w:ascii="Times New Roman" w:cs="Times New Roman" w:eastAsia="Times New Roman" w:hAnsi="Times New Roman"/>
          <w:sz w:val="20"/>
          <w:szCs w:val="20"/>
          <w:rtl w:val="0"/>
        </w:rPr>
        <w:t xml:space="preserve">Para cada estudio seleccionado se registrarán identificación bibliográfica, contexto de aplicación, sector, fuente y tamaño de datos, variable objetivo, características utilizadas, algoritmos evaluados, esquema de validación, métricas de desempeño, resultados, comparadores y limitaciones. Cada artículo se vinculará con una o más preguntas PI1–PI6. Debido a que los estudios emplean conjuntos de datos y condiciones diferentes, la comparación de “mejores resultados” priorizará comparaciones realizadas dentro del mismo estudio o bajo condiciones equivalentes; no se declarará un algoritmo superior únicamente por contrastar valores brutos procedentes de datasets distintos.</w:t>
      </w:r>
      <w:r w:rsidDel="00000000" w:rsidR="00000000" w:rsidRPr="00000000">
        <w:rPr>
          <w:rtl w:val="0"/>
        </w:rPr>
      </w:r>
    </w:p>
    <w:p w:rsidR="00000000" w:rsidDel="00000000" w:rsidP="00000000" w:rsidRDefault="00000000" w:rsidRPr="00000000" w14:paraId="000001A0">
      <w:pPr>
        <w:keepNext w:val="1"/>
        <w:spacing w:after="60" w:before="120" w:lineRule="auto"/>
        <w:jc w:val="center"/>
        <w:rPr/>
      </w:pPr>
      <w:r w:rsidDel="00000000" w:rsidR="00000000" w:rsidRPr="00000000">
        <w:rPr>
          <w:rFonts w:ascii="Times New Roman" w:cs="Times New Roman" w:eastAsia="Times New Roman" w:hAnsi="Times New Roman"/>
          <w:b w:val="0"/>
          <w:bCs w:val="0"/>
          <w:sz w:val="20"/>
          <w:szCs w:val="20"/>
          <w:rtl w:val="0"/>
        </w:rPr>
        <w:t xml:space="preserve">REFERENCIAS</w:t>
      </w:r>
      <w:r w:rsidDel="00000000" w:rsidR="00000000" w:rsidRPr="00000000">
        <w:rPr>
          <w:rtl w:val="0"/>
        </w:rPr>
      </w:r>
    </w:p>
    <w:p w:rsidR="00000000" w:rsidDel="00000000" w:rsidP="00000000" w:rsidRDefault="00000000" w:rsidRPr="00000000" w14:paraId="000001A1">
      <w:pPr>
        <w:spacing w:after="0" w:before="0" w:line="240" w:lineRule="auto"/>
        <w:ind w:left="259" w:hanging="259"/>
        <w:jc w:val="both"/>
        <w:rPr/>
      </w:pPr>
      <w:r w:rsidDel="00000000" w:rsidR="00000000" w:rsidRPr="00000000">
        <w:rPr>
          <w:rFonts w:ascii="Times New Roman" w:cs="Times New Roman" w:eastAsia="Times New Roman" w:hAnsi="Times New Roman"/>
          <w:sz w:val="16"/>
          <w:szCs w:val="16"/>
          <w:rtl w:val="0"/>
        </w:rPr>
        <w:t xml:space="preserve">[1] C. Ledro, A. Nosella, and A. Vinelli, “Artificial intelligence in customer relationship management: literature review and future research directions,” Journal of Business &amp; Industrial Marketing, vol. 37, no. 13, pp. 48–63, 2022, doi: 10.1108/JBIM-07-2021-0332.</w:t>
      </w:r>
      <w:r w:rsidDel="00000000" w:rsidR="00000000" w:rsidRPr="00000000">
        <w:rPr>
          <w:rtl w:val="0"/>
        </w:rPr>
      </w:r>
    </w:p>
    <w:p w:rsidR="00000000" w:rsidDel="00000000" w:rsidP="00000000" w:rsidRDefault="00000000" w:rsidRPr="00000000" w14:paraId="000001A2">
      <w:pPr>
        <w:spacing w:after="0" w:before="0" w:line="240" w:lineRule="auto"/>
        <w:ind w:left="259" w:hanging="259"/>
        <w:jc w:val="both"/>
        <w:rPr/>
      </w:pPr>
      <w:r w:rsidDel="00000000" w:rsidR="00000000" w:rsidRPr="00000000">
        <w:rPr>
          <w:rFonts w:ascii="Times New Roman" w:cs="Times New Roman" w:eastAsia="Times New Roman" w:hAnsi="Times New Roman"/>
          <w:sz w:val="16"/>
          <w:szCs w:val="16"/>
          <w:rtl w:val="0"/>
        </w:rPr>
        <w:t xml:space="preserve">[2] D. Ozay, M. Jahanbakht, A. Shoomal, and S. Wang, “Artificial Intelligence (AI)-based Customer Relationship Management (CRM): a comprehensive bibliometric and systematic literature review with outlook on future research,” Enterprise Information Systems, vol. 18, no. 7, 2024, doi: 10.1080/17517575.2024.2351869.</w:t>
      </w:r>
      <w:r w:rsidDel="00000000" w:rsidR="00000000" w:rsidRPr="00000000">
        <w:rPr>
          <w:rtl w:val="0"/>
        </w:rPr>
      </w:r>
    </w:p>
    <w:p w:rsidR="00000000" w:rsidDel="00000000" w:rsidP="00000000" w:rsidRDefault="00000000" w:rsidRPr="00000000" w14:paraId="000001A3">
      <w:pPr>
        <w:spacing w:after="0" w:before="0" w:line="240" w:lineRule="auto"/>
        <w:ind w:left="259" w:hanging="259"/>
        <w:jc w:val="both"/>
        <w:rPr/>
      </w:pPr>
      <w:r w:rsidDel="00000000" w:rsidR="00000000" w:rsidRPr="00000000">
        <w:rPr>
          <w:rFonts w:ascii="Times New Roman" w:cs="Times New Roman" w:eastAsia="Times New Roman" w:hAnsi="Times New Roman"/>
          <w:sz w:val="16"/>
          <w:szCs w:val="16"/>
          <w:rtl w:val="0"/>
        </w:rPr>
        <w:t xml:space="preserve">[3] M. Wu, P. Andreev, and M. Benyoucef, “The state of lead scoring models and their impact on sales performance,” Information Technology and Management, vol. 25, no. 1, pp. 69–98, 2024, doi: 10.1007/s10799-023-00388-w.</w:t>
      </w:r>
      <w:r w:rsidDel="00000000" w:rsidR="00000000" w:rsidRPr="00000000">
        <w:rPr>
          <w:rtl w:val="0"/>
        </w:rPr>
      </w:r>
    </w:p>
    <w:p w:rsidR="00000000" w:rsidDel="00000000" w:rsidP="00000000" w:rsidRDefault="00000000" w:rsidRPr="00000000" w14:paraId="000001A4">
      <w:pPr>
        <w:spacing w:after="0" w:before="0" w:line="240" w:lineRule="auto"/>
        <w:ind w:left="259" w:hanging="259"/>
        <w:jc w:val="both"/>
        <w:rPr/>
      </w:pPr>
      <w:r w:rsidDel="00000000" w:rsidR="00000000" w:rsidRPr="00000000">
        <w:rPr>
          <w:rFonts w:ascii="Times New Roman" w:cs="Times New Roman" w:eastAsia="Times New Roman" w:hAnsi="Times New Roman"/>
          <w:sz w:val="16"/>
          <w:szCs w:val="16"/>
          <w:rtl w:val="0"/>
        </w:rPr>
        <w:t xml:space="preserve">[4] A. Jadli, M. Hain, and A. Hasbaoui, “Artificial intelligence-based lead propensity prediction,” IAES International Journal of Artificial Intelligence, vol. 12, no. 3, pp. 1281–1290, 2023, doi: 10.11591/ijai.v12.i3.pp1281-1290.</w:t>
      </w:r>
      <w:r w:rsidDel="00000000" w:rsidR="00000000" w:rsidRPr="00000000">
        <w:rPr>
          <w:rtl w:val="0"/>
        </w:rPr>
      </w:r>
    </w:p>
    <w:p w:rsidR="00000000" w:rsidDel="00000000" w:rsidP="00000000" w:rsidRDefault="00000000" w:rsidRPr="00000000" w14:paraId="000001A5">
      <w:pPr>
        <w:spacing w:after="0" w:before="0" w:line="240" w:lineRule="auto"/>
        <w:ind w:left="259" w:hanging="259"/>
        <w:jc w:val="both"/>
        <w:rPr/>
      </w:pPr>
      <w:r w:rsidDel="00000000" w:rsidR="00000000" w:rsidRPr="00000000">
        <w:rPr>
          <w:rFonts w:ascii="Times New Roman" w:cs="Times New Roman" w:eastAsia="Times New Roman" w:hAnsi="Times New Roman"/>
          <w:sz w:val="16"/>
          <w:szCs w:val="16"/>
          <w:rtl w:val="0"/>
        </w:rPr>
        <w:t xml:space="preserve">[5] X. Shi, Y. Zhang, M. Yu, and L. Zhang, “Revolutionizing market surveillance: customer relationship management with machine learning,” PeerJ Computer Science, vol. 10, e2583, 2024, doi: 10.7717/peerj-cs.2583.</w:t>
      </w:r>
      <w:r w:rsidDel="00000000" w:rsidR="00000000" w:rsidRPr="00000000">
        <w:rPr>
          <w:rtl w:val="0"/>
        </w:rPr>
      </w:r>
    </w:p>
    <w:p w:rsidR="00000000" w:rsidDel="00000000" w:rsidP="00000000" w:rsidRDefault="00000000" w:rsidRPr="00000000" w14:paraId="000001A6">
      <w:pPr>
        <w:spacing w:after="0" w:before="0" w:line="240" w:lineRule="auto"/>
        <w:ind w:left="259" w:hanging="259"/>
        <w:jc w:val="both"/>
        <w:rPr/>
      </w:pPr>
      <w:r w:rsidDel="00000000" w:rsidR="00000000" w:rsidRPr="00000000">
        <w:rPr>
          <w:rFonts w:ascii="Times New Roman" w:cs="Times New Roman" w:eastAsia="Times New Roman" w:hAnsi="Times New Roman"/>
          <w:sz w:val="16"/>
          <w:szCs w:val="16"/>
          <w:rtl w:val="0"/>
        </w:rPr>
        <w:t xml:space="preserve">[6] B. J. Keegan, D. Dennehy, and P. Naudé, “Implementing Artificial Intelligence in Traditional B2B Marketing Practices: An Activity Theory Perspective,” Information Systems Frontiers, vol. 26, pp. 1025–1039, 2024, doi: 10.1007/s10796-022-10294-1.</w:t>
      </w:r>
      <w:r w:rsidDel="00000000" w:rsidR="00000000" w:rsidRPr="00000000">
        <w:rPr>
          <w:rtl w:val="0"/>
        </w:rPr>
      </w:r>
    </w:p>
    <w:p w:rsidR="00000000" w:rsidDel="00000000" w:rsidP="00000000" w:rsidRDefault="00000000" w:rsidRPr="00000000" w14:paraId="000001A7">
      <w:pPr>
        <w:spacing w:after="0" w:before="0" w:line="240" w:lineRule="auto"/>
        <w:ind w:left="259" w:hanging="259"/>
        <w:jc w:val="both"/>
        <w:rPr/>
      </w:pPr>
      <w:r w:rsidDel="00000000" w:rsidR="00000000" w:rsidRPr="00000000">
        <w:rPr>
          <w:rFonts w:ascii="Times New Roman" w:cs="Times New Roman" w:eastAsia="Times New Roman" w:hAnsi="Times New Roman"/>
          <w:sz w:val="16"/>
          <w:szCs w:val="16"/>
          <w:rtl w:val="0"/>
        </w:rPr>
        <w:t xml:space="preserve">[7] M. J. Page et al., “The PRISMA 2020 statement: an updated guideline for reporting systematic reviews,” BMJ, vol. 372, n71, 2021, doi: 10.1136/bmj.n71.</w:t>
      </w:r>
      <w:r w:rsidDel="00000000" w:rsidR="00000000" w:rsidRPr="00000000">
        <w:rPr>
          <w:rtl w:val="0"/>
        </w:rPr>
      </w:r>
    </w:p>
    <w:p w:rsidR="00000000" w:rsidDel="00000000" w:rsidP="00000000" w:rsidRDefault="00000000" w:rsidRPr="00000000" w14:paraId="000001A8">
      <w:pPr>
        <w:spacing w:after="0" w:before="0" w:line="240" w:lineRule="auto"/>
        <w:ind w:left="259" w:hanging="259"/>
        <w:jc w:val="both"/>
        <w:rPr/>
      </w:pPr>
      <w:r w:rsidDel="00000000" w:rsidR="00000000" w:rsidRPr="00000000">
        <w:rPr>
          <w:rFonts w:ascii="Times New Roman" w:cs="Times New Roman" w:eastAsia="Times New Roman" w:hAnsi="Times New Roman"/>
          <w:sz w:val="16"/>
          <w:szCs w:val="16"/>
          <w:rtl w:val="0"/>
        </w:rPr>
        <w:t xml:space="preserve">[8] B. Kitchenham and S. Charters, “Guidelines for performing Systematic Literature Reviews in Software Engineering,” EBSE Technical Report EBSE-2007-01, Keele University and Durham University, 2007.</w:t>
      </w: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sectPr>
      <w:type w:val="continuous"/>
      <w:pgSz w:h="15840" w:w="12240" w:orient="portrait"/>
      <w:pgMar w:bottom="1890" w:top="1080" w:left="900" w:right="900" w:header="720" w:footer="720"/>
      <w:cols w:equalWidth="0" w:num="2">
        <w:col w:space="360" w:w="5040"/>
        <w:col w:space="0" w:w="504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10440"/>
      </w:tabs>
      <w:spacing w:after="0" w:before="0" w:line="240" w:lineRule="auto"/>
      <w:ind w:left="0" w:right="0" w:firstLine="0"/>
      <w:jc w:val="left"/>
      <w:rPr>
        <w:rFonts w:ascii="Times" w:cs="Times" w:eastAsia="Times" w:hAnsi="Times"/>
        <w:b w:val="0"/>
        <w:bCs w:val="0"/>
        <w:i w:val="0"/>
        <w:iCs w:val="0"/>
        <w:smallCaps w:val="0"/>
        <w:strike w:val="0"/>
        <w:color w:val="000000"/>
        <w:sz w:val="14"/>
        <w:szCs w:val="1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14"/>
        <w:szCs w:val="14"/>
        <w:u w:val="none"/>
        <w:shd w:fill="auto" w:val="clear"/>
        <w:vertAlign w:val="baseline"/>
        <w:rtl w:val="0"/>
      </w:rPr>
      <w:t xml:space="preserve">23</w:t>
    </w:r>
    <w:r w:rsidDel="00000000" w:rsidR="00000000" w:rsidRPr="00000000">
      <w:rPr>
        <w:rFonts w:ascii="Times" w:cs="Times" w:eastAsia="Times" w:hAnsi="Times"/>
        <w:b w:val="1"/>
        <w:bCs w:val="1"/>
        <w:i w:val="0"/>
        <w:iCs w:val="0"/>
        <w:smallCaps w:val="0"/>
        <w:strike w:val="0"/>
        <w:color w:val="000000"/>
        <w:sz w:val="14"/>
        <w:szCs w:val="14"/>
        <w:u w:val="none"/>
        <w:shd w:fill="auto" w:val="clear"/>
        <w:vertAlign w:val="superscript"/>
        <w:rtl w:val="0"/>
      </w:rPr>
      <w:t xml:space="preserve">rd</w:t>
    </w:r>
    <w:r w:rsidDel="00000000" w:rsidR="00000000" w:rsidRPr="00000000">
      <w:rPr>
        <w:rFonts w:ascii="Times" w:cs="Times" w:eastAsia="Times" w:hAnsi="Times"/>
        <w:b w:val="1"/>
        <w:bCs w:val="1"/>
        <w:i w:val="0"/>
        <w:iCs w:val="0"/>
        <w:smallCaps w:val="0"/>
        <w:strike w:val="0"/>
        <w:color w:val="000000"/>
        <w:sz w:val="14"/>
        <w:szCs w:val="14"/>
        <w:u w:val="none"/>
        <w:shd w:fill="auto" w:val="clear"/>
        <w:vertAlign w:val="baseline"/>
        <w:rtl w:val="0"/>
      </w:rPr>
      <w:t xml:space="preserve"> International Multi-Conference for Engineering, Education, and Technology: “</w:t>
    </w:r>
    <w:r w:rsidDel="00000000" w:rsidR="00000000" w:rsidRPr="00000000">
      <w:rPr>
        <w:rFonts w:ascii="Times" w:cs="Times" w:eastAsia="Times" w:hAnsi="Times"/>
        <w:b w:val="0"/>
        <w:bCs w:val="0"/>
        <w:i w:val="1"/>
        <w:iCs w:val="1"/>
        <w:smallCaps w:val="0"/>
        <w:strike w:val="0"/>
        <w:color w:val="000000"/>
        <w:sz w:val="14"/>
        <w:szCs w:val="14"/>
        <w:u w:val="none"/>
        <w:shd w:fill="auto" w:val="clear"/>
        <w:vertAlign w:val="baseline"/>
        <w:rtl w:val="0"/>
      </w:rPr>
      <w:t xml:space="preserve">Engineering, Artificial Intelligence, and Sustainable Technologies in service of society</w:t>
    </w:r>
    <w:r w:rsidDel="00000000" w:rsidR="00000000" w:rsidRPr="00000000">
      <w:rPr>
        <w:rFonts w:ascii="Times" w:cs="Times" w:eastAsia="Times" w:hAnsi="Times"/>
        <w:b w:val="1"/>
        <w:bCs w:val="1"/>
        <w:i w:val="0"/>
        <w:iCs w:val="0"/>
        <w:smallCaps w:val="0"/>
        <w:strike w:val="0"/>
        <w:color w:val="000000"/>
        <w:sz w:val="14"/>
        <w:szCs w:val="14"/>
        <w:u w:val="none"/>
        <w:shd w:fill="auto" w:val="clear"/>
        <w:vertAlign w:val="baseline"/>
        <w:rtl w:val="0"/>
      </w:rPr>
      <w:t xml:space="preserve">”</w:t>
    </w:r>
    <w:r w:rsidDel="00000000" w:rsidR="00000000" w:rsidRPr="00000000">
      <w:rPr>
        <w:rFonts w:ascii="Times" w:cs="Times" w:eastAsia="Times" w:hAnsi="Times"/>
        <w:b w:val="0"/>
        <w:bCs w:val="0"/>
        <w:i w:val="1"/>
        <w:iCs w:val="1"/>
        <w:smallCaps w:val="0"/>
        <w:strike w:val="0"/>
        <w:color w:val="000000"/>
        <w:sz w:val="14"/>
        <w:szCs w:val="14"/>
        <w:u w:val="none"/>
        <w:shd w:fill="auto" w:val="clear"/>
        <w:vertAlign w:val="baseline"/>
        <w:rtl w:val="0"/>
      </w:rPr>
      <w:t xml:space="preserve">.</w:t>
    </w:r>
    <w:r w:rsidDel="00000000" w:rsidR="00000000" w:rsidRPr="00000000">
      <w:rPr>
        <w:rFonts w:ascii="Times" w:cs="Times" w:eastAsia="Times" w:hAnsi="Times"/>
        <w:b w:val="1"/>
        <w:bCs w:val="1"/>
        <w:i w:val="0"/>
        <w:iCs w:val="0"/>
        <w:smallCaps w:val="0"/>
        <w:strike w:val="0"/>
        <w:color w:val="000000"/>
        <w:sz w:val="14"/>
        <w:szCs w:val="14"/>
        <w:u w:val="none"/>
        <w:shd w:fill="auto" w:val="clear"/>
        <w:vertAlign w:val="baseline"/>
        <w:rtl w:val="0"/>
      </w:rPr>
      <w:t xml:space="preserve"> </w:t>
    </w:r>
    <w:r w:rsidDel="00000000" w:rsidR="00000000" w:rsidRPr="00000000">
      <w:rPr>
        <w:rFonts w:ascii="Times" w:cs="Times" w:eastAsia="Times" w:hAnsi="Times"/>
        <w:b w:val="0"/>
        <w:bCs w:val="0"/>
        <w:i w:val="0"/>
        <w:iCs w:val="0"/>
        <w:smallCaps w:val="0"/>
        <w:strike w:val="0"/>
        <w:color w:val="000000"/>
        <w:sz w:val="14"/>
        <w:szCs w:val="14"/>
        <w:u w:val="none"/>
        <w:shd w:fill="auto" w:val="clear"/>
        <w:vertAlign w:val="baseline"/>
        <w:rtl w:val="0"/>
      </w:rPr>
      <w:t xml:space="preserve">Hybrid Event, Mexico City, July 16 - 18, 2025</w:t>
    </w:r>
  </w:p>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10440"/>
      </w:tabs>
      <w:spacing w:after="0" w:before="0" w:line="240" w:lineRule="auto"/>
      <w:ind w:left="0" w:right="0" w:firstLine="0"/>
      <w:jc w:val="right"/>
      <w:rPr>
        <w:rFonts w:ascii="Times" w:cs="Times" w:eastAsia="Times" w:hAnsi="Times"/>
        <w:b w:val="0"/>
        <w:bCs w:val="0"/>
        <w:i w:val="0"/>
        <w:iCs w:val="0"/>
        <w:smallCaps w:val="0"/>
        <w:strike w:val="0"/>
        <w:color w:val="000000"/>
        <w:sz w:val="16"/>
        <w:szCs w:val="16"/>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