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160" w:after="120" w:lineRule="auto" w:line="288"/>
        <w:ind w:firstLine="0" w:left="0" w:right="0"/>
        <w:jc w:val="left"/>
      </w:pPr>
      <w:r>
        <w:rPr>
          <w:rFonts w:ascii="宋体" w:hAnsi="宋体" w:eastAsia="宋体"/>
          <w:b/>
          <w:color w:val="0C69B2"/>
          <w:sz w:val="26"/>
        </w:rPr>
        <w:t>OPAx227, OPAx228 High-Precision, Low-Noise Operational Amplifiers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6"/>
        <w:gridCol w:w="5046"/>
      </w:tblGrid>
      <w:tr>
        <w:tc>
          <w:tcPr>
            <w:tcW w:type="dxa" w:w="5046"/>
            <w:vAlign w:val="top"/>
          </w:tcPr>
          <w:p>
            <w:r/>
          </w:p>
          <w:p>
            <w:pPr>
              <w:pStyle w:val="3"/>
              <w:spacing w:before="160" w:after="120" w:lineRule="auto" w:line="288"/>
              <w:ind w:firstLine="0" w:left="0" w:right="0"/>
              <w:jc w:val="left"/>
            </w:pPr>
            <w:r>
              <w:rPr>
                <w:rFonts w:ascii="宋体" w:hAnsi="宋体" w:eastAsia="宋体"/>
                <w:b/>
                <w:color w:val="0C69B2"/>
                <w:sz w:val="26"/>
              </w:rPr>
              <w:t>1 Features</w:t>
            </w:r>
          </w:p>
          <w:p>
            <w:pPr>
              <w:spacing w:before="0" w:after="0" w:lineRule="auto" w:line="240"/>
              <w:ind w:left="480" w:right="0" w:hanging="180"/>
              <w:jc w:val="left"/>
              <w:numPr>
                <w:ilvl w:val="1"/>
                <w:numId w:val="7"/>
              </w:numPr>
            </w:pPr>
            <w:r>
              <w:rPr>
                <w:rFonts w:ascii="宋体" w:hAnsi="宋体" w:eastAsia="宋体"/>
                <w:b w:val="0"/>
                <w:color w:val="000000"/>
                <w:sz w:val="21"/>
              </w:rPr>
              <w:t>Low noise: 3 nV/√Hz</w:t>
            </w:r>
          </w:p>
          <w:p>
            <w:pPr>
              <w:spacing w:before="0" w:after="0" w:lineRule="auto" w:line="240"/>
              <w:ind w:left="480" w:right="0" w:hanging="180"/>
              <w:jc w:val="left"/>
              <w:numPr>
                <w:ilvl w:val="1"/>
                <w:numId w:val="7"/>
              </w:numPr>
            </w:pPr>
            <w:r>
              <w:rPr>
                <w:rFonts w:ascii="宋体" w:hAnsi="宋体" w:eastAsia="宋体"/>
                <w:b w:val="0"/>
                <w:color w:val="000000"/>
                <w:sz w:val="21"/>
              </w:rPr>
              <w:t>Wide bandwidth:</w:t>
            </w:r>
          </w:p>
          <w:p>
            <w:pPr>
              <w:spacing w:before="0" w:after="0" w:lineRule="auto" w:line="240"/>
              <w:ind w:left="480" w:right="0" w:hanging="180"/>
              <w:jc w:val="left"/>
              <w:numPr>
                <w:ilvl w:val="1"/>
                <w:numId w:val="7"/>
              </w:numPr>
            </w:pPr>
            <w:r>
              <w:rPr>
                <w:rFonts w:ascii="宋体" w:hAnsi="宋体" w:eastAsia="宋体"/>
                <w:b w:val="0"/>
                <w:color w:val="000000"/>
                <w:sz w:val="21"/>
              </w:rPr>
              <w:t>OPA227: 8 MHz, 2.3 V/μs</w:t>
            </w:r>
          </w:p>
          <w:p>
            <w:pPr>
              <w:spacing w:before="0" w:after="0" w:lineRule="auto" w:line="240"/>
              <w:ind w:left="480" w:right="0" w:hanging="180"/>
              <w:jc w:val="left"/>
              <w:numPr>
                <w:ilvl w:val="1"/>
                <w:numId w:val="7"/>
              </w:numPr>
            </w:pPr>
            <w:r>
              <w:rPr>
                <w:rFonts w:ascii="宋体" w:hAnsi="宋体" w:eastAsia="宋体"/>
                <w:b w:val="0"/>
                <w:color w:val="000000"/>
                <w:sz w:val="21"/>
              </w:rPr>
              <w:t>OPA228: 33 MHz, 10 V/μs</w:t>
            </w:r>
          </w:p>
          <w:p>
            <w:pPr>
              <w:spacing w:before="0" w:after="0" w:lineRule="auto" w:line="240"/>
              <w:ind w:left="480" w:right="0" w:hanging="180"/>
              <w:jc w:val="left"/>
              <w:numPr>
                <w:ilvl w:val="1"/>
                <w:numId w:val="7"/>
              </w:numPr>
            </w:pPr>
            <w:r>
              <w:rPr>
                <w:rFonts w:ascii="宋体" w:hAnsi="宋体" w:eastAsia="宋体"/>
                <w:b w:val="0"/>
                <w:color w:val="000000"/>
                <w:sz w:val="21"/>
              </w:rPr>
              <w:t>Settling time: 5 μs</w:t>
            </w:r>
          </w:p>
          <w:p>
            <w:pPr>
              <w:spacing w:before="0" w:after="0" w:lineRule="auto" w:line="240"/>
              <w:ind w:left="240" w:right="0" w:hanging="180"/>
              <w:jc w:val="left"/>
              <w:numPr>
                <w:ilvl w:val="0"/>
                <w:numId w:val="7"/>
              </w:numPr>
            </w:pPr>
            <w:r>
              <w:rPr>
                <w:rFonts w:ascii="宋体" w:hAnsi="宋体" w:eastAsia="宋体"/>
                <w:b w:val="0"/>
                <w:color w:val="000000"/>
                <w:sz w:val="21"/>
              </w:rPr>
              <w:t>High CMRR: 138 dB</w:t>
            </w:r>
          </w:p>
          <w:p>
            <w:pPr>
              <w:spacing w:before="0" w:after="0" w:lineRule="auto" w:line="240"/>
              <w:ind w:left="240" w:right="0" w:hanging="180"/>
              <w:jc w:val="left"/>
              <w:numPr>
                <w:ilvl w:val="0"/>
                <w:numId w:val="7"/>
              </w:numPr>
            </w:pPr>
            <w:r>
              <w:rPr>
                <w:rFonts w:ascii="宋体" w:hAnsi="宋体" w:eastAsia="宋体"/>
                <w:b w:val="0"/>
                <w:color w:val="000000"/>
                <w:sz w:val="21"/>
              </w:rPr>
              <w:t>High open-loop gain: 160 dB</w:t>
            </w:r>
          </w:p>
          <w:p>
            <w:pPr>
              <w:spacing w:before="0" w:after="0" w:lineRule="auto" w:line="240"/>
              <w:ind w:left="240" w:right="0" w:hanging="180"/>
              <w:jc w:val="left"/>
              <w:numPr>
                <w:ilvl w:val="0"/>
                <w:numId w:val="7"/>
              </w:numPr>
            </w:pPr>
            <w:r>
              <w:rPr>
                <w:rFonts w:ascii="宋体" w:hAnsi="宋体" w:eastAsia="宋体"/>
                <w:b w:val="0"/>
                <w:color w:val="000000"/>
                <w:sz w:val="21"/>
              </w:rPr>
              <w:t>Low input bias current: 10 nA maximum</w:t>
            </w:r>
          </w:p>
          <w:p>
            <w:pPr>
              <w:spacing w:before="0" w:after="0" w:lineRule="auto" w:line="240"/>
              <w:ind w:left="240" w:right="0" w:hanging="180"/>
              <w:jc w:val="left"/>
              <w:numPr>
                <w:ilvl w:val="0"/>
                <w:numId w:val="7"/>
              </w:numPr>
            </w:pPr>
            <w:r>
              <w:rPr>
                <w:rFonts w:ascii="宋体" w:hAnsi="宋体" w:eastAsia="宋体"/>
                <w:b w:val="0"/>
                <w:color w:val="000000"/>
                <w:sz w:val="21"/>
              </w:rPr>
              <w:t>Low offset voltage: 75 μV maximum</w:t>
            </w:r>
          </w:p>
          <w:p>
            <w:pPr>
              <w:spacing w:before="0" w:after="0" w:lineRule="auto" w:line="240"/>
              <w:ind w:left="240" w:right="0" w:hanging="180"/>
              <w:jc w:val="left"/>
              <w:numPr>
                <w:ilvl w:val="0"/>
                <w:numId w:val="7"/>
              </w:numPr>
            </w:pPr>
            <w:r>
              <w:rPr>
                <w:rFonts w:ascii="宋体" w:hAnsi="宋体" w:eastAsia="宋体"/>
                <w:b w:val="0"/>
                <w:color w:val="000000"/>
                <w:sz w:val="21"/>
              </w:rPr>
              <w:t>Wide supply range: ±2.5 V to ±18 V</w:t>
            </w:r>
          </w:p>
          <w:p>
            <w:pPr>
              <w:spacing w:before="0" w:after="0" w:lineRule="auto" w:line="240"/>
              <w:ind w:left="240" w:right="0" w:hanging="180"/>
              <w:jc w:val="left"/>
              <w:numPr>
                <w:ilvl w:val="0"/>
                <w:numId w:val="7"/>
              </w:numPr>
            </w:pPr>
            <w:r>
              <w:rPr>
                <w:rFonts w:ascii="宋体" w:hAnsi="宋体" w:eastAsia="宋体"/>
                <w:b w:val="0"/>
                <w:color w:val="000000"/>
                <w:sz w:val="21"/>
              </w:rPr>
              <w:t>Single, dual, and quad versions</w:t>
            </w:r>
          </w:p>
          <w:p>
            <w:pPr>
              <w:pStyle w:val="3"/>
              <w:spacing w:before="160" w:after="120" w:lineRule="auto" w:line="288"/>
              <w:ind w:firstLine="0" w:left="0" w:right="0"/>
              <w:jc w:val="left"/>
            </w:pPr>
            <w:r>
              <w:rPr>
                <w:rFonts w:ascii="宋体" w:hAnsi="宋体" w:eastAsia="宋体"/>
                <w:b/>
                <w:color w:val="0C69B2"/>
                <w:sz w:val="26"/>
              </w:rPr>
              <w:t>2 Applications</w:t>
            </w:r>
          </w:p>
          <w:p>
            <w:pPr>
              <w:spacing w:before="0" w:after="0" w:lineRule="auto" w:line="240"/>
              <w:ind w:left="240" w:right="0" w:hanging="180"/>
              <w:jc w:val="left"/>
              <w:numPr>
                <w:ilvl w:val="0"/>
                <w:numId w:val="7"/>
              </w:numPr>
            </w:pPr>
            <w:r>
              <w:rPr>
                <w:rFonts w:ascii="宋体" w:hAnsi="宋体" w:eastAsia="宋体"/>
                <w:b w:val="0"/>
                <w:color w:val="000000"/>
                <w:sz w:val="21"/>
              </w:rPr>
              <w:t>Data acquisition (DAQ)</w:t>
            </w:r>
          </w:p>
          <w:p>
            <w:pPr>
              <w:spacing w:before="0" w:after="0" w:lineRule="auto" w:line="240"/>
              <w:ind w:left="240" w:right="0" w:hanging="180"/>
              <w:jc w:val="left"/>
              <w:numPr>
                <w:ilvl w:val="0"/>
                <w:numId w:val="7"/>
              </w:numPr>
            </w:pPr>
            <w:r>
              <w:rPr>
                <w:rFonts w:ascii="宋体" w:hAnsi="宋体" w:eastAsia="宋体"/>
                <w:b w:val="0"/>
                <w:color w:val="000000"/>
                <w:sz w:val="21"/>
              </w:rPr>
              <w:t>Condition monitoring sensor</w:t>
            </w:r>
          </w:p>
          <w:p>
            <w:pPr>
              <w:spacing w:before="0" w:after="0" w:lineRule="auto" w:line="240"/>
              <w:ind w:left="480" w:right="0" w:hanging="180"/>
              <w:jc w:val="left"/>
              <w:numPr>
                <w:ilvl w:val="1"/>
                <w:numId w:val="7"/>
              </w:numPr>
            </w:pPr>
            <w:r>
              <w:rPr>
                <w:rFonts w:ascii="宋体" w:hAnsi="宋体" w:eastAsia="宋体"/>
                <w:b w:val="0"/>
                <w:color w:val="000000"/>
                <w:sz w:val="21"/>
              </w:rPr>
              <w:t>Spectrum analyzer</w:t>
            </w:r>
          </w:p>
          <w:p>
            <w:pPr>
              <w:spacing w:before="0" w:after="0" w:lineRule="auto" w:line="240"/>
              <w:ind w:left="240" w:right="0" w:hanging="180"/>
              <w:jc w:val="left"/>
              <w:numPr>
                <w:ilvl w:val="0"/>
                <w:numId w:val="7"/>
              </w:numPr>
            </w:pPr>
            <w:r>
              <w:rPr>
                <w:rFonts w:ascii="宋体" w:hAnsi="宋体" w:eastAsia="宋体"/>
                <w:b w:val="0"/>
                <w:color w:val="000000"/>
                <w:sz w:val="21"/>
              </w:rPr>
              <w:t>Professional audio amplifier (rack mount)</w:t>
            </w:r>
          </w:p>
          <w:p>
            <w:pPr>
              <w:spacing w:before="0" w:after="0" w:lineRule="auto" w:line="240"/>
              <w:ind w:left="240" w:right="0" w:hanging="180"/>
              <w:jc w:val="left"/>
              <w:numPr>
                <w:ilvl w:val="0"/>
                <w:numId w:val="7"/>
              </w:numPr>
            </w:pPr>
            <w:r>
              <w:rPr>
                <w:rFonts w:ascii="宋体" w:hAnsi="宋体" w:eastAsia="宋体"/>
                <w:b w:val="0"/>
                <w:color w:val="000000"/>
                <w:sz w:val="21"/>
              </w:rPr>
              <w:t>Industrial AC-DC</w:t>
            </w:r>
          </w:p>
          <w:p>
            <w:pPr>
              <w:keepNext/>
              <w:jc w:val="center"/>
            </w:pPr>
            <w:r>
              <w:drawing>
                <wp:inline xmlns:a="http://schemas.openxmlformats.org/drawingml/2006/main" xmlns:pic="http://schemas.openxmlformats.org/drawingml/2006/picture">
                  <wp:extent cx="2268000" cy="151778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268000" cy="1517789"/>
                          </a:xfrm>
                          <a:prstGeom prst="rect"/>
                        </pic:spPr>
                      </pic:pic>
                    </a:graphicData>
                  </a:graphic>
                </wp:inline>
              </w:drawing>
            </w:r>
          </w:p>
          <w:p>
            <w:pPr>
              <w:spacing w:before="80" w:after="80" w:lineRule="auto" w:line="240"/>
              <w:ind w:firstLine="0" w:left="0" w:right="0"/>
              <w:jc w:val="center"/>
            </w:pPr>
            <w:r>
              <w:rPr>
                <w:rFonts w:ascii="宋体" w:hAnsi="宋体" w:eastAsia="宋体"/>
                <w:b w:val="0"/>
                <w:color w:val="000000"/>
                <w:sz w:val="18"/>
              </w:rPr>
              <w:t>Input Voltage and Current Noise Spectral Density vs Frequency</w:t>
            </w:r>
          </w:p>
        </w:tc>
        <w:tc>
          <w:tcPr>
            <w:tcW w:type="dxa" w:w="5046"/>
            <w:vAlign w:val="top"/>
          </w:tcPr>
          <w:p>
            <w:r/>
          </w:p>
          <w:p>
            <w:pPr>
              <w:pStyle w:val="3"/>
              <w:spacing w:before="160" w:after="120" w:lineRule="auto" w:line="288"/>
              <w:ind w:firstLine="0" w:left="0" w:right="0"/>
              <w:jc w:val="left"/>
            </w:pPr>
            <w:r>
              <w:rPr>
                <w:rFonts w:ascii="宋体" w:hAnsi="宋体" w:eastAsia="宋体"/>
                <w:b/>
                <w:color w:val="0C69B2"/>
                <w:sz w:val="26"/>
              </w:rPr>
              <w:t>3 Description</w:t>
            </w:r>
          </w:p>
          <w:p>
            <w:pPr>
              <w:spacing w:before="0" w:after="0" w:lineRule="auto" w:line="288"/>
              <w:ind w:firstLine="420" w:left="0" w:right="0"/>
              <w:jc w:val="both"/>
            </w:pPr>
            <w:r>
              <w:rPr>
                <w:rFonts w:ascii="宋体" w:hAnsi="宋体" w:eastAsia="宋体"/>
                <w:b w:val="0"/>
                <w:color w:val="000000"/>
                <w:sz w:val="21"/>
              </w:rPr>
              <w:t>The OPAx227 and OPAx228 series operational amplifiers combine low noise and wide bandwidth with high precision to make them an excellent choice for applications requiring both ac and precision dc performance.</w:t>
            </w:r>
          </w:p>
          <w:p>
            <w:pPr>
              <w:spacing w:before="0" w:after="0" w:lineRule="auto" w:line="288"/>
              <w:ind w:firstLine="420" w:left="0" w:right="0"/>
              <w:jc w:val="both"/>
            </w:pPr>
            <w:r>
              <w:rPr>
                <w:rFonts w:ascii="宋体" w:hAnsi="宋体" w:eastAsia="宋体"/>
                <w:b w:val="0"/>
                <w:color w:val="000000"/>
                <w:sz w:val="21"/>
              </w:rPr>
              <w:t>The OPAx227 are unity-gain stable and features high slew rate (2.3 V/μs) and wide bandwidth (8 MHz). The OPAx228 are optimized for closed-loop gains of 5 or greater, and offers higher speed with a slew rate of 10 V/μs and a bandwidth of 33 MHz.</w:t>
            </w:r>
          </w:p>
          <w:p>
            <w:pPr>
              <w:spacing w:before="0" w:after="0" w:lineRule="auto" w:line="288"/>
              <w:ind w:firstLine="420" w:left="0" w:right="0"/>
              <w:jc w:val="both"/>
            </w:pPr>
            <w:r>
              <w:rPr>
                <w:rFonts w:ascii="宋体" w:hAnsi="宋体" w:eastAsia="宋体"/>
                <w:b w:val="0"/>
                <w:color w:val="000000"/>
                <w:sz w:val="21"/>
              </w:rPr>
              <w:t>The OPAx227 and OPAx228 series operational amplifiers are an excellent choice for professional audio equipment. In addition, low quiescent current and low cost make these op amps an excellent choice for portable applications requiring high precision.</w:t>
            </w:r>
          </w:p>
          <w:p>
            <w:pPr>
              <w:spacing w:before="0" w:after="0" w:lineRule="auto" w:line="288"/>
              <w:ind w:firstLine="420" w:left="0" w:right="0"/>
              <w:jc w:val="both"/>
            </w:pPr>
            <w:r>
              <w:rPr>
                <w:rFonts w:ascii="宋体" w:hAnsi="宋体" w:eastAsia="宋体"/>
                <w:b w:val="0"/>
                <w:color w:val="000000"/>
                <w:sz w:val="21"/>
              </w:rPr>
              <w:t>The OPAx227 and OPAx228 series operational amplifiers are pin-for-pin replacements for the industry-standard OP27 and OP37 with substantial improvements across the board. The dual and quad versions are available for space savings and per-channel cost reduction.</w:t>
            </w:r>
          </w:p>
          <w:p>
            <w:pPr>
              <w:spacing w:before="0" w:after="0" w:lineRule="auto" w:line="288"/>
              <w:ind w:firstLine="420" w:left="0" w:right="0"/>
              <w:jc w:val="both"/>
            </w:pPr>
            <w:r>
              <w:rPr>
                <w:rFonts w:ascii="宋体" w:hAnsi="宋体" w:eastAsia="宋体"/>
                <w:b w:val="0"/>
                <w:color w:val="000000"/>
                <w:sz w:val="21"/>
              </w:rPr>
              <w:t>The OPAx227 and OPAx228, are available in DIP-8 and SO-8 packages. The OPA4227 and OPA4228 are available in DIP-14 and SO-14 packages with standard pin configurations. Operation is specified from -40°C to +85°C .</w:t>
            </w:r>
          </w:p>
          <w:p>
            <w:pPr>
              <w:keepNext/>
              <w:spacing w:before="80" w:after="80" w:lineRule="auto" w:line="240"/>
              <w:ind w:firstLine="0" w:left="0" w:right="0"/>
              <w:jc w:val="center"/>
            </w:pPr>
            <w:r>
              <w:rPr>
                <w:rFonts w:ascii="宋体" w:hAnsi="宋体" w:eastAsia="宋体"/>
                <w:b w:val="0"/>
                <w:color w:val="000000"/>
                <w:sz w:val="18"/>
              </w:rPr>
              <w:t>Device Information</w:t>
            </w:r>
          </w:p>
          <w:tbl>
            <w:tblPr>
              <w:tblStyle w:val="33"/>
              <w:tblW w:type="auto" w:w="0"/>
              <w:jc w:val="center"/>
              <w:tblLayout w:type="fixed"/>
              <w:tblLook w:firstColumn="1" w:firstRow="1" w:lastColumn="0" w:lastRow="0" w:noHBand="0" w:noVBand="1" w:val="04A0"/>
            </w:tblPr>
            <w:tblGrid>
              <w:gridCol w:w="2646"/>
              <w:gridCol w:w="2646"/>
              <w:gridCol w:w="2646"/>
            </w:tblGrid>
            <w:tr>
              <w:trPr>
                <w:cantSplit/>
                <w:tblHeader w:val="true"/>
              </w:trPr>
              <w:tc>
                <w:tcPr>
                  <w:tcW w:type="dxa" w:w="2646"/>
                  <w:shd w:fill="EEF3F8"/>
                  <w:vAlign w:val="center"/>
                </w:tcPr>
                <w:p>
                  <w:pPr>
                    <w:spacing w:before="0" w:after="0" w:lineRule="auto" w:line="240"/>
                    <w:ind w:firstLine="0" w:left="0" w:right="0"/>
                    <w:jc w:val="center"/>
                  </w:pPr>
                  <w:r/>
                  <w:r>
                    <w:rPr>
                      <w:rFonts w:ascii="宋体" w:hAnsi="宋体" w:eastAsia="宋体"/>
                      <w:color w:val="000000"/>
                      <w:sz w:val="18"/>
                    </w:rPr>
                    <w:t>PART NUMBER</w:t>
                  </w:r>
                </w:p>
              </w:tc>
              <w:tc>
                <w:tcPr>
                  <w:tcW w:type="dxa" w:w="2646"/>
                  <w:shd w:fill="EEF3F8"/>
                  <w:vAlign w:val="center"/>
                </w:tcPr>
                <w:p>
                  <w:pPr>
                    <w:spacing w:before="0" w:after="0" w:lineRule="auto" w:line="240"/>
                    <w:ind w:firstLine="0" w:left="0" w:right="0"/>
                    <w:jc w:val="center"/>
                  </w:pPr>
                  <w:r/>
                  <w:r>
                    <w:rPr>
                      <w:rFonts w:ascii="宋体" w:hAnsi="宋体" w:eastAsia="宋体"/>
                      <w:color w:val="000000"/>
                      <w:sz w:val="18"/>
                    </w:rPr>
                    <w:t>CHANNELS</w:t>
                  </w:r>
                </w:p>
              </w:tc>
              <w:tc>
                <w:tcPr>
                  <w:tcW w:type="dxa" w:w="2646"/>
                  <w:shd w:fill="EEF3F8"/>
                  <w:vAlign w:val="center"/>
                </w:tcPr>
                <w:p>
                  <w:pPr>
                    <w:spacing w:before="0" w:after="0" w:lineRule="auto" w:line="240"/>
                    <w:ind w:firstLine="0" w:left="0" w:right="0"/>
                    <w:jc w:val="center"/>
                  </w:pPr>
                  <w:r/>
                  <w:r>
                    <w:rPr>
                      <w:rFonts w:ascii="宋体" w:hAnsi="宋体" w:eastAsia="宋体"/>
                      <w:color w:val="000000"/>
                      <w:sz w:val="18"/>
                    </w:rPr>
                    <w:t xml:space="preserve"> PACKAGE</w:t>
                  </w:r>
                  <w:r>
                    <w:rPr>
                      <w:rFonts w:ascii="宋体" w:hAnsi="宋体" w:eastAsia="宋体"/>
                      <w:color w:val="000000"/>
                      <w:sz w:val="18"/>
                      <w:vertAlign w:val="superscript"/>
                    </w:rPr>
                    <w:t>(1)</w:t>
                  </w:r>
                  <w:r>
                    <w:rPr>
                      <w:rFonts w:ascii="宋体" w:hAnsi="宋体" w:eastAsia="宋体"/>
                      <w:color w:val="000000"/>
                      <w:sz w:val="18"/>
                    </w:rPr>
                    <w:t xml:space="preserve"> </w:t>
                  </w:r>
                </w:p>
              </w:tc>
            </w:tr>
            <w:tr>
              <w:trPr>
                <w:cantSplit/>
              </w:trPr>
              <w:tc>
                <w:tcPr>
                  <w:tcW w:type="dxa" w:w="2646"/>
                  <w:vMerge w:val="restart"/>
                  <w:vAlign w:val="center"/>
                </w:tcPr>
                <w:p>
                  <w:pPr>
                    <w:spacing w:before="0" w:after="0" w:lineRule="auto" w:line="240"/>
                    <w:ind w:firstLine="0" w:left="0" w:right="0"/>
                    <w:jc w:val="left"/>
                  </w:pPr>
                  <w:r/>
                  <w:r>
                    <w:rPr>
                      <w:rFonts w:ascii="宋体" w:hAnsi="宋体" w:eastAsia="宋体"/>
                      <w:color w:val="000000"/>
                      <w:sz w:val="18"/>
                    </w:rPr>
                    <w:t>OPA227, OPA228</w:t>
                  </w:r>
                </w:p>
              </w:tc>
              <w:tc>
                <w:tcPr>
                  <w:tcW w:type="dxa" w:w="2646"/>
                  <w:vMerge w:val="restart"/>
                  <w:vAlign w:val="center"/>
                </w:tcPr>
                <w:p>
                  <w:pPr>
                    <w:spacing w:before="0" w:after="0" w:lineRule="auto" w:line="240"/>
                    <w:ind w:firstLine="0" w:left="0" w:right="0"/>
                    <w:jc w:val="left"/>
                  </w:pPr>
                  <w:r/>
                  <w:r>
                    <w:rPr>
                      <w:rFonts w:ascii="宋体" w:hAnsi="宋体" w:eastAsia="宋体"/>
                      <w:color w:val="000000"/>
                      <w:sz w:val="18"/>
                    </w:rPr>
                    <w:t>Single</w:t>
                  </w:r>
                </w:p>
              </w:tc>
              <w:tc>
                <w:tcPr>
                  <w:tcW w:type="dxa" w:w="2646"/>
                  <w:vAlign w:val="center"/>
                </w:tcPr>
                <w:p>
                  <w:pPr>
                    <w:spacing w:before="0" w:after="0" w:lineRule="auto" w:line="240"/>
                    <w:ind w:firstLine="0" w:left="0" w:right="0"/>
                    <w:jc w:val="left"/>
                  </w:pPr>
                  <w:r/>
                  <w:r>
                    <w:rPr>
                      <w:rFonts w:ascii="宋体" w:hAnsi="宋体" w:eastAsia="宋体"/>
                      <w:color w:val="000000"/>
                      <w:sz w:val="18"/>
                    </w:rPr>
                    <w:t>P (PDIP, 8)</w:t>
                  </w:r>
                </w:p>
              </w:tc>
            </w:tr>
            <w:tr>
              <w:trPr>
                <w:cantSplit/>
              </w:trPr>
              <w:tc>
                <w:tcPr>
                  <w:tcW w:type="dxa" w:w="1682"/>
                  <w:vMerge/>
                </w:tcPr>
                <w:p/>
              </w:tc>
              <w:tc>
                <w:tcPr>
                  <w:tcW w:type="dxa" w:w="1682"/>
                  <w:vMerge/>
                </w:tcPr>
                <w:p/>
              </w:tc>
              <w:tc>
                <w:tcPr>
                  <w:tcW w:type="dxa" w:w="2646"/>
                  <w:vAlign w:val="center"/>
                </w:tcPr>
                <w:p>
                  <w:pPr>
                    <w:spacing w:before="0" w:after="0" w:lineRule="auto" w:line="240"/>
                    <w:ind w:firstLine="0" w:left="0" w:right="0"/>
                    <w:jc w:val="left"/>
                  </w:pPr>
                  <w:r/>
                  <w:r>
                    <w:rPr>
                      <w:rFonts w:ascii="宋体" w:hAnsi="宋体" w:eastAsia="宋体"/>
                      <w:color w:val="000000"/>
                      <w:sz w:val="18"/>
                    </w:rPr>
                    <w:t>D (SOIC, 8)</w:t>
                  </w:r>
                </w:p>
              </w:tc>
            </w:tr>
            <w:tr>
              <w:trPr>
                <w:cantSplit/>
              </w:trPr>
              <w:tc>
                <w:tcPr>
                  <w:tcW w:type="dxa" w:w="2646"/>
                  <w:vMerge w:val="restart"/>
                  <w:vAlign w:val="center"/>
                </w:tcPr>
                <w:p>
                  <w:pPr>
                    <w:spacing w:before="0" w:after="0" w:lineRule="auto" w:line="240"/>
                    <w:ind w:firstLine="0" w:left="0" w:right="0"/>
                    <w:jc w:val="left"/>
                  </w:pPr>
                  <w:r/>
                  <w:r>
                    <w:rPr>
                      <w:rFonts w:ascii="宋体" w:hAnsi="宋体" w:eastAsia="宋体"/>
                      <w:color w:val="000000"/>
                      <w:sz w:val="18"/>
                    </w:rPr>
                    <w:t>OPA2227, OPA2228</w:t>
                  </w:r>
                </w:p>
              </w:tc>
              <w:tc>
                <w:tcPr>
                  <w:tcW w:type="dxa" w:w="2646"/>
                  <w:vMerge w:val="restart"/>
                  <w:vAlign w:val="center"/>
                </w:tcPr>
                <w:p>
                  <w:pPr>
                    <w:spacing w:before="0" w:after="0" w:lineRule="auto" w:line="240"/>
                    <w:ind w:firstLine="0" w:left="0" w:right="0"/>
                    <w:jc w:val="left"/>
                  </w:pPr>
                  <w:r/>
                  <w:r>
                    <w:rPr>
                      <w:rFonts w:ascii="宋体" w:hAnsi="宋体" w:eastAsia="宋体"/>
                      <w:color w:val="000000"/>
                      <w:sz w:val="18"/>
                    </w:rPr>
                    <w:t>Dual</w:t>
                  </w:r>
                </w:p>
              </w:tc>
              <w:tc>
                <w:tcPr>
                  <w:tcW w:type="dxa" w:w="2646"/>
                  <w:vAlign w:val="center"/>
                </w:tcPr>
                <w:p>
                  <w:pPr>
                    <w:spacing w:before="0" w:after="0" w:lineRule="auto" w:line="240"/>
                    <w:ind w:firstLine="0" w:left="0" w:right="0"/>
                    <w:jc w:val="left"/>
                  </w:pPr>
                  <w:r/>
                  <w:r>
                    <w:rPr>
                      <w:rFonts w:ascii="宋体" w:hAnsi="宋体" w:eastAsia="宋体"/>
                      <w:color w:val="000000"/>
                      <w:sz w:val="18"/>
                    </w:rPr>
                    <w:t>P (PDIP, 8)</w:t>
                  </w:r>
                </w:p>
              </w:tc>
            </w:tr>
            <w:tr>
              <w:trPr>
                <w:cantSplit/>
              </w:trPr>
              <w:tc>
                <w:tcPr>
                  <w:tcW w:type="dxa" w:w="1682"/>
                  <w:vMerge/>
                </w:tcPr>
                <w:p/>
              </w:tc>
              <w:tc>
                <w:tcPr>
                  <w:tcW w:type="dxa" w:w="1682"/>
                  <w:vMerge/>
                </w:tcPr>
                <w:p/>
              </w:tc>
              <w:tc>
                <w:tcPr>
                  <w:tcW w:type="dxa" w:w="2646"/>
                  <w:vAlign w:val="center"/>
                </w:tcPr>
                <w:p>
                  <w:pPr>
                    <w:spacing w:before="0" w:after="0" w:lineRule="auto" w:line="240"/>
                    <w:ind w:firstLine="0" w:left="0" w:right="0"/>
                    <w:jc w:val="left"/>
                  </w:pPr>
                  <w:r/>
                  <w:r>
                    <w:rPr>
                      <w:rFonts w:ascii="宋体" w:hAnsi="宋体" w:eastAsia="宋体"/>
                      <w:color w:val="000000"/>
                      <w:sz w:val="18"/>
                    </w:rPr>
                    <w:t>D (SOIC, 8)</w:t>
                  </w:r>
                </w:p>
              </w:tc>
            </w:tr>
            <w:tr>
              <w:trPr>
                <w:cantSplit/>
              </w:trPr>
              <w:tc>
                <w:tcPr>
                  <w:tcW w:type="dxa" w:w="2646"/>
                  <w:vMerge w:val="restart"/>
                  <w:vAlign w:val="center"/>
                </w:tcPr>
                <w:p>
                  <w:pPr>
                    <w:spacing w:before="0" w:after="0" w:lineRule="auto" w:line="240"/>
                    <w:ind w:firstLine="0" w:left="0" w:right="0"/>
                    <w:jc w:val="left"/>
                  </w:pPr>
                  <w:r/>
                  <w:r>
                    <w:rPr>
                      <w:rFonts w:ascii="宋体" w:hAnsi="宋体" w:eastAsia="宋体"/>
                      <w:color w:val="000000"/>
                      <w:sz w:val="18"/>
                    </w:rPr>
                    <w:t>OPA4227, OPA4228</w:t>
                  </w:r>
                </w:p>
              </w:tc>
              <w:tc>
                <w:tcPr>
                  <w:tcW w:type="dxa" w:w="2646"/>
                  <w:vMerge w:val="restart"/>
                  <w:vAlign w:val="center"/>
                </w:tcPr>
                <w:p>
                  <w:pPr>
                    <w:spacing w:before="0" w:after="0" w:lineRule="auto" w:line="240"/>
                    <w:ind w:firstLine="0" w:left="0" w:right="0"/>
                    <w:jc w:val="left"/>
                  </w:pPr>
                  <w:r/>
                  <w:r>
                    <w:rPr>
                      <w:rFonts w:ascii="宋体" w:hAnsi="宋体" w:eastAsia="宋体"/>
                      <w:color w:val="000000"/>
                      <w:sz w:val="18"/>
                    </w:rPr>
                    <w:t>Quad</w:t>
                  </w:r>
                </w:p>
              </w:tc>
              <w:tc>
                <w:tcPr>
                  <w:tcW w:type="dxa" w:w="2646"/>
                  <w:vAlign w:val="center"/>
                </w:tcPr>
                <w:p>
                  <w:pPr>
                    <w:spacing w:before="0" w:after="0" w:lineRule="auto" w:line="240"/>
                    <w:ind w:firstLine="0" w:left="0" w:right="0"/>
                    <w:jc w:val="left"/>
                  </w:pPr>
                  <w:r/>
                  <w:r>
                    <w:rPr>
                      <w:rFonts w:ascii="宋体" w:hAnsi="宋体" w:eastAsia="宋体"/>
                      <w:color w:val="000000"/>
                      <w:sz w:val="18"/>
                    </w:rPr>
                    <w:t>N (PDIP, 14)</w:t>
                  </w:r>
                </w:p>
              </w:tc>
            </w:tr>
            <w:tr>
              <w:trPr>
                <w:cantSplit/>
              </w:trPr>
              <w:tc>
                <w:tcPr>
                  <w:tcW w:type="dxa" w:w="1682"/>
                  <w:vMerge/>
                </w:tcPr>
                <w:p/>
              </w:tc>
              <w:tc>
                <w:tcPr>
                  <w:tcW w:type="dxa" w:w="1682"/>
                  <w:vMerge/>
                </w:tcPr>
                <w:p/>
              </w:tc>
              <w:tc>
                <w:tcPr>
                  <w:tcW w:type="dxa" w:w="2646"/>
                  <w:vAlign w:val="center"/>
                </w:tcPr>
                <w:p>
                  <w:pPr>
                    <w:spacing w:before="0" w:after="0" w:lineRule="auto" w:line="240"/>
                    <w:ind w:firstLine="0" w:left="0" w:right="0"/>
                    <w:jc w:val="left"/>
                  </w:pPr>
                  <w:r/>
                  <w:r>
                    <w:rPr>
                      <w:rFonts w:ascii="宋体" w:hAnsi="宋体" w:eastAsia="宋体"/>
                      <w:color w:val="000000"/>
                      <w:sz w:val="18"/>
                    </w:rPr>
                    <w:t>D (SOIC, 14)</w:t>
                  </w:r>
                </w:p>
              </w:tc>
            </w:tr>
          </w:tbl>
          <w:p/>
          <w:p>
            <w:pPr>
              <w:spacing w:before="20" w:after="60" w:lineRule="auto" w:line="240"/>
              <w:ind w:firstLine="0" w:left="0" w:right="0"/>
              <w:jc w:val="left"/>
            </w:pPr>
            <w:r>
              <w:rPr>
                <w:rFonts w:ascii="宋体" w:hAnsi="宋体" w:eastAsia="宋体"/>
                <w:i w:val="0"/>
                <w:color w:val="666666"/>
                <w:sz w:val="16"/>
              </w:rPr>
              <w:t>(1) For all available packages, see the orderable addendum at the end of the data sheet.</w:t>
            </w:r>
          </w:p>
        </w:tc>
      </w:tr>
    </w:tbl>
    <w:sectPr>
      <w:headerReference r:id="rId5" w:type="default"/>
      <w:footerReference r:id="rId6" w:type="default"/>
      <w:pgSz w:w="11906" w:h="16838"/>
      <w:pgMar w:top="1304" w:right="907" w:bottom="1304" w:left="907" w:header="680"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ku Gothic Light"/>
    <w:panose1 w:val="00000000000000000000"/>
    <w:charset w:val="00"/>
    <w:family w:val="auto"/>
    <w:pitch w:val="default"/>
    <w:sig w:usb0="00000000" w:usb1="00000000" w:usb2="00000000" w:usb3="00000000" w:csb0="00000000" w:csb1="00000000"/>
  </w:font>
  <w:font w:name="Koku Gothic Light">
    <w:panose1 w:val="02000600000000000000"/>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1E589">
    <w:pPr>
      <w:pStyle w:val="24"/>
      <w:jc w:val="center"/>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EEBC4">
    <w:pPr>
      <w:pStyle w:val="25"/>
      <w:pBdr>
        <w:bottom w:val="none" w:color="auto" w:sz="0" w:space="0"/>
      </w:pBdr>
    </w:pPr>
    <w:r>
      <w:rPr>
        <w:rFonts w:hint="eastAsia" w:ascii="微软雅黑" w:hAnsi="微软雅黑" w:eastAsia="微软雅黑" w:cs="微软雅黑"/>
        <w:color w:val="0070C0"/>
        <w:sz w:val="13"/>
        <w:szCs w:val="13"/>
      </w:rPr>
      <w:drawing>
        <wp:anchor distT="0" distB="0" distL="114300" distR="114300" simplePos="0" relativeHeight="251659264" behindDoc="0" locked="0" layoutInCell="1" allowOverlap="1">
          <wp:simplePos x="0" y="0"/>
          <wp:positionH relativeFrom="column">
            <wp:posOffset>12700</wp:posOffset>
          </wp:positionH>
          <wp:positionV relativeFrom="page">
            <wp:posOffset>584200</wp:posOffset>
          </wp:positionV>
          <wp:extent cx="2164080" cy="725170"/>
          <wp:effectExtent l="0" t="0" r="7620" b="17780"/>
          <wp:wrapNone/>
          <wp:docPr id="1" name="图片 1" descr="C:\Users\Penci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Pencil\Desktop\图片1.png图片1"/>
                  <pic:cNvPicPr>
                    <a:picLocks noChangeAspect="1"/>
                  </pic:cNvPicPr>
                </pic:nvPicPr>
                <pic:blipFill>
                  <a:blip r:embed="rId1"/>
                  <a:srcRect/>
                  <a:stretch>
                    <a:fillRect/>
                  </a:stretch>
                </pic:blipFill>
                <pic:spPr>
                  <a:xfrm>
                    <a:off x="0" y="0"/>
                    <a:ext cx="2164080" cy="725170"/>
                  </a:xfrm>
                  <a:prstGeom prst="rect">
                    <a:avLst/>
                  </a:prstGeom>
                </pic:spPr>
              </pic:pic>
            </a:graphicData>
          </a:graphic>
        </wp:anchor>
      </w:drawing>
    </w:r>
  </w:p>
  <w:p w14:paraId="32FF929B">
    <w:pPr>
      <w:pStyle w:val="25"/>
      <w:pBdr>
        <w:bottom w:val="none" w:color="auto" w:sz="0" w:space="0"/>
      </w:pBdr>
    </w:pPr>
  </w:p>
  <w:p w14:paraId="5FF16CBA">
    <w:pPr>
      <w:pStyle w:val="25"/>
      <w:pBdr>
        <w:bottom w:val="none" w:color="auto" w:sz="0" w:space="0"/>
      </w:pBdr>
      <w:rPr>
        <w:sz w:val="10"/>
        <w:szCs w:val="10"/>
      </w:rPr>
    </w:pPr>
  </w:p>
  <w:p w14:paraId="607875B3">
    <w:pPr>
      <w:keepNext w:val="0"/>
      <w:keepLines w:val="0"/>
      <w:pageBreakBefore w:val="0"/>
      <w:widowControl/>
      <w:pBdr>
        <w:bottom w:val="thinThickSmallGap" w:color="auto" w:sz="12" w:space="0"/>
      </w:pBdr>
      <w:kinsoku/>
      <w:wordWrap/>
      <w:overflowPunct/>
      <w:topLinePunct w:val="0"/>
      <w:bidi w:val="0"/>
      <w:adjustRightInd/>
      <w:snapToGrid/>
      <w:spacing w:line="250" w:lineRule="auto"/>
      <w:ind w:left="0" w:leftChars="0" w:firstLine="0" w:firstLineChars="0"/>
      <w:jc w:val="right"/>
      <w:textAlignment w:val="auto"/>
      <w:rPr>
        <w:rFonts w:hint="default" w:ascii="微软雅黑" w:hAnsi="微软雅黑" w:eastAsia="微软雅黑" w:cs="微软雅黑"/>
        <w:color w:val="0070C0"/>
        <w:sz w:val="28"/>
        <w:szCs w:val="28"/>
        <w:lang w:val="en-US" w:eastAsia="zh-CN"/>
      </w:rPr>
    </w:pPr>
    <w:r>
      <w:rPr>
        <w:rFonts w:hint="eastAsia" w:ascii="微软雅黑" w:hAnsi="微软雅黑" w:eastAsia="微软雅黑" w:cs="微软雅黑"/>
        <w:color w:val="0070C0"/>
        <w:sz w:val="28"/>
        <w:szCs w:val="28"/>
        <w:lang w:val="en-US" w:eastAsia="zh-CN"/>
      </w:rPr>
      <w:t xml:space="preserve"> 数据手册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abstractNum w:abstractNumId="6">
    <w:multiLevelType w:val="hybridMultilevel"/>
    <w:lvl w:ilvl="0">
      <w:start w:val="1"/>
      <w:numFmt w:val="bullet"/>
      <w:lvlText w:val="•"/>
      <w:lvlJc w:val="left"/>
      <w:pPr>
        <w:ind w:left="240" w:hanging="180"/>
      </w:pPr>
    </w:lvl>
    <w:lvl w:ilvl="1">
      <w:start w:val="1"/>
      <w:numFmt w:val="bullet"/>
      <w:lvlText w:val="–"/>
      <w:lvlJc w:val="left"/>
      <w:pPr>
        <w:ind w:left="480" w:hanging="18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1C52A7"/>
    <w:rsid w:val="6DB10A93"/>
    <w:rsid w:val="75991146"/>
    <w:rsid w:val="7D7641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40"/>
      <w:jc w:val="both"/>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240" w:after="120" w:line="240" w:lineRule="auto"/>
      <w:outlineLvl w:val="0"/>
    </w:pPr>
    <w:rPr>
      <w:rFonts w:ascii="微软雅黑" w:hAnsi="微软雅黑" w:eastAsia="微软雅黑"/>
      <w:b/>
      <w:bCs/>
      <w:color w:val="0C69B2"/>
      <w:sz w:val="30"/>
      <w:szCs w:val="28"/>
    </w:rPr>
  </w:style>
  <w:style w:type="paragraph" w:styleId="4">
    <w:name w:val="heading 2"/>
    <w:basedOn w:val="1"/>
    <w:next w:val="1"/>
    <w:link w:val="139"/>
    <w:unhideWhenUsed/>
    <w:qFormat/>
    <w:uiPriority w:val="9"/>
    <w:pPr>
      <w:keepNext/>
      <w:keepLines/>
      <w:spacing w:before="120" w:after="120" w:line="240" w:lineRule="auto"/>
      <w:outlineLvl w:val="1"/>
    </w:pPr>
    <w:rPr>
      <w:rFonts w:ascii="微软雅黑" w:hAnsi="微软雅黑" w:eastAsia="微软雅黑"/>
      <w:b/>
      <w:bCs/>
      <w:color w:val="000000"/>
      <w:sz w:val="21"/>
      <w:szCs w:val="26"/>
    </w:rPr>
  </w:style>
  <w:style w:type="paragraph" w:styleId="5">
    <w:name w:val="heading 3"/>
    <w:basedOn w:val="1"/>
    <w:next w:val="1"/>
    <w:link w:val="140"/>
    <w:unhideWhenUsed/>
    <w:qFormat/>
    <w:uiPriority w:val="9"/>
    <w:pPr>
      <w:keepNext/>
      <w:keepLines/>
      <w:spacing w:before="120" w:after="60" w:line="240" w:lineRule="auto"/>
      <w:outlineLvl w:val="2"/>
    </w:pPr>
    <w:rPr>
      <w:rFonts w:ascii="宋体" w:hAnsi="宋体" w:eastAsia="宋体"/>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20" w:after="240" w:line="240" w:lineRule="auto"/>
      <w:jc w:val="center"/>
    </w:pPr>
    <w:rPr>
      <w:rFonts w:ascii="宋体" w:hAnsi="宋体" w:eastAsia="宋体"/>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artNumber"/>
    <w:qFormat/>
    <w:uiPriority w:val="0"/>
    <w:pPr>
      <w:spacing w:after="240" w:line="276" w:lineRule="auto"/>
      <w:jc w:val="center"/>
    </w:pPr>
    <w:rPr>
      <w:rFonts w:ascii="Arial" w:hAnsi="Arial" w:eastAsia="Arial" w:cstheme="minorBidi"/>
      <w:b/>
      <w:sz w:val="52"/>
      <w:szCs w:val="22"/>
      <w:lang w:val="en-US" w:eastAsia="en-US" w:bidi="ar-SA"/>
    </w:rPr>
  </w:style>
  <w:style w:type="paragraph" w:customStyle="1" w:styleId="165">
    <w:name w:val="Category"/>
    <w:qFormat/>
    <w:uiPriority w:val="0"/>
    <w:pPr>
      <w:spacing w:after="120" w:line="276" w:lineRule="auto"/>
      <w:jc w:val="center"/>
    </w:pPr>
    <w:rPr>
      <w:rFonts w:ascii="宋体" w:hAnsi="宋体" w:eastAsia="宋体" w:cstheme="minorBidi"/>
      <w:b/>
      <w:sz w:val="28"/>
      <w:szCs w:val="22"/>
      <w:lang w:val="en-US" w:eastAsia="en-US" w:bidi="ar-SA"/>
    </w:rPr>
  </w:style>
  <w:style w:type="paragraph" w:customStyle="1" w:styleId="166">
    <w:name w:val="TableContent"/>
    <w:qFormat/>
    <w:uiPriority w:val="0"/>
    <w:pPr>
      <w:spacing w:after="0" w:line="240" w:lineRule="auto"/>
    </w:pPr>
    <w:rPr>
      <w:rFonts w:ascii="宋体" w:hAnsi="宋体" w:eastAsia="宋体" w:cstheme="minorBidi"/>
      <w:sz w:val="18"/>
      <w:szCs w:val="22"/>
      <w:lang w:val="en-US" w:eastAsia="en-US" w:bidi="ar-SA"/>
    </w:rPr>
  </w:style>
  <w:style w:type="paragraph" w:customStyle="1" w:styleId="167">
    <w:name w:val="TableNote"/>
    <w:qFormat/>
    <w:uiPriority w:val="0"/>
    <w:pPr>
      <w:spacing w:after="120" w:line="240" w:lineRule="auto"/>
    </w:pPr>
    <w:rPr>
      <w:rFonts w:ascii="宋体" w:hAnsi="宋体" w:eastAsia="宋体" w:cstheme="minorBidi"/>
      <w:i/>
      <w:color w:val="666666"/>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187</Words>
  <Characters>246</Characters>
  <Lines>0</Lines>
  <Paragraphs>0</Paragraphs>
  <TotalTime>0</TotalTime>
  <ScaleCrop>false</ScaleCrop>
  <LinksUpToDate>false</LinksUpToDate>
  <CharactersWithSpaces>273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Celes</cp:lastModifiedBy>
  <dcterms:modified xsi:type="dcterms:W3CDTF">2025-10-28T08:52:59Z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eyJoZGlkIjoiYmQxNzNlZTc0MmRiYzgwZDc0YmYxMTA3NDJkMzlhYTciLCJ1c2VySWQiOiI0MTA3MjIyNTcifQ==</vt:lpwstr>
  </property>
  <property fmtid="{D5CDD505-2E9C-101B-9397-08002B2CF9AE}" pid="3" name="KSOProductBuildVer">
    <vt:lpwstr>2052-12.1.0.21915</vt:lpwstr>
  </property>
  <property fmtid="{D5CDD505-2E9C-101B-9397-08002B2CF9AE}" pid="4" name="ICV">
    <vt:lpwstr>750B083CDFA541BAB1E51C48BE1E7094_13</vt:lpwstr>
  </property>
</Properties>
</file>