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Documento de Especificación de Requisitos 6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2782.5"/>
        <w:gridCol w:w="2782.5"/>
        <w:tblGridChange w:id="0">
          <w:tblGrid>
            <w:gridCol w:w="3435"/>
            <w:gridCol w:w="2782.5"/>
            <w:gridCol w:w="278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“TreeSolution” (TS)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Requisitos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pedido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Macchiavello Perez, Oscar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Especificación Requisitos Funcionales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00"/>
        <w:gridCol w:w="3540"/>
        <w:gridCol w:w="1950"/>
        <w:tblGridChange w:id="0">
          <w:tblGrid>
            <w:gridCol w:w="1050"/>
            <w:gridCol w:w="2400"/>
            <w:gridCol w:w="35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gestionar los pedidos recibidos, así como listarlos ordenadamente para su despacho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Caso de Uso : Gestionar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El caso de uso "Gestionar pedido" describe la funcionalidad principal del panel de gestión de pedidos, que permite a los empleados visualizar, atender y despachar pedidos que realizan los clientes en la web.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Empleado </w:t>
      </w:r>
      <w:r w:rsidDel="00000000" w:rsidR="00000000" w:rsidRPr="00000000">
        <w:rPr>
          <w:rtl w:val="0"/>
        </w:rPr>
        <w:t xml:space="preserve">: Representa al personal autorizado de la empresa que utiliza el sistema para la gestión de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Secundarios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: Representa a las entidades externas que solicitan productos de la empresa, en este caso ropa deportiva, y están sujetas a ser facturadas por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Condiciones: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El empleado inicia sesión en el sistema.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El empleado dispone de acceso al panel de pedidos.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El pedido del cliente está en camino o listo para su recojo.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El cliente recibe la notificación de que su pedido está listo.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El pedido sale de la lista de pedidos pendientes.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209076</wp:posOffset>
            </wp:positionV>
            <wp:extent cx="6076739" cy="45378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101" r="59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739" cy="453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Requisitos No Funcionales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635"/>
        <w:gridCol w:w="4470"/>
        <w:gridCol w:w="1950"/>
        <w:tblGridChange w:id="0">
          <w:tblGrid>
            <w:gridCol w:w="885"/>
            <w:gridCol w:w="1635"/>
            <w:gridCol w:w="447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exigir contraseñas no menores a 8 caracteres, para evitar fraudes como la suplantación de identidad.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14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que ya realizó un pedido, no tiene que volver a ingresar sus datos de entrega o tarjeta, dado que esos datos ya fueron proporcionados al sistema. Solo se debe hacer que el usuario confirme dichos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