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086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bookmarkStart w:id="0" w:name="_Toc240918657"/>
      <w:r w:rsidRPr="004B15FA">
        <w:rPr>
          <w:rFonts w:ascii="Calibri" w:eastAsia="Times New Roman" w:hAnsi="Calibri" w:cs="Calibri"/>
          <w:b/>
          <w:bCs/>
          <w:color w:val="000000"/>
          <w:kern w:val="0"/>
          <w:sz w:val="27"/>
          <w:szCs w:val="27"/>
          <w:lang w:eastAsia="pt-BR"/>
          <w14:ligatures w14:val="none"/>
        </w:rPr>
        <w:t>ANEXO V - DESAFIOS E FORMULÁRIOS DE ENVIO DE PROPOSTA PRÉVIA</w:t>
      </w:r>
      <w:bookmarkEnd w:id="0"/>
    </w:p>
    <w:p w14:paraId="1AA5706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p w14:paraId="57D4FBD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0" w:type="auto"/>
        <w:tblCellMar>
          <w:left w:w="0" w:type="dxa"/>
          <w:right w:w="0" w:type="dxa"/>
        </w:tblCellMar>
        <w:tblLook w:val="04A0" w:firstRow="1" w:lastRow="0" w:firstColumn="1" w:lastColumn="0" w:noHBand="0" w:noVBand="1"/>
      </w:tblPr>
      <w:tblGrid>
        <w:gridCol w:w="1845"/>
        <w:gridCol w:w="6651"/>
      </w:tblGrid>
      <w:tr w:rsidR="004B15FA" w:rsidRPr="004B15FA" w14:paraId="2F511C22" w14:textId="77777777" w:rsidTr="004B15FA">
        <w:trPr>
          <w:trHeight w:val="285"/>
        </w:trPr>
        <w:tc>
          <w:tcPr>
            <w:tcW w:w="0" w:type="auto"/>
            <w:tcBorders>
              <w:top w:val="nil"/>
              <w:left w:val="nil"/>
              <w:bottom w:val="nil"/>
              <w:right w:val="nil"/>
            </w:tcBorders>
            <w:tcMar>
              <w:top w:w="0" w:type="dxa"/>
              <w:left w:w="105" w:type="dxa"/>
              <w:bottom w:w="0" w:type="dxa"/>
              <w:right w:w="105" w:type="dxa"/>
            </w:tcMar>
            <w:hideMark/>
          </w:tcPr>
          <w:p w14:paraId="20CEA00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01</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31DE117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Agência de Desenvolvimento da Região Metropolitana do Vale do Aço (ARMVA)</w:t>
            </w:r>
          </w:p>
        </w:tc>
      </w:tr>
      <w:tr w:rsidR="004B15FA" w:rsidRPr="004B15FA" w14:paraId="2D657552" w14:textId="77777777" w:rsidTr="004B15FA">
        <w:trPr>
          <w:trHeight w:val="285"/>
        </w:trPr>
        <w:tc>
          <w:tcPr>
            <w:tcW w:w="0" w:type="auto"/>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5B121A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0764498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estruturar uma ferramenta de informação e gestão inovadora para a governança contínua e eficiente da mobilidade urbana da Região Metropolitana do Vale do Aço, capaz de integrar e unificar a informação da gestão entre os municípios, da rede de linhas e da política tarifária?</w:t>
            </w:r>
          </w:p>
        </w:tc>
      </w:tr>
      <w:tr w:rsidR="004B15FA" w:rsidRPr="004B15FA" w14:paraId="145A3028" w14:textId="77777777" w:rsidTr="004B15FA">
        <w:trPr>
          <w:trHeight w:val="285"/>
        </w:trPr>
        <w:tc>
          <w:tcPr>
            <w:tcW w:w="0" w:type="auto"/>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85283E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009A5EA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Região Metropolitana do Vale do Aço (RMVA) apresenta uma configuração urbana singular no Estado, formada por um núcleo conurbado composto por Ipatinga, Coronel Fabriciano, Timóteo e Santana do Paraíso, articulado a outros municípios de porte médio e pequeno. Essa dinâmica intermunicipal resulta em deslocamentos diários intensos para trabalho, estudo, saúde e lazer. Apesar da conurbação e da integração funcional entre essas cidades, o sistema de transporte coletivo encontra-se fragmentado, com baixa coordenação entre os entes federados, sobreposição de linhas, ausência de integração tarifária e tecnológica, além da dificuldade de assegurar tarifas acessíveis à população.</w:t>
            </w:r>
          </w:p>
          <w:p w14:paraId="3D2EEA1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ARMVA já está desenvolvendo o Plano de Mobilidade Urbana para a Região Metropolitana do Vale do Aço (</w:t>
            </w:r>
            <w:proofErr w:type="spellStart"/>
            <w:r w:rsidRPr="004B15FA">
              <w:rPr>
                <w:rFonts w:ascii="Calibri" w:eastAsia="Times New Roman" w:hAnsi="Calibri" w:cs="Calibri"/>
                <w:color w:val="000000"/>
                <w:kern w:val="0"/>
                <w:lang w:eastAsia="pt-BR"/>
                <w14:ligatures w14:val="none"/>
              </w:rPr>
              <w:t>PlanMob</w:t>
            </w:r>
            <w:proofErr w:type="spellEnd"/>
            <w:r w:rsidRPr="004B15FA">
              <w:rPr>
                <w:rFonts w:ascii="Calibri" w:eastAsia="Times New Roman" w:hAnsi="Calibri" w:cs="Calibri"/>
                <w:color w:val="000000"/>
                <w:kern w:val="0"/>
                <w:lang w:eastAsia="pt-BR"/>
                <w14:ligatures w14:val="none"/>
              </w:rPr>
              <w:t xml:space="preserve"> RMVA), buscando o redesenho do sistema de transporte público para uma solução eficiente e sustentável, assumindo a necessidade soberana de planejar o novo sistema em um modelo metropolitano que integra dos diferentes subsistemas municipais e intermunicipais em visão única. O </w:t>
            </w:r>
            <w:proofErr w:type="spellStart"/>
            <w:r w:rsidRPr="004B15FA">
              <w:rPr>
                <w:rFonts w:ascii="Calibri" w:eastAsia="Times New Roman" w:hAnsi="Calibri" w:cs="Calibri"/>
                <w:color w:val="000000"/>
                <w:kern w:val="0"/>
                <w:lang w:eastAsia="pt-BR"/>
                <w14:ligatures w14:val="none"/>
              </w:rPr>
              <w:t>PlanMob</w:t>
            </w:r>
            <w:proofErr w:type="spellEnd"/>
            <w:r w:rsidRPr="004B15FA">
              <w:rPr>
                <w:rFonts w:ascii="Calibri" w:eastAsia="Times New Roman" w:hAnsi="Calibri" w:cs="Calibri"/>
                <w:color w:val="000000"/>
                <w:kern w:val="0"/>
                <w:lang w:eastAsia="pt-BR"/>
                <w14:ligatures w14:val="none"/>
              </w:rPr>
              <w:t xml:space="preserve"> RMVA resultará em um novo modelo funcional e operacional para o transporte da região, </w:t>
            </w:r>
            <w:proofErr w:type="gramStart"/>
            <w:r w:rsidRPr="004B15FA">
              <w:rPr>
                <w:rFonts w:ascii="Calibri" w:eastAsia="Times New Roman" w:hAnsi="Calibri" w:cs="Calibri"/>
                <w:color w:val="000000"/>
                <w:kern w:val="0"/>
                <w:lang w:eastAsia="pt-BR"/>
                <w14:ligatures w14:val="none"/>
              </w:rPr>
              <w:t>e além disso</w:t>
            </w:r>
            <w:proofErr w:type="gramEnd"/>
            <w:r w:rsidRPr="004B15FA">
              <w:rPr>
                <w:rFonts w:ascii="Calibri" w:eastAsia="Times New Roman" w:hAnsi="Calibri" w:cs="Calibri"/>
                <w:color w:val="000000"/>
                <w:kern w:val="0"/>
                <w:lang w:eastAsia="pt-BR"/>
                <w14:ligatures w14:val="none"/>
              </w:rPr>
              <w:t>, indicará os caminhos jurídicos e legais para a instituição do modelo de gestão integrada interinstitucional (como um Consórcio).</w:t>
            </w:r>
          </w:p>
          <w:p w14:paraId="4BD6522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O desafio para a implantação do </w:t>
            </w:r>
            <w:proofErr w:type="spellStart"/>
            <w:r w:rsidRPr="004B15FA">
              <w:rPr>
                <w:rFonts w:ascii="Calibri" w:eastAsia="Times New Roman" w:hAnsi="Calibri" w:cs="Calibri"/>
                <w:color w:val="000000"/>
                <w:kern w:val="0"/>
                <w:lang w:eastAsia="pt-BR"/>
                <w14:ligatures w14:val="none"/>
              </w:rPr>
              <w:t>PlanMob</w:t>
            </w:r>
            <w:proofErr w:type="spellEnd"/>
            <w:r w:rsidRPr="004B15FA">
              <w:rPr>
                <w:rFonts w:ascii="Calibri" w:eastAsia="Times New Roman" w:hAnsi="Calibri" w:cs="Calibri"/>
                <w:color w:val="000000"/>
                <w:kern w:val="0"/>
                <w:lang w:eastAsia="pt-BR"/>
                <w14:ligatures w14:val="none"/>
              </w:rPr>
              <w:t xml:space="preserve"> RMVA, é conseguir gerir o modelo de gestão, as aprovações municipais e estaduais cabíveis, e a gradual transição dos modelos funcionais e operacionais atuais, para o novo modelo proposto. Para isso, a gestão necessitará de uma ferramenta de governança contínua e eficiente da mobilidade urbana da Região Metropolitana do Vale do Aço, permitindo análise de contratos, linhas, itinerários, quadros de horários, frotas, tarifas, indicadores de desempenho, dentre outros.</w:t>
            </w:r>
          </w:p>
          <w:p w14:paraId="7819E45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A ferramenta será essencial para o sucesso do novo modelo para a RMVA, pois ele deve permitir que tanto a gestão quanto a população mantenham informações atualizadas ao longo do período de transição a partir do sistema atual, em fases que serão definidas no </w:t>
            </w:r>
            <w:proofErr w:type="spellStart"/>
            <w:r w:rsidRPr="004B15FA">
              <w:rPr>
                <w:rFonts w:ascii="Calibri" w:eastAsia="Times New Roman" w:hAnsi="Calibri" w:cs="Calibri"/>
                <w:color w:val="000000"/>
                <w:kern w:val="0"/>
                <w:lang w:eastAsia="pt-BR"/>
                <w14:ligatures w14:val="none"/>
              </w:rPr>
              <w:t>PlanMob</w:t>
            </w:r>
            <w:proofErr w:type="spellEnd"/>
            <w:r w:rsidRPr="004B15FA">
              <w:rPr>
                <w:rFonts w:ascii="Calibri" w:eastAsia="Times New Roman" w:hAnsi="Calibri" w:cs="Calibri"/>
                <w:color w:val="000000"/>
                <w:kern w:val="0"/>
                <w:lang w:eastAsia="pt-BR"/>
                <w14:ligatures w14:val="none"/>
              </w:rPr>
              <w:t xml:space="preserve">. Logo, a ferramenta deve ser apta a trabalhar com diferentes legislações, diferentes tipos de contratos e diferentes formatos de </w:t>
            </w:r>
            <w:r w:rsidRPr="004B15FA">
              <w:rPr>
                <w:rFonts w:ascii="Calibri" w:eastAsia="Times New Roman" w:hAnsi="Calibri" w:cs="Calibri"/>
                <w:color w:val="000000"/>
                <w:kern w:val="0"/>
                <w:lang w:eastAsia="pt-BR"/>
                <w14:ligatures w14:val="none"/>
              </w:rPr>
              <w:lastRenderedPageBreak/>
              <w:t>acompanhamento da operação, até que esteja 100% integrada e utilize padrões uniformes, mais eficientes, e mais simples para a população da região metropolitana.</w:t>
            </w:r>
          </w:p>
        </w:tc>
      </w:tr>
      <w:tr w:rsidR="004B15FA" w:rsidRPr="004B15FA" w14:paraId="40198B71" w14:textId="77777777" w:rsidTr="004B15FA">
        <w:trPr>
          <w:trHeight w:val="285"/>
        </w:trPr>
        <w:tc>
          <w:tcPr>
            <w:tcW w:w="0" w:type="auto"/>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2F631E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19E4DCF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um modelo de governança genérico, replicado de outras regiões metropolitanas sem considerar as particularidades da RMVA, como o núcleo conurbado e a presença de municípios de porte muito diferente.</w:t>
            </w:r>
          </w:p>
          <w:p w14:paraId="7BFE6B4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6A65E0A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manter uma ferramenta que isole municípios, favorecendo a rede metropolitana.</w:t>
            </w:r>
          </w:p>
          <w:p w14:paraId="61673A8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503E510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uma solução que exija que os municípios abandonem seus contratos e sistemas atuais como pré-condição de funcionamento; a proposta deve considerar formas de extrair e padronizar dados dos sistemas já existentes.</w:t>
            </w:r>
          </w:p>
          <w:p w14:paraId="01B71B3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689AC94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um sistema ou ferramenta que desconsidere uma interface integrada de gestão (realizada pelo órgão competente da gestão metropolitana) e de informação espelhada para o usuário (itinerários, tarifa, </w:t>
            </w:r>
            <w:proofErr w:type="gramStart"/>
            <w:r w:rsidRPr="004B15FA">
              <w:rPr>
                <w:rFonts w:ascii="Calibri" w:eastAsia="Times New Roman" w:hAnsi="Calibri" w:cs="Calibri"/>
                <w:color w:val="000000"/>
                <w:kern w:val="0"/>
                <w:lang w:eastAsia="pt-BR"/>
                <w14:ligatures w14:val="none"/>
              </w:rPr>
              <w:t xml:space="preserve">rotas, </w:t>
            </w:r>
            <w:proofErr w:type="spellStart"/>
            <w:r w:rsidRPr="004B15FA">
              <w:rPr>
                <w:rFonts w:ascii="Calibri" w:eastAsia="Times New Roman" w:hAnsi="Calibri" w:cs="Calibri"/>
                <w:color w:val="000000"/>
                <w:kern w:val="0"/>
                <w:lang w:eastAsia="pt-BR"/>
                <w14:ligatures w14:val="none"/>
              </w:rPr>
              <w:t>etc</w:t>
            </w:r>
            <w:proofErr w:type="spellEnd"/>
            <w:proofErr w:type="gramEnd"/>
            <w:r w:rsidRPr="004B15FA">
              <w:rPr>
                <w:rFonts w:ascii="Calibri" w:eastAsia="Times New Roman" w:hAnsi="Calibri" w:cs="Calibri"/>
                <w:color w:val="000000"/>
                <w:kern w:val="0"/>
                <w:lang w:eastAsia="pt-BR"/>
                <w14:ligatures w14:val="none"/>
              </w:rPr>
              <w:t>). Ou seja, informação acessível pelo cidadão e gestores.</w:t>
            </w:r>
          </w:p>
          <w:p w14:paraId="152824D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tc>
      </w:tr>
    </w:tbl>
    <w:p w14:paraId="2F07514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181"/>
        <w:gridCol w:w="7315"/>
      </w:tblGrid>
      <w:tr w:rsidR="004B15FA" w:rsidRPr="004B15FA" w14:paraId="7EAAEC65" w14:textId="77777777" w:rsidTr="004B15FA">
        <w:trPr>
          <w:trHeight w:val="285"/>
        </w:trPr>
        <w:tc>
          <w:tcPr>
            <w:tcW w:w="402" w:type="pct"/>
            <w:tcBorders>
              <w:top w:val="nil"/>
              <w:left w:val="nil"/>
              <w:bottom w:val="nil"/>
              <w:right w:val="nil"/>
            </w:tcBorders>
            <w:tcMar>
              <w:top w:w="0" w:type="dxa"/>
              <w:left w:w="105" w:type="dxa"/>
              <w:bottom w:w="0" w:type="dxa"/>
              <w:right w:w="105" w:type="dxa"/>
            </w:tcMar>
            <w:hideMark/>
          </w:tcPr>
          <w:p w14:paraId="46C5175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02</w:t>
            </w:r>
          </w:p>
        </w:tc>
        <w:tc>
          <w:tcPr>
            <w:tcW w:w="4598"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121D073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Banco de Desenvolvimento de Minas Gerais (BDMG)</w:t>
            </w:r>
          </w:p>
        </w:tc>
      </w:tr>
      <w:tr w:rsidR="004B15FA" w:rsidRPr="004B15FA" w14:paraId="508820E4"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E3BE4F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5ACB9E6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o BDMG pode comprovar, de forma confiável, automatizada e auditável, que os recursos de cada financiamento foram aplicados conforme contratado e mensurar o impacto econômico gerado, hoje disperso entre dados do cliente financiado, notas fiscais, fornecedores e indicadores de terceiros como emprego e arrecadação, de forma que cidadãos, organismos multilaterais e repassadores de recursos possam acompanhar esse resultado?</w:t>
            </w:r>
          </w:p>
        </w:tc>
      </w:tr>
      <w:tr w:rsidR="004B15FA" w:rsidRPr="004B15FA" w14:paraId="3DE481ED"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162BE5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142DF97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Banco de Desenvolvimento de Minas Gerais concede financiamentos que buscam gerar desenvolvimento econômico no estado, por meio de crédito a empresas, projetos e políticas públicas. Após a liberação dos recursos, o banco precisa comprovar que o dinheiro foi de fato aplicado como contratado, e demonstrar o impacto econômico gerado, como geração de empregos e aumento de arrecadação de impostos estaduais.</w:t>
            </w:r>
          </w:p>
          <w:p w14:paraId="42C6F6A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Essa comprovação depende de reunir informações de fontes diferentes: dados do cliente financiado, notas fiscais eletrônicas dos fornecedores envolvidos, localização do investimento, setor atendido e indicadores econômicos que muitas vezes vêm de bases mantidas por outros órgãos. Hoje, essas informações não estão integradas, e reuni-las para comprovar um único contrato exige trabalho manual de cruzamento.</w:t>
            </w:r>
          </w:p>
          <w:p w14:paraId="65F0807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gargalo específico está em conectar, de forma contínua e confiável, a liberação de cada parcela de crédito às evidências de que o recurso foi aplicado no que foi contratado, e a esses indicadores de impacto, sem depender de coleta manual repetida a cada exigência de prestação de contas. A dificuldade cresce porque parte dos dados vem de terceiros, como notas fiscais de fornecedores e indicadores públicos de emprego e arrecadação, que o BDMG não controla diretamente e cuja qualidade e prazo de disponibilização variam.</w:t>
            </w:r>
          </w:p>
          <w:p w14:paraId="567E1AD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Essa comprovação deixou de ser apenas uma boa prática e passou a ser exigência formal em duas frentes. Organismos multilaterais que financiam ou </w:t>
            </w:r>
            <w:proofErr w:type="spellStart"/>
            <w:r w:rsidRPr="004B15FA">
              <w:rPr>
                <w:rFonts w:ascii="Calibri" w:eastAsia="Times New Roman" w:hAnsi="Calibri" w:cs="Calibri"/>
                <w:color w:val="000000"/>
                <w:kern w:val="0"/>
                <w:lang w:eastAsia="pt-BR"/>
                <w14:ligatures w14:val="none"/>
              </w:rPr>
              <w:t>cofinanciam</w:t>
            </w:r>
            <w:proofErr w:type="spellEnd"/>
            <w:r w:rsidRPr="004B15FA">
              <w:rPr>
                <w:rFonts w:ascii="Calibri" w:eastAsia="Times New Roman" w:hAnsi="Calibri" w:cs="Calibri"/>
                <w:color w:val="000000"/>
                <w:kern w:val="0"/>
                <w:lang w:eastAsia="pt-BR"/>
                <w14:ligatures w14:val="none"/>
              </w:rPr>
              <w:t xml:space="preserve"> operações do BDMG exigem comprovação detalhada da aplicação dos recursos. E o novo instrumento de captação do banco, a Letra de Crédito do Desenvolvimento, exige rastreabilidade e lastro confiável da carteira de crédito que dá suporte a esses títulos.</w:t>
            </w:r>
          </w:p>
          <w:p w14:paraId="3ED9A03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acompanhar, de forma automatizada e auditável, o caminho de cada recurso financiado, desde a liberação até a evidência de aplicação e os indicadores de impacto gerado. Isso deve reduzir o tempo e o esforço manual para produzir comprovações e relatórios, aumentar a confiabilidade dos dados apresentados a organismos multilaterais e a repassadores de recursos, e dar à sociedade mineira visibilidade sobre o efeito do crédito de desenvolvimento no estado.</w:t>
            </w:r>
          </w:p>
        </w:tc>
      </w:tr>
      <w:tr w:rsidR="004B15FA" w:rsidRPr="004B15FA" w14:paraId="6F263B3D"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259251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30EF80A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uma solução sem registro temporal das operações, que impeça reconstituir quando cada evento ocorreu. Não queremos uma solução que não permita acompanhamento em tempo real, ou o mais próximo possível disso. Não queremos soluções de Business </w:t>
            </w:r>
            <w:proofErr w:type="spellStart"/>
            <w:r w:rsidRPr="004B15FA">
              <w:rPr>
                <w:rFonts w:ascii="Calibri" w:eastAsia="Times New Roman" w:hAnsi="Calibri" w:cs="Calibri"/>
                <w:color w:val="000000"/>
                <w:kern w:val="0"/>
                <w:lang w:eastAsia="pt-BR"/>
                <w14:ligatures w14:val="none"/>
              </w:rPr>
              <w:t>Intelligence</w:t>
            </w:r>
            <w:proofErr w:type="spellEnd"/>
            <w:r w:rsidRPr="004B15FA">
              <w:rPr>
                <w:rFonts w:ascii="Calibri" w:eastAsia="Times New Roman" w:hAnsi="Calibri" w:cs="Calibri"/>
                <w:color w:val="000000"/>
                <w:kern w:val="0"/>
                <w:lang w:eastAsia="pt-BR"/>
                <w14:ligatures w14:val="none"/>
              </w:rPr>
              <w:t xml:space="preserve"> (BI) e </w:t>
            </w:r>
            <w:proofErr w:type="spellStart"/>
            <w:r w:rsidRPr="004B15FA">
              <w:rPr>
                <w:rFonts w:ascii="Calibri" w:eastAsia="Times New Roman" w:hAnsi="Calibri" w:cs="Calibri"/>
                <w:color w:val="000000"/>
                <w:kern w:val="0"/>
                <w:lang w:eastAsia="pt-BR"/>
                <w14:ligatures w14:val="none"/>
              </w:rPr>
              <w:t>Analytics</w:t>
            </w:r>
            <w:proofErr w:type="spellEnd"/>
            <w:r w:rsidRPr="004B15FA">
              <w:rPr>
                <w:rFonts w:ascii="Calibri" w:eastAsia="Times New Roman" w:hAnsi="Calibri" w:cs="Calibri"/>
                <w:color w:val="000000"/>
                <w:kern w:val="0"/>
                <w:lang w:eastAsia="pt-BR"/>
                <w14:ligatures w14:val="none"/>
              </w:rPr>
              <w:t xml:space="preserve">: algumas já foram testadas e não garantiram a rastreabilidade das operações. Não queremos uma solução que não ofereça visibilidade sobre o impacto gerado sem depender de prestação de contas manual por parte dos tomadores de crédito e demais interessados (stakeholders). Não queremos soluções desconectadas dos sistemas de crédito e de acompanhamento já existentes no banco. Não queremos soluções baseadas apenas em ferramentas de workflow BPMN (Business </w:t>
            </w:r>
            <w:proofErr w:type="spellStart"/>
            <w:r w:rsidRPr="004B15FA">
              <w:rPr>
                <w:rFonts w:ascii="Calibri" w:eastAsia="Times New Roman" w:hAnsi="Calibri" w:cs="Calibri"/>
                <w:color w:val="000000"/>
                <w:kern w:val="0"/>
                <w:lang w:eastAsia="pt-BR"/>
                <w14:ligatures w14:val="none"/>
              </w:rPr>
              <w:t>Process</w:t>
            </w:r>
            <w:proofErr w:type="spellEnd"/>
            <w:r w:rsidRPr="004B15FA">
              <w:rPr>
                <w:rFonts w:ascii="Calibri" w:eastAsia="Times New Roman" w:hAnsi="Calibri" w:cs="Calibri"/>
                <w:color w:val="000000"/>
                <w:kern w:val="0"/>
                <w:lang w:eastAsia="pt-BR"/>
                <w14:ligatures w14:val="none"/>
              </w:rPr>
              <w:t xml:space="preserve"> Model </w:t>
            </w:r>
            <w:proofErr w:type="spellStart"/>
            <w:r w:rsidRPr="004B15FA">
              <w:rPr>
                <w:rFonts w:ascii="Calibri" w:eastAsia="Times New Roman" w:hAnsi="Calibri" w:cs="Calibri"/>
                <w:color w:val="000000"/>
                <w:kern w:val="0"/>
                <w:lang w:eastAsia="pt-BR"/>
                <w14:ligatures w14:val="none"/>
              </w:rPr>
              <w:t>and</w:t>
            </w:r>
            <w:proofErr w:type="spellEnd"/>
            <w:r w:rsidRPr="004B15FA">
              <w:rPr>
                <w:rFonts w:ascii="Calibri" w:eastAsia="Times New Roman" w:hAnsi="Calibri" w:cs="Calibri"/>
                <w:color w:val="000000"/>
                <w:kern w:val="0"/>
                <w:lang w:eastAsia="pt-BR"/>
                <w14:ligatures w14:val="none"/>
              </w:rPr>
              <w:t xml:space="preserve"> </w:t>
            </w:r>
            <w:proofErr w:type="spellStart"/>
            <w:r w:rsidRPr="004B15FA">
              <w:rPr>
                <w:rFonts w:ascii="Calibri" w:eastAsia="Times New Roman" w:hAnsi="Calibri" w:cs="Calibri"/>
                <w:color w:val="000000"/>
                <w:kern w:val="0"/>
                <w:lang w:eastAsia="pt-BR"/>
                <w14:ligatures w14:val="none"/>
              </w:rPr>
              <w:t>Notation</w:t>
            </w:r>
            <w:proofErr w:type="spellEnd"/>
            <w:r w:rsidRPr="004B15FA">
              <w:rPr>
                <w:rFonts w:ascii="Calibri" w:eastAsia="Times New Roman" w:hAnsi="Calibri" w:cs="Calibri"/>
                <w:color w:val="000000"/>
                <w:kern w:val="0"/>
                <w:lang w:eastAsia="pt-BR"/>
                <w14:ligatures w14:val="none"/>
              </w:rPr>
              <w:t xml:space="preserve">). Não queremos soluções construídas em plataformas </w:t>
            </w:r>
            <w:proofErr w:type="spellStart"/>
            <w:r w:rsidRPr="004B15FA">
              <w:rPr>
                <w:rFonts w:ascii="Calibri" w:eastAsia="Times New Roman" w:hAnsi="Calibri" w:cs="Calibri"/>
                <w:color w:val="000000"/>
                <w:kern w:val="0"/>
                <w:lang w:eastAsia="pt-BR"/>
                <w14:ligatures w14:val="none"/>
              </w:rPr>
              <w:t>low</w:t>
            </w:r>
            <w:proofErr w:type="spellEnd"/>
            <w:r w:rsidRPr="004B15FA">
              <w:rPr>
                <w:rFonts w:ascii="Calibri" w:eastAsia="Times New Roman" w:hAnsi="Calibri" w:cs="Calibri"/>
                <w:color w:val="000000"/>
                <w:kern w:val="0"/>
                <w:lang w:eastAsia="pt-BR"/>
                <w14:ligatures w14:val="none"/>
              </w:rPr>
              <w:t xml:space="preserve"> </w:t>
            </w:r>
            <w:proofErr w:type="spellStart"/>
            <w:r w:rsidRPr="004B15FA">
              <w:rPr>
                <w:rFonts w:ascii="Calibri" w:eastAsia="Times New Roman" w:hAnsi="Calibri" w:cs="Calibri"/>
                <w:color w:val="000000"/>
                <w:kern w:val="0"/>
                <w:lang w:eastAsia="pt-BR"/>
                <w14:ligatures w14:val="none"/>
              </w:rPr>
              <w:t>code</w:t>
            </w:r>
            <w:proofErr w:type="spellEnd"/>
            <w:r w:rsidRPr="004B15FA">
              <w:rPr>
                <w:rFonts w:ascii="Calibri" w:eastAsia="Times New Roman" w:hAnsi="Calibri" w:cs="Calibri"/>
                <w:color w:val="000000"/>
                <w:kern w:val="0"/>
                <w:lang w:eastAsia="pt-BR"/>
                <w14:ligatures w14:val="none"/>
              </w:rPr>
              <w:t>.</w:t>
            </w:r>
          </w:p>
        </w:tc>
      </w:tr>
    </w:tbl>
    <w:p w14:paraId="28BB7E1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443C34B9"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3BE0CD4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03</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3A2F50D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Controladoria-Geral do Estado de Minas Gerais (CGE)</w:t>
            </w:r>
          </w:p>
        </w:tc>
      </w:tr>
      <w:tr w:rsidR="004B15FA" w:rsidRPr="004B15FA" w14:paraId="7692135D"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4BF6C0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4EA04C0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Como fazer com que uma pessoa sem familiaridade com dados públicos ou com o portal consiga encontrar, entender e usar as informações do Portal de Transparência do Estado e, a partir delas, questionar ou acompanhar a atuação do governo?</w:t>
            </w:r>
          </w:p>
        </w:tc>
      </w:tr>
      <w:tr w:rsidR="004B15FA" w:rsidRPr="004B15FA" w14:paraId="3EADA9E6"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CFDE10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Descritivo:</w:t>
            </w:r>
          </w:p>
          <w:p w14:paraId="12AEA85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Controladoria-Geral do Estado é o órgão responsável por promover a transparência e o controle social sobre a aplicação dos recursos públicos em Minas Gerais. Para isso, mantém o Portal de Transparência, que reúne dados sobre despesas, contratos e serviços do governo estadual. No portal são publicadas as informações exigidas pela legislação, mas grande parte dos cidadãos não consegue aproveitá-las. Os dados estão organizados segundo a lógica da administração pública, com termos técnicos, classificações contábeis e formatos pensados para quem já conhece o assunto. Na prática, quem acessa em geral é quem já tem familiaridade com o tema, como jornalistas, pesquisadores e servidores, e a pessoa comum desiste ou nem chega ao portal.</w:t>
            </w:r>
          </w:p>
          <w:p w14:paraId="517C6FB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gargalo específico não é a falta de publicação, e sim a distância entre o dado publicado e a compreensão de quem precisa dele. Uma pessoa que quer saber quanto o estado gastou em um hospital da sua cidade, ou se um contrato foi cumprido, precisa saber onde procurar, entender a terminologia e interpretar tabelas extensas. O desafio se agrava porque as informações estão em bases diferentes, com níveis de qualidade e atualização variados, e porque uma resposta simplificada demais corre o risco de ficar incorreta ou parcial. O problema é persistente e tem efeito direto sobre a confiança nas instituições. Quando o cidadão não entende como o dinheiro público é aplicado, ele não fiscaliza, não questiona e não participa, o que enfraquece o controle social que a transparência pretende promover.</w:t>
            </w:r>
          </w:p>
          <w:p w14:paraId="2DD77B9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que pessoas com pouca familiaridade digital e sem conhecimento de dados públicos encontrem e entendam informações sobre o uso de recursos públicos em linguagem simples, com apoio visual, e consigam relacioná-las à sua realidade. As explicações devem ser conferidas na fonte oficial, para que o cidadão confie no que lê. A solução também deve abrir caminhos concretos para que o cidadão questione, acompanhe ou registre manifestações, de modo que o órgão receba e trate essa participação.</w:t>
            </w:r>
          </w:p>
        </w:tc>
      </w:tr>
      <w:tr w:rsidR="004B15FA" w:rsidRPr="004B15FA" w14:paraId="18E42703"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75BA61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que não queremos ou já testamos:</w:t>
            </w:r>
          </w:p>
          <w:p w14:paraId="01FE6E8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a simples reformulação visual do portal atual, nem painéis com mais gráficos sobre os mesmos dados sem avaliar se as pessoas entendem. Não queremos assistentes que respondam sobre gastos públicos sem indicar a fonte e sem permitir verificação. Não queremos um </w:t>
            </w:r>
            <w:proofErr w:type="spellStart"/>
            <w:r w:rsidRPr="004B15FA">
              <w:rPr>
                <w:rFonts w:ascii="Calibri" w:eastAsia="Times New Roman" w:hAnsi="Calibri" w:cs="Calibri"/>
                <w:color w:val="000000"/>
                <w:kern w:val="0"/>
                <w:lang w:eastAsia="pt-BR"/>
                <w14:ligatures w14:val="none"/>
              </w:rPr>
              <w:t>chatbot</w:t>
            </w:r>
            <w:proofErr w:type="spellEnd"/>
            <w:r w:rsidRPr="004B15FA">
              <w:rPr>
                <w:rFonts w:ascii="Calibri" w:eastAsia="Times New Roman" w:hAnsi="Calibri" w:cs="Calibri"/>
                <w:color w:val="000000"/>
                <w:kern w:val="0"/>
                <w:lang w:eastAsia="pt-BR"/>
                <w14:ligatures w14:val="none"/>
              </w:rPr>
              <w:t xml:space="preserve"> comum, que não entregue um modelo inteligente que possibilite uma conversa simples e direta com o cidadão.</w:t>
            </w:r>
          </w:p>
        </w:tc>
      </w:tr>
    </w:tbl>
    <w:p w14:paraId="03B9676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353842F2"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ABF8AB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04</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21397B3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Corpo de Bombeiros Militar de Minas Gerais (CBMG)</w:t>
            </w:r>
          </w:p>
        </w:tc>
      </w:tr>
      <w:tr w:rsidR="004B15FA" w:rsidRPr="004B15FA" w14:paraId="460BC8D5"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A6D1B9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Pergunta desafio:</w:t>
            </w:r>
          </w:p>
          <w:p w14:paraId="56C7B23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podemos desenvolver um sistema informatizado inovador para que o CBMMG possa padronizar e gerir as perícias de incêndio e explosão em todo o Estado, com conformidade legal, segurança da informação e integração tecnológica, e com isso gerar estatísticas confiáveis, retroalimentar o sistema de prevenção e garantir mais segurança para a sociedade mineira?</w:t>
            </w:r>
          </w:p>
        </w:tc>
      </w:tr>
      <w:tr w:rsidR="004B15FA" w:rsidRPr="004B15FA" w14:paraId="458F0392"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D2474B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0A9E421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Corpo de Bombeiros Militar de Minas Gerais (CBMMG), responsável legal pela realização de perícias em incêndios e explosões, não dispõe de um sistema informatizado específico para centralizar, padronizar, gerir e analisar as informações produzidas nos laudos periciais. Atualmente, os registros são dispersos em formatos distintos, bases locais e planilhas, o que dificulta a análise estatística, a retroalimentação do sistema de prevenção e a melhoria contínua das práticas operacionais.</w:t>
            </w:r>
          </w:p>
          <w:p w14:paraId="745A02E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ausência de uma plataforma dedicada provoca:</w:t>
            </w:r>
          </w:p>
          <w:p w14:paraId="3C2E71F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Baixa padronização e rastreabilidade de evidências e conclusões técnicas;</w:t>
            </w:r>
          </w:p>
          <w:p w14:paraId="5CD7225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Risco de não conformidade com marcos legais e normativos (LGPD, LAI, CPP – cadeia de custódia, NFPA 1033 e NFPA 921);</w:t>
            </w:r>
          </w:p>
          <w:p w14:paraId="444C547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Retrabalho administrativo e desvio de efetivo da atividade-fim;</w:t>
            </w:r>
          </w:p>
          <w:p w14:paraId="3F52422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Demora na emissão de laudos e relatórios agregados;</w:t>
            </w:r>
          </w:p>
          <w:p w14:paraId="51C0F74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Impossibilidade de gerar inteligência, como dashboards, séries históricas e correlações entre causas e ambientes.</w:t>
            </w:r>
          </w:p>
          <w:p w14:paraId="72DC786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Propõe-se, portanto, o desenvolvimento de um sistema modular e escalável, com cadastro pericial parametrizado, fluxos padronizados, cadeia de custódia digital, trilhas de auditoria, repositório seguro de evidências (fotos, vídeos, documentos e medições), integração com sistemas do CBMMG (p. ex., SIGP e </w:t>
            </w:r>
            <w:proofErr w:type="spellStart"/>
            <w:r w:rsidRPr="004B15FA">
              <w:rPr>
                <w:rFonts w:ascii="Calibri" w:eastAsia="Times New Roman" w:hAnsi="Calibri" w:cs="Calibri"/>
                <w:color w:val="000000"/>
                <w:kern w:val="0"/>
                <w:lang w:eastAsia="pt-BR"/>
                <w14:ligatures w14:val="none"/>
              </w:rPr>
              <w:t>Infoscip</w:t>
            </w:r>
            <w:proofErr w:type="spellEnd"/>
            <w:r w:rsidRPr="004B15FA">
              <w:rPr>
                <w:rFonts w:ascii="Calibri" w:eastAsia="Times New Roman" w:hAnsi="Calibri" w:cs="Calibri"/>
                <w:color w:val="000000"/>
                <w:kern w:val="0"/>
                <w:lang w:eastAsia="pt-BR"/>
                <w14:ligatures w14:val="none"/>
              </w:rPr>
              <w:t>) e ferramentas analíticas para geração de indicadores e relatórios estratégicos.</w:t>
            </w:r>
          </w:p>
          <w:p w14:paraId="0F04C89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que toda perícia seja registrada de forma padronizada, com histórico verificável das evidências, em ambiente seguro e auditável. Os laudos poderão ser emitidos em menor tempo, o esforço administrativo será reduzido e o órgão poderá gerar séries históricas e realizar cruzamentos entre causas, ambientes e locais, contribuindo para o aprimoramento do sistema de segurança contra incêndio e pânico como um todo e para o aperfeiçoamento das políticas públicas de prevenção de desastres.</w:t>
            </w:r>
          </w:p>
        </w:tc>
      </w:tr>
      <w:tr w:rsidR="004B15FA" w:rsidRPr="004B15FA" w14:paraId="5F7E7013"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A88C7E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que não queremos ou já testamos:</w:t>
            </w:r>
          </w:p>
          <w:p w14:paraId="0C6A279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soluções genéricas de gestão documental ou de workflow administrativo, que não contemplam as especificidades técnicas, operacionais e jurídicas inerentes à atividade de perícia de incêndios e explosões; </w:t>
            </w:r>
            <w:proofErr w:type="gramStart"/>
            <w:r w:rsidRPr="004B15FA">
              <w:rPr>
                <w:rFonts w:ascii="Calibri" w:eastAsia="Times New Roman" w:hAnsi="Calibri" w:cs="Calibri"/>
                <w:color w:val="000000"/>
                <w:kern w:val="0"/>
                <w:lang w:eastAsia="pt-BR"/>
                <w14:ligatures w14:val="none"/>
              </w:rPr>
              <w:t>Não</w:t>
            </w:r>
            <w:proofErr w:type="gramEnd"/>
            <w:r w:rsidRPr="004B15FA">
              <w:rPr>
                <w:rFonts w:ascii="Calibri" w:eastAsia="Times New Roman" w:hAnsi="Calibri" w:cs="Calibri"/>
                <w:color w:val="000000"/>
                <w:kern w:val="0"/>
                <w:lang w:eastAsia="pt-BR"/>
                <w14:ligatures w14:val="none"/>
              </w:rPr>
              <w:t xml:space="preserve"> queremos planilhas eletrônicas e registros manuais. Embora já utilizados como mecanismos de controle, apresentam limitações de padronização, rastreabilidade e integração, além de demandarem elevado esforço operacional e dificultarem a realização de </w:t>
            </w:r>
            <w:r w:rsidRPr="004B15FA">
              <w:rPr>
                <w:rFonts w:ascii="Calibri" w:eastAsia="Times New Roman" w:hAnsi="Calibri" w:cs="Calibri"/>
                <w:color w:val="000000"/>
                <w:kern w:val="0"/>
                <w:lang w:eastAsia="pt-BR"/>
                <w14:ligatures w14:val="none"/>
              </w:rPr>
              <w:lastRenderedPageBreak/>
              <w:t>análises estatísticas e cruzamentos de dados mais sofisticados; Sistemas comerciais ou soluções “de prateleira”, que, em geral, não apresentam aderência suficiente às normas técnicas internacionais aplicáveis à investigação de incêndios, especialmente as normas NFPA 1033 e NFPA 921, nem contemplam de forma integrada as exigências da legislação brasileira relacionadas à cadeia de custódia, proteção de dados, acesso à informação e demais requisitos aplicáveis à atividade pericial.</w:t>
            </w:r>
          </w:p>
        </w:tc>
      </w:tr>
    </w:tbl>
    <w:p w14:paraId="109E720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lastRenderedPageBreak/>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51D382AD"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29894A5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05</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12F4BBC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Defensoria Pública do Estado de Minas Gerais (DPMG)</w:t>
            </w:r>
          </w:p>
        </w:tc>
      </w:tr>
      <w:tr w:rsidR="004B15FA" w:rsidRPr="004B15FA" w14:paraId="44C42C4F"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A48FD1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1D2237D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garantir que a gestão da advocacia dativa em Minas Gerais seja atestada, validada, remunerada com valor aderente e paga no prazo, usando dados confiáveis compartilhados entre a Defensoria Pública, o Tribunal de Justiça, o Governo do Estado e a OAB, considerando o cenário vigente de sistemas fragmentados e que hoje não contemplam todas as etapas do processo?</w:t>
            </w:r>
          </w:p>
        </w:tc>
      </w:tr>
      <w:tr w:rsidR="004B15FA" w:rsidRPr="004B15FA" w14:paraId="350F1205"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4E4B54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450C4CA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Defensoria Pública de Minas Gerais (DPMG) tem a função de garantir orientação e defesa jurídica gratuita aos necessitados. Contudo, a instituição ainda não cobre todas as 298 comarcas do estado. Nas localidades com ausência total ou parcial da Defensoria, advogados dativos são nomeados judicialmente para suprir essa demanda. O desafio reside na gestão desse processo, que é fragmentado e envolve múltiplas instituições (DPMG, TJMG, AGE, OAB-MG) e sistemas distintos que não se comunicam adequadamente. Isso gera diversas ineficiências, como a falta de padronização na fixação de honorários, inconsistências em metadados e gargalos na comunicação entre os órgãos. A governança fragmentada do processo resulta em dificuldades para validar nomeações, auditar pagamentos e obter dados confiáveis para o planejamento estratégico da expansão da própria Defensoria Pública. A recente Lei nº 25.126/2024 centralizou na DPMG a competência pela gestão e pagamento dos dativos, tornando a solução deste desafio uma obrigação legal e institucional, além de possibilitar o incremento nos subsídios para uma expansão estratégica do serviço oferecido pela Defensoria Pública.</w:t>
            </w:r>
          </w:p>
          <w:p w14:paraId="03E64C7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acompanhar desde o credenciamento, a nomeação, a atuação e o pagamento dos advogados dativos, com informações atualizadas e verificáveis, valores aderentes e prazo previsível. As inconsistências serão identificadas antes do pagamento, o advogado dativo será remunerado com menor atraso, e os órgãos envolvidos disporão de maior transparência e controle quanto à aplicação dos recursos públicos. A Defensoria passará a contar com base segura para decidir onde expandir seu atendimento.</w:t>
            </w:r>
          </w:p>
        </w:tc>
      </w:tr>
      <w:tr w:rsidR="004B15FA" w:rsidRPr="004B15FA" w14:paraId="7E85D3CA"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E331F8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que não queremos ou já testamos:</w:t>
            </w:r>
          </w:p>
          <w:p w14:paraId="2A4D9CD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Não buscamos uma ferramenta de prateleira, e sim uma solução adequada à realidade da advocacia dativa em Minas Gerais, que assegure acesso e uso por todos os atores envolvidos. Não queremos soluções que compartilhem ou consolidem dados pessoais dos advogados dativos, dos assistidos ou de servidores entre as instituições sem base legal e finalidade específicas, nem que armazenem ou transmitam essas informações sem observar a Lei Geral de Proteção de Dados (Lei nº 13.709/2018), inclusive quanto a controle de acesso, prazo de retenção e finalidade de uso de cada dado compartilhado entre DPMG, TJMG, Governo do Estado e OAB-MG.</w:t>
            </w:r>
          </w:p>
        </w:tc>
      </w:tr>
    </w:tbl>
    <w:p w14:paraId="6F1AF2B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lastRenderedPageBreak/>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0EE604FF"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7DEBDA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06</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371DD7A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Empresa de Tecnologia da Informação do Estado de Minas Gerais (EMC)</w:t>
            </w:r>
          </w:p>
        </w:tc>
      </w:tr>
      <w:tr w:rsidR="004B15FA" w:rsidRPr="004B15FA" w14:paraId="1694FA0A"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95A656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0BF023A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Minas Gerais pode catalogar, preservar e disponibilizar de forma sustentável e modular um acervo audiovisual histórico de mais de 50 mil horas, hoje sob risco de degradação física e de dependência de sistemas fechados de alto custo, garantindo que o Estado mantenha controle sobre seu próprio patrimônio?</w:t>
            </w:r>
          </w:p>
        </w:tc>
      </w:tr>
      <w:tr w:rsidR="004B15FA" w:rsidRPr="004B15FA" w14:paraId="6B58083B"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C491DD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4C0A6A2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Empresa Mineira de Comunicação (EMC) gerencia um dos mais expressivos acervos culturais e documentais do país, acumulando mais de 50 mil horas de conteúdo audiovisual produzidos ao longo de 40 anos da Rede Minas e da trajetória quase centenária da Rádio Inconfidência. Grande parte desse patrimônio encontra-se devidamente custodiada em mídias magnéticas (fitas LTO), Unidades de Disco, sempre demonstrando o cuidado continuado com o acervo. Contudo, o modelo de manutenção e consulta vigente baseia-se em sistemas proprietários com aprisionamento tecnológico (</w:t>
            </w:r>
            <w:proofErr w:type="spellStart"/>
            <w:r w:rsidRPr="004B15FA">
              <w:rPr>
                <w:rFonts w:ascii="Calibri" w:eastAsia="Times New Roman" w:hAnsi="Calibri" w:cs="Calibri"/>
                <w:color w:val="000000"/>
                <w:kern w:val="0"/>
                <w:lang w:eastAsia="pt-BR"/>
                <w14:ligatures w14:val="none"/>
              </w:rPr>
              <w:t>vendor</w:t>
            </w:r>
            <w:proofErr w:type="spellEnd"/>
            <w:r w:rsidRPr="004B15FA">
              <w:rPr>
                <w:rFonts w:ascii="Calibri" w:eastAsia="Times New Roman" w:hAnsi="Calibri" w:cs="Calibri"/>
                <w:color w:val="000000"/>
                <w:kern w:val="0"/>
                <w:lang w:eastAsia="pt-BR"/>
                <w14:ligatures w14:val="none"/>
              </w:rPr>
              <w:t xml:space="preserve"> </w:t>
            </w:r>
            <w:proofErr w:type="spellStart"/>
            <w:r w:rsidRPr="004B15FA">
              <w:rPr>
                <w:rFonts w:ascii="Calibri" w:eastAsia="Times New Roman" w:hAnsi="Calibri" w:cs="Calibri"/>
                <w:color w:val="000000"/>
                <w:kern w:val="0"/>
                <w:lang w:eastAsia="pt-BR"/>
                <w14:ligatures w14:val="none"/>
              </w:rPr>
              <w:t>lock</w:t>
            </w:r>
            <w:proofErr w:type="spellEnd"/>
            <w:r w:rsidRPr="004B15FA">
              <w:rPr>
                <w:rFonts w:ascii="Calibri" w:eastAsia="Times New Roman" w:hAnsi="Calibri" w:cs="Calibri"/>
                <w:color w:val="000000"/>
                <w:kern w:val="0"/>
                <w:lang w:eastAsia="pt-BR"/>
                <w14:ligatures w14:val="none"/>
              </w:rPr>
              <w:t>-in) e licenciamento oneroso por volume de dados. Essa dependência compromete orçamentariamente a expansão das operações frente ao crescimento constante da produção diária, interiorização e parcerias educacionais.</w:t>
            </w:r>
          </w:p>
          <w:p w14:paraId="4697BBC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Evolução para a TV 3.0 e Escalabilidade de Formatos: Preparação da infraestrutura de broadcast para os novos padrões de transmissão (TV 3.0), suportando o salto tecnológico na qualidade de vídeo e áudio. A solução deve estar apta a absorver a transição das atuais produções em 1080p para formatos de altíssima definição (como 4K, 8K e até 12K), garantindo a gestão e o processamento eficiente frente a esse aumento exponencial no volume de dados.</w:t>
            </w:r>
          </w:p>
          <w:p w14:paraId="460B980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Adicionalmente, o acervo radiofônico histórico está fragmentado em suportes analógicos legados e mídias físicas dispersas, demandando metodologias de resgate e indexação unificada. Trata-se de um problema complexo que abrange quatro dimensões essenciais:</w:t>
            </w:r>
          </w:p>
          <w:p w14:paraId="45D55E5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 Catalogação Automatizada via IA: Necessidade de indexar, transcrever e atribuir metadados contextuais a grandes volumes de som e imagem sem sobrecarga manual exaustiva.</w:t>
            </w:r>
          </w:p>
          <w:p w14:paraId="25907F0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 Resgate e Consolidação Multimídia: Integração de </w:t>
            </w:r>
            <w:proofErr w:type="spellStart"/>
            <w:r w:rsidRPr="004B15FA">
              <w:rPr>
                <w:rFonts w:ascii="Calibri" w:eastAsia="Times New Roman" w:hAnsi="Calibri" w:cs="Calibri"/>
                <w:color w:val="000000"/>
                <w:kern w:val="0"/>
                <w:lang w:eastAsia="pt-BR"/>
                <w14:ligatures w14:val="none"/>
              </w:rPr>
              <w:t>conteúdos</w:t>
            </w:r>
            <w:proofErr w:type="spellEnd"/>
            <w:r w:rsidRPr="004B15FA">
              <w:rPr>
                <w:rFonts w:ascii="Calibri" w:eastAsia="Times New Roman" w:hAnsi="Calibri" w:cs="Calibri"/>
                <w:color w:val="000000"/>
                <w:kern w:val="0"/>
                <w:lang w:eastAsia="pt-BR"/>
                <w14:ligatures w14:val="none"/>
              </w:rPr>
              <w:t xml:space="preserve"> de áudio e vídeo dispersos em múltiplos suportes físicos e formatos heterogêneos.</w:t>
            </w:r>
          </w:p>
          <w:p w14:paraId="3366FAF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Preservação e Armazenamento Sustentável: Arquitetura em camadas (armazenamento de curto prazo para produção diária e preservação de longo prazo) imune a custos proibitivos.</w:t>
            </w:r>
          </w:p>
          <w:p w14:paraId="10B6255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Independência Tecnológica: Padrão aberto, não restritivo e modular que assegure a soberania do Estado sobre a custódia de seu patrimônio documental.</w:t>
            </w:r>
          </w:p>
          <w:p w14:paraId="36C2D45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problema é compartilhado por diversas emissoras públicas, universidades, museus e arquivos governamentais do país sujeitos ao mesmo risco de perda de acervo digital e restrições fiscais.</w:t>
            </w:r>
          </w:p>
        </w:tc>
      </w:tr>
      <w:tr w:rsidR="004B15FA" w:rsidRPr="004B15FA" w14:paraId="1DAA64A9"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B40B35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6C2D372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a troca de um sistema proprietário por outro sistema igualmente fechado, ainda que de menor custo inicial, pois isso repete o problema de dependência que o desafio busca resolver. Não queremos soluções que exijam descartar ou substituir a infraestrutura física de armazenamento já existente, como as unidades de fita, como pré-condição de funcionamento. Não queremos ferramentas de catalogação automática que produzam descrições sem possibilidade de revisão ou correção humana, dado o valor histórico e documental do acervo. Não queremos soluções que dependam de enviar o conteúdo original a serviços externos sem garantia de que o Estado mantenha cópia e controle sobre os arquivos. Não queremos arquitetura que não preveja camada de preservação de longo prazo, resolvendo apenas a necessidade de uso corrente na produção diária.</w:t>
            </w:r>
          </w:p>
        </w:tc>
      </w:tr>
    </w:tbl>
    <w:p w14:paraId="2CE45A9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6A3CF924"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4F736F3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07</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1A7DE16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Fundação de Amparo à Pesquisa do Estado de Minas Gerais (FAPEMIG)</w:t>
            </w:r>
          </w:p>
        </w:tc>
      </w:tr>
      <w:tr w:rsidR="004B15FA" w:rsidRPr="004B15FA" w14:paraId="157D1768"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02EDA4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6078CDD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podemos tornar mais eficiente, confiável e consistente o processo de análise e julgamento das propostas submetidas à FAPEMIG, reduzindo o esforço operacional e o risco de erros, omissões e inconsistências?</w:t>
            </w:r>
          </w:p>
        </w:tc>
      </w:tr>
      <w:tr w:rsidR="004B15FA" w:rsidRPr="004B15FA" w14:paraId="490A264B"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AF7BF0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0D677B7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Fundação de Amparo à Pesquisa do Estado de Minas Gerais (FAPEMIG) é a agência estadual responsável pelo fomento à ciência, à tecnologia e à inovação em Minas Gerais. Por meio de chamadas públicas e outros instrumentos de fomento, pesquisadores, Instituições Científicas, Tecnológicas e de Inovação (</w:t>
            </w:r>
            <w:proofErr w:type="spellStart"/>
            <w:r w:rsidRPr="004B15FA">
              <w:rPr>
                <w:rFonts w:ascii="Calibri" w:eastAsia="Times New Roman" w:hAnsi="Calibri" w:cs="Calibri"/>
                <w:color w:val="000000"/>
                <w:kern w:val="0"/>
                <w:lang w:eastAsia="pt-BR"/>
                <w14:ligatures w14:val="none"/>
              </w:rPr>
              <w:t>ICTs</w:t>
            </w:r>
            <w:proofErr w:type="spellEnd"/>
            <w:r w:rsidRPr="004B15FA">
              <w:rPr>
                <w:rFonts w:ascii="Calibri" w:eastAsia="Times New Roman" w:hAnsi="Calibri" w:cs="Calibri"/>
                <w:color w:val="000000"/>
                <w:kern w:val="0"/>
                <w:lang w:eastAsia="pt-BR"/>
                <w14:ligatures w14:val="none"/>
              </w:rPr>
              <w:t xml:space="preserve">), empresas e outros públicos elegíveis submetem propostas de apoio a projetos de pesquisa, </w:t>
            </w:r>
            <w:r w:rsidRPr="004B15FA">
              <w:rPr>
                <w:rFonts w:ascii="Calibri" w:eastAsia="Times New Roman" w:hAnsi="Calibri" w:cs="Calibri"/>
                <w:color w:val="000000"/>
                <w:kern w:val="0"/>
                <w:lang w:eastAsia="pt-BR"/>
                <w14:ligatures w14:val="none"/>
              </w:rPr>
              <w:lastRenderedPageBreak/>
              <w:t>desenvolvimento e inovação, que percorrem diferentes etapas de análise até a decisão sobre a concessão do apoio.</w:t>
            </w:r>
          </w:p>
          <w:p w14:paraId="55F8E9B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492BB92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No processo de julgamento, duas etapas se destacam. A habilitação, realizada por analistas da Fundação, verifica se a proposta atende aos requisitos da chamada, conferindo informações e documentos anexados pelo proponente. O esforço permanece significativo quando a verificação depende da leitura e interpretação de documentos não padronizados, o que, diante do elevado volume de propostas e da diversidade de exigências por chamada, aumenta o risco de erros, omissões ou tratamentos inconsistentes.</w:t>
            </w:r>
          </w:p>
          <w:p w14:paraId="2D6AB73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72031BE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Após a habilitação, as propostas seguem para avaliação de mérito pelas Câmaras de Avaliação, compostas por especialistas responsáveis pelo julgamento técnico-científico. Nessa etapa, o problema é de outra natureza: os avaliadores precisam examinar grande quantidade de informação distribuída pela proposta e relacioná-la aos critérios da chamada, o que exige facilitar a localização e a organização dessas informações, sem substituir a análise do especialista. Além disso, os pareceres produzidos precisam manter coerência entre critérios avaliados, notas atribuídas e conclusão alcançada, e a Fundação identifica, em verificações posteriores, divergências, fundamentações insuficientes e outras inconsistências entre a avaliação e sua conclusão.</w:t>
            </w:r>
          </w:p>
          <w:p w14:paraId="7C52813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04336D5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desafio consiste, portanto, em tornar mais eficiente, padronizada e segura a conferência de formulários e documentos na habilitação, e em facilitar o acesso dos especialistas às informações relevantes para a avaliação de mérito, apoiando a conferência de consistência e completude dos pareceres, preservando integralmente o julgamento técnico-científico.</w:t>
            </w:r>
          </w:p>
          <w:p w14:paraId="43F6D7D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6FC3D54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As informações e documentos tratados pela FAPEMIG podem conter dados pessoais, informações sensíveis, estratégicas ou confidenciais, incluindo pesquisas em desenvolvimento, resultados não publicados e conhecimento com potencial de proteção por propriedade intelectual, o que torna segurança da informação, confidencialidade, controle de acesso e governança de dados requisitos essenciais de qualquer solução proposta.</w:t>
            </w:r>
          </w:p>
          <w:p w14:paraId="46DB0EF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5CDAF14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Embora o foco inicial esteja nas etapas de habilitação e avaliação de mérito, a solução tem potencial de adaptação para outras fases do ciclo de fomento, como a prestação de contas, que também envolve conferência de formulários e documentos comprobatórios.</w:t>
            </w:r>
          </w:p>
          <w:p w14:paraId="566703D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tc>
      </w:tr>
      <w:tr w:rsidR="004B15FA" w:rsidRPr="004B15FA" w14:paraId="49117B8A"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56BDC0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35E47E5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A FAPEMIG já avançou na automatização de diversas regras por meio do Sistema Everest, utilizado para submissão e gestão das propostas, inclusive com mecanismos que impedem determinados descumprimentos no momento da submissão e com análises em lote a partir de informações estruturadas. Esse avanço, no entanto, não resolve a conferência de formulários e documentos quando ela depende da leitura e interpretação de conteúdo não padronizado, o que permanece um esforço operacional significativo diante do volume de propostas recebidas.</w:t>
            </w:r>
          </w:p>
          <w:p w14:paraId="19CE9C6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2651FC7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uma solução que apenas amplie o conjunto de regras automatizadas já existentes no Sistema Everest, caso ela não seja capaz de lidar com documentos e informações não padronizados, que é justamente o que hoje escapa à automação atual.</w:t>
            </w:r>
          </w:p>
          <w:p w14:paraId="3250640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511992B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uma solução que substitua o julgamento técnico-científico dos especialistas na avaliação de mérito; o papel da ferramenta é facilitar o acesso às informações relevantes e apoiar a conferência de consistência dos pareceres, preservando integralmente a análise humana.</w:t>
            </w:r>
          </w:p>
          <w:p w14:paraId="5D1D74B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4E13068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soluções que impliquem divulgação, exposição, compartilhamento, utilização ou acesso indevido a dados pessoais ou a informações submetidas à FAPEMIG sujeitas a restrição de acesso ou dever de confidencialidade, inclusive conteúdos de pesquisa em desenvolvimento, resultados não publicados e conhecimento com potencial de proteção por propriedade intelectual.</w:t>
            </w:r>
          </w:p>
          <w:p w14:paraId="4AEDC9B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1F609AE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soluções que não observem a Lei Geral de Proteção de Dados Pessoais (Lei nº 13.709/2018) e a Lei de Acesso à Informação (Lei nº 12.527/2011), nem que deixem de prever controle de acesso, rastreabilidade e governança adequada sobre os dados tratados.</w:t>
            </w:r>
          </w:p>
          <w:p w14:paraId="5823111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5454822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buscamos soluções que permitam o acesso ou tratamento de dados além do estritamente necessário às finalidades institucionais definidas, nem que criem risco de exposição ou reutilização indevida da informação.</w:t>
            </w:r>
          </w:p>
        </w:tc>
      </w:tr>
    </w:tbl>
    <w:p w14:paraId="3EBD3C8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lastRenderedPageBreak/>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521C058B"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CC7768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08</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0B1C274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Fundação Hospitalar do Estado de Minas Gerais (FHEMIG)</w:t>
            </w:r>
          </w:p>
        </w:tc>
      </w:tr>
      <w:tr w:rsidR="004B15FA" w:rsidRPr="004B15FA" w14:paraId="1BA09232"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80D802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58FA767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Como podemos desenvolver uma solução de baixo custo para preservar a qualidade microbiológica e nutricional do leite humano doado durante o </w:t>
            </w:r>
            <w:r w:rsidRPr="004B15FA">
              <w:rPr>
                <w:rFonts w:ascii="Calibri" w:eastAsia="Times New Roman" w:hAnsi="Calibri" w:cs="Calibri"/>
                <w:color w:val="000000"/>
                <w:kern w:val="0"/>
                <w:lang w:eastAsia="pt-BR"/>
                <w14:ligatures w14:val="none"/>
              </w:rPr>
              <w:lastRenderedPageBreak/>
              <w:t>armazenamento e transporte, ampliando a segurança da doação de leite materno em Minas Gerais?</w:t>
            </w:r>
          </w:p>
        </w:tc>
      </w:tr>
      <w:tr w:rsidR="004B15FA" w:rsidRPr="004B15FA" w14:paraId="04906B66"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A155A8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Descritivo:</w:t>
            </w:r>
          </w:p>
          <w:p w14:paraId="203E1EF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acesso a leite humano doado é um fator crítico para a sobrevivência e o desenvolvimento de bebês prematuros e de baixo peso. No entanto, o potencial de doação em Minas Gerais, um estado de grande extensão territorial, é limitado por barreiras logísticas e pela dificuldade de preservar a qualidade do leite fora de ambientes controlados. A ciência demonstra que a exposição do leite a variações de temperatura compromete seriamente sua composição, desencadeando a proliferação bacteriana e a degradação de seus valiosos componentes imunológicos e nutricionais. A urgência deste problema reside na necessidade de garantir que o "alimento ouro" da primeira infância chegue aos hospitais com a máxima segurança microbiológica e todas as suas propriedades intactas, evitando desperdícios e riscos de infecções graves para os bebês mais vulneráveis.</w:t>
            </w:r>
          </w:p>
          <w:p w14:paraId="0A36DFB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desafio de ampliar a doação de leite humano em Minas Gerais decorre da necessidade de garantir que o leite coletado em ambiente domiciliar chegue ao Banco de Leite Humano (BLH) preservando suas propriedades nutricionais, imunológicas e microbiológicas. Embora exista uma logística organizada para distribuição dos recipientes e recolhimento do leite nas residências das doadoras, persistem riscos relacionados às oscilações de temperatura durante o armazenamento e transporte, bem como à presença eventual de impurezas físicas decorrentes do processo de coleta domiciliar. Buscamos um protótipo que atenda a essas condições. Ao superar as barreiras de logística e preservação, poderemos ampliar significativamente o alcance da doação e, em última análise, salvar mais vidas.</w:t>
            </w:r>
          </w:p>
          <w:p w14:paraId="7632591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solução proposta deverá ser capaz de: Preservar a qualidade microbiológica e nutricional do leite humano doado; Manter condições térmicas adequadas durante armazenamento e transporte; Possibilitar monitoramento simples e confiável das condições de conservação; Ser prático no manuseio para as doadoras e os profissionais do BLH e postos de coleta; Reduzir perdas por contaminação ou inadequação de transporte; Ampliar o alcance geográfico das coletas domiciliares; Contribuir para o aumento do volume de leite humano aproveitado pelos Bancos de Leite e postos de coleta; Reduzir o descarte de leite humano por comprometimento da qualidade; Mitigar a presença de impurezas físicas eventualmente introduzidas durante a coleta; Integrar-se à rotina operacional já existentes dos postos de coleta e nos demais Bancos de Leite Humano de Minas Gerais; ser descartável ou embalagem capaz para reprocessamento.</w:t>
            </w:r>
          </w:p>
        </w:tc>
      </w:tr>
      <w:tr w:rsidR="004B15FA" w:rsidRPr="004B15FA" w14:paraId="4D62E9E1"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374E9C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que não queremos ou já testamos:</w:t>
            </w:r>
          </w:p>
          <w:p w14:paraId="2738E98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métodos de armazenamento convencionais, como caixas de isopor sem qualquer tipo de monitoramento ou controle microbiológico. Não queremos soluções que tenham o acréscimo de quaisquer tipos de aditivos ao leite coletado ou que não respeitem as diretrizes vigentes de embalagem estabelecidas pela RDC-ANVISA nº. DE 171, de 04 de setembro de 2006. Segundo as Normas Técnicas </w:t>
            </w:r>
            <w:proofErr w:type="spellStart"/>
            <w:r w:rsidRPr="004B15FA">
              <w:rPr>
                <w:rFonts w:ascii="Calibri" w:eastAsia="Times New Roman" w:hAnsi="Calibri" w:cs="Calibri"/>
                <w:color w:val="000000"/>
                <w:kern w:val="0"/>
                <w:lang w:eastAsia="pt-BR"/>
                <w14:ligatures w14:val="none"/>
              </w:rPr>
              <w:t>rBLH</w:t>
            </w:r>
            <w:proofErr w:type="spellEnd"/>
            <w:r w:rsidRPr="004B15FA">
              <w:rPr>
                <w:rFonts w:ascii="Calibri" w:eastAsia="Times New Roman" w:hAnsi="Calibri" w:cs="Calibri"/>
                <w:color w:val="000000"/>
                <w:kern w:val="0"/>
                <w:lang w:eastAsia="pt-BR"/>
                <w14:ligatures w14:val="none"/>
              </w:rPr>
              <w:t xml:space="preserve">/NT 31.21 - Fiocruz, “Dentre as características desejáveis em uma embalagem </w:t>
            </w:r>
            <w:r w:rsidRPr="004B15FA">
              <w:rPr>
                <w:rFonts w:ascii="Calibri" w:eastAsia="Times New Roman" w:hAnsi="Calibri" w:cs="Calibri"/>
                <w:color w:val="000000"/>
                <w:kern w:val="0"/>
                <w:lang w:eastAsia="pt-BR"/>
                <w14:ligatures w14:val="none"/>
              </w:rPr>
              <w:lastRenderedPageBreak/>
              <w:t xml:space="preserve">destinada ao acondicionamento do leite humano ordenhado, destacam-se: ser quimicamente inerte, não permitindo trocas indesejáveis com o produto acondicionado; apresentar </w:t>
            </w:r>
            <w:proofErr w:type="spellStart"/>
            <w:r w:rsidRPr="004B15FA">
              <w:rPr>
                <w:rFonts w:ascii="Calibri" w:eastAsia="Times New Roman" w:hAnsi="Calibri" w:cs="Calibri"/>
                <w:color w:val="000000"/>
                <w:kern w:val="0"/>
                <w:lang w:eastAsia="pt-BR"/>
                <w14:ligatures w14:val="none"/>
              </w:rPr>
              <w:t>vedamento</w:t>
            </w:r>
            <w:proofErr w:type="spellEnd"/>
            <w:r w:rsidRPr="004B15FA">
              <w:rPr>
                <w:rFonts w:ascii="Calibri" w:eastAsia="Times New Roman" w:hAnsi="Calibri" w:cs="Calibri"/>
                <w:color w:val="000000"/>
                <w:kern w:val="0"/>
                <w:lang w:eastAsia="pt-BR"/>
                <w14:ligatures w14:val="none"/>
              </w:rPr>
              <w:t xml:space="preserve"> perfeito, e apresentar resistência física ao estresse promovido por oscilações bruscas de temperatura”. Não queremos soluções que alterem o fluxo de coleta domiciliar e processamento já existente. A solução também deverá respeitar as demais legislações existentes. A embalagem deverá ter capacidade de 50 ml a 500 ml e ser resistente a temperaturas na faixa de - 25 ºC (vinte e cinco graus Celsius negativos) a 128 ºC (cento e vinte e oito graus Celsius) que preserve ser valor biológico.</w:t>
            </w:r>
          </w:p>
        </w:tc>
      </w:tr>
    </w:tbl>
    <w:p w14:paraId="66B34BC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lastRenderedPageBreak/>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6BA995DF"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076F18D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09</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4C18BA2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Gabinete Militar do Governador (GMG)</w:t>
            </w:r>
          </w:p>
        </w:tc>
      </w:tr>
      <w:tr w:rsidR="004B15FA" w:rsidRPr="004B15FA" w14:paraId="2A85C827"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3E77EF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42FE22B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Como aprimorar a gestão, o controle e a rastreabilidade dos materiais armazenados nos depósitos da Coordenadoria Estadual de Defesa Civil (Cedec), desde sua origem até a destinação final, garantindo eficiência logística, transparência, prestação de contas e capacidade de resposta em </w:t>
            </w:r>
            <w:proofErr w:type="gramStart"/>
            <w:r w:rsidRPr="004B15FA">
              <w:rPr>
                <w:rFonts w:ascii="Calibri" w:eastAsia="Times New Roman" w:hAnsi="Calibri" w:cs="Calibri"/>
                <w:color w:val="000000"/>
                <w:kern w:val="0"/>
                <w:lang w:eastAsia="pt-BR"/>
                <w14:ligatures w14:val="none"/>
              </w:rPr>
              <w:t>situações de emergência</w:t>
            </w:r>
            <w:proofErr w:type="gramEnd"/>
            <w:r w:rsidRPr="004B15FA">
              <w:rPr>
                <w:rFonts w:ascii="Calibri" w:eastAsia="Times New Roman" w:hAnsi="Calibri" w:cs="Calibri"/>
                <w:color w:val="000000"/>
                <w:kern w:val="0"/>
                <w:lang w:eastAsia="pt-BR"/>
                <w14:ligatures w14:val="none"/>
              </w:rPr>
              <w:t xml:space="preserve"> e desastre?</w:t>
            </w:r>
          </w:p>
        </w:tc>
      </w:tr>
      <w:tr w:rsidR="004B15FA" w:rsidRPr="004B15FA" w14:paraId="45CCDEFB"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95C509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158BA0B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Atualmente, a CEDEC possui 3 depósitos de materiais de ajuda humanitária e enfrenta desafios relacionados à gestão, controle e rastreabilidade dos itens armazenados. Não existe um mecanismo centralizado capaz de organizar, de forma padronizada e eficiente, as entradas e saídas de materiais, tampouco de identificar claramente suas fontes de origem e destinação final.</w:t>
            </w:r>
          </w:p>
          <w:p w14:paraId="28A0943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Entre os materiais considerados de ajuda humanitária estão: cestas básicas, kits de higiene, kits de limpeza, kits dormitório, baldes e colchões. Cada um desses itens deve ser devidamente registrado desde o momento em que entra no depósito, com a indicação de sua fonte ou origem (doações, aquisições governamentais, repasses institucionais etc.), até sua saída, quando é entregue ao beneficiário final.</w:t>
            </w:r>
          </w:p>
          <w:p w14:paraId="3363141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É necessário, ainda, prestar contas de maneira detalhada, comprovando o destino e a utilização de cada item proveniente de determinada fonte, garantindo transparência e conformidade com normas de controle e fiscalização.</w:t>
            </w:r>
          </w:p>
          <w:p w14:paraId="7B0697D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Outro aspecto que amplia a complexidade do problema é a existência de materiais armazenados que não se enquadram diretamente como itens de ajuda humanitária, mas que, pelas suas funcionalidades, podem ser empregados em situações de desastres. Esses materiais também precisam ser catalogados e gerenciados, a fim de permitir um controle unificado e evitar desperdícios ou falhas no processo de atendimento emergencial.</w:t>
            </w:r>
          </w:p>
          <w:p w14:paraId="46FBD2A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Essa lacuna compromete a eficiência logística, a transparência no uso dos recursos e a capacidade de resposta adequada às populações atingidas por emergências e desastres. Uma solução bem-sucedida fortaleceria a governança, por meio de padronização, rastreabilidade e prestação de contas; aumentaria a eficiência </w:t>
            </w:r>
            <w:r w:rsidRPr="004B15FA">
              <w:rPr>
                <w:rFonts w:ascii="Calibri" w:eastAsia="Times New Roman" w:hAnsi="Calibri" w:cs="Calibri"/>
                <w:color w:val="000000"/>
                <w:kern w:val="0"/>
                <w:lang w:eastAsia="pt-BR"/>
                <w14:ligatures w14:val="none"/>
              </w:rPr>
              <w:lastRenderedPageBreak/>
              <w:t>logística, com uso racional dos recursos e redução de desperdícios; ampliaria o suporte à tomada de decisão, gerando dados confiáveis para priorizar a distribuição de insumos às áreas e populações mais vulneráveis; e criaria uma base permanente de organização, capaz de sustentar de forma contínua a capacidade operacional da Defesa Civil, alinhada às exigências de transparência e controle externo. Trata-se, portanto, de um desafio que vai além de uma questão operacional pontual: constrói as bases de um modelo de gestão estruturado e perene para a efetividade das políticas públicas de proteção e defesa civil.</w:t>
            </w:r>
          </w:p>
        </w:tc>
      </w:tr>
      <w:tr w:rsidR="004B15FA" w:rsidRPr="004B15FA" w14:paraId="210ED3C1"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F93114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2809F52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buscamos a implantação de uma ferramenta convencional de controle de estoque, como planilhas, painéis de Business </w:t>
            </w:r>
            <w:proofErr w:type="spellStart"/>
            <w:r w:rsidRPr="004B15FA">
              <w:rPr>
                <w:rFonts w:ascii="Calibri" w:eastAsia="Times New Roman" w:hAnsi="Calibri" w:cs="Calibri"/>
                <w:color w:val="000000"/>
                <w:kern w:val="0"/>
                <w:lang w:eastAsia="pt-BR"/>
                <w14:ligatures w14:val="none"/>
              </w:rPr>
              <w:t>Intelligence</w:t>
            </w:r>
            <w:proofErr w:type="spellEnd"/>
            <w:r w:rsidRPr="004B15FA">
              <w:rPr>
                <w:rFonts w:ascii="Calibri" w:eastAsia="Times New Roman" w:hAnsi="Calibri" w:cs="Calibri"/>
                <w:color w:val="000000"/>
                <w:kern w:val="0"/>
                <w:lang w:eastAsia="pt-BR"/>
                <w14:ligatures w14:val="none"/>
              </w:rPr>
              <w:t xml:space="preserve"> (BI) ou soluções isoladas para registro de entradas e saídas, tampouco uma solução restrita ao controle quantitativo dos materiais, sem integração das informações e sem capacidade de gerar dados confiáveis para auditoria, transparência e apoio à tomada de decisão.</w:t>
            </w:r>
          </w:p>
        </w:tc>
      </w:tr>
    </w:tbl>
    <w:p w14:paraId="50DE4CE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6929E5A8"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B3855A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10</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3B3B334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Junta Comercial do Estado de Minas Gerais (JUCEMG)</w:t>
            </w:r>
          </w:p>
        </w:tc>
      </w:tr>
      <w:tr w:rsidR="004B15FA" w:rsidRPr="004B15FA" w14:paraId="1170FA2C"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75C3BD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787090D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identificar, em tempo real, padrões suspeitos que indiquem potenciais fraudes nos processos de registro e alteração empresarial da JUCEMG?</w:t>
            </w:r>
          </w:p>
        </w:tc>
      </w:tr>
      <w:tr w:rsidR="004B15FA" w:rsidRPr="004B15FA" w14:paraId="27C1EF3C"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63A25D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6FCAFB0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Diariamente, a JUCEMG processa um grande volume de atos de registro e alteração, servindo como porta de entrada para a formalização de negócios em Minas Gerais. O desafio acontece porque, nesse grande volume, esquemas fraudulentos complexos (como o uso de "laranjas" ou a criação de empresas de fachada) são de difícil detecção. Atualmente, o problema ocorre de forma que a verificação de possíveis fraudes é manual e reativa, baseada em amostragem ou a partir de denúncias, que chegam em número reduzido e de origens diversas, como cidadãos ou o Ministério Público, sendo ineficaz para identificar fraudes sistêmicas. A JUCEMG já testou análises baseadas em checklists manuais, método que se mostrou insuficiente em escala e limitado para a complexidade das fraudes atuais.</w:t>
            </w:r>
          </w:p>
          <w:p w14:paraId="590E204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Atualmente, a Lei nº 9.613, de 3 de março de 1998, a Lei nº 13.810, de 8 de março de 2019 e a Instrução Normativa DREI nº 76, de 9 de março de 2020, estabelecem a obrigatoriedade de que analistas das juntas comerciais atuem com base nas 14 tipificações listadas no artigo 3º da Instrução Normativa. Na prática, contudo, essa verificação tem se mostrado ineficiente.</w:t>
            </w:r>
          </w:p>
          <w:p w14:paraId="0DF915B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A proposta é desenvolver uma solução inovadora que utilize o próprio acervo de dados da Autarquia para identificar anomalias e padrões de risco de forma automatizada, incluindo padrões de comportamento fraudulento e de crimes financeiros, e que complemente o escopo de categorias de risco previsto nessas diretrizes legais. A solução deve ser parametrizável e retroalimentada, </w:t>
            </w:r>
            <w:r w:rsidRPr="004B15FA">
              <w:rPr>
                <w:rFonts w:ascii="Calibri" w:eastAsia="Times New Roman" w:hAnsi="Calibri" w:cs="Calibri"/>
                <w:color w:val="000000"/>
                <w:kern w:val="0"/>
                <w:lang w:eastAsia="pt-BR"/>
                <w14:ligatures w14:val="none"/>
              </w:rPr>
              <w:lastRenderedPageBreak/>
              <w:t>incorporando novos dados e padrões de fraude ao longo do tempo, e permitir o ajuste dos indicadores de risco utilizados. Deve, ainda, permitir o encaminhamento de processos com alerta para instância superior de decisão e, se possível, com mecanismo de devolutiva sobre o desfecho. A ferramenta funcionará como um sistema de apoio, gerando alertas fundamentados. A implementação de tal solução aumentará a segurança e a integridade do ambiente de negócios no estado.</w:t>
            </w:r>
          </w:p>
        </w:tc>
      </w:tr>
      <w:tr w:rsidR="004B15FA" w:rsidRPr="004B15FA" w14:paraId="3A4880D8"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60392A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621E2A4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que a verificação de fraudes continue dependendo de trabalho manual.</w:t>
            </w:r>
          </w:p>
        </w:tc>
      </w:tr>
    </w:tbl>
    <w:p w14:paraId="0A83A7E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3D91F0E3"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7CCFCB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11</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0E06FFD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Polícia Civil do Estado de Minas Gerais (PCMG)</w:t>
            </w:r>
          </w:p>
        </w:tc>
      </w:tr>
      <w:tr w:rsidR="004B15FA" w:rsidRPr="004B15FA" w14:paraId="2953768B"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2D3122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166B316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assegurar, durante o transporte de vestígios entre o local de crime e as unidades periciais de Minas Gerais, a integridade do material e o registro contínuo de sua posse e manuseio, de forma auditável e válida como prova, considerando a distância entre unidades, os recursos logísticos limitados do estado e o Código de Processo Penal?</w:t>
            </w:r>
          </w:p>
        </w:tc>
      </w:tr>
      <w:tr w:rsidR="004B15FA" w:rsidRPr="004B15FA" w14:paraId="6BD24380"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1F76D7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0C2F463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transporte de vestígios é uma das etapas mais críticas da cadeia de custódia, conforme estabelecido nos artigos 158-A e 158-B do Código de Processo Penal, incluídos pela Lei nº 13.964/2019 (Pacote Anticrime). Essa fase compreende o deslocamento físico de materiais coletados em locais de crime até as unidades responsáveis por sua custódia ou análise, devendo preservar integralmente suas características originais.</w:t>
            </w:r>
          </w:p>
          <w:p w14:paraId="0CA4CF7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Em Minas Gerais, a extensão territorial e a distribuição em 63 Seções Técnicas Regionais de Criminalística (STRC) e 64 Postos Médico Legais (PML) no interior, além do Instituto de Criminalística e Instituto Médico Legal Dr. André Roquette na capital, impõem desafios logísticos significativos. Atualmente, o transporte é executado de forma descentralizada e manual, a cargo de delegacias regionais ou </w:t>
            </w:r>
            <w:proofErr w:type="spellStart"/>
            <w:r w:rsidRPr="004B15FA">
              <w:rPr>
                <w:rFonts w:ascii="Calibri" w:eastAsia="Times New Roman" w:hAnsi="Calibri" w:cs="Calibri"/>
                <w:color w:val="000000"/>
                <w:kern w:val="0"/>
                <w:lang w:eastAsia="pt-BR"/>
                <w14:ligatures w14:val="none"/>
              </w:rPr>
              <w:t>STRCs</w:t>
            </w:r>
            <w:proofErr w:type="spellEnd"/>
            <w:r w:rsidRPr="004B15FA">
              <w:rPr>
                <w:rFonts w:ascii="Calibri" w:eastAsia="Times New Roman" w:hAnsi="Calibri" w:cs="Calibri"/>
                <w:color w:val="000000"/>
                <w:kern w:val="0"/>
                <w:lang w:eastAsia="pt-BR"/>
                <w14:ligatures w14:val="none"/>
              </w:rPr>
              <w:t>, sem integração entre os fluxos, sem rotas otimizadas e sem controle informatizado das condições de transporte. Esse modelo gera sobrecarga operacional, desperdício de recursos públicos, risco de perecimento de amostras e vulnerabilidade na rastreabilidade da prova.</w:t>
            </w:r>
          </w:p>
          <w:p w14:paraId="29B72CB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desafio propõe o desenvolvimento de uma solução para a gestão do transporte de vestígios, capaz de resolver os seguintes pontos:</w:t>
            </w:r>
          </w:p>
          <w:p w14:paraId="733BFB3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Planejamento e otimização de rotas e periodicidade de coleta e transporte;</w:t>
            </w:r>
          </w:p>
          <w:p w14:paraId="5F208A6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Acompanhamento do deslocamento dos materiais em tempo real, com identificação de atrasos, desvios de rota ou ocorrências anormais;</w:t>
            </w:r>
          </w:p>
          <w:p w14:paraId="7E695D3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 Integração com os sistemas já existentes (</w:t>
            </w:r>
            <w:proofErr w:type="spellStart"/>
            <w:r w:rsidRPr="004B15FA">
              <w:rPr>
                <w:rFonts w:ascii="Calibri" w:eastAsia="Times New Roman" w:hAnsi="Calibri" w:cs="Calibri"/>
                <w:color w:val="000000"/>
                <w:kern w:val="0"/>
                <w:lang w:eastAsia="pt-BR"/>
                <w14:ligatures w14:val="none"/>
              </w:rPr>
              <w:t>PCnet</w:t>
            </w:r>
            <w:proofErr w:type="spellEnd"/>
            <w:r w:rsidRPr="004B15FA">
              <w:rPr>
                <w:rFonts w:ascii="Calibri" w:eastAsia="Times New Roman" w:hAnsi="Calibri" w:cs="Calibri"/>
                <w:color w:val="000000"/>
                <w:kern w:val="0"/>
                <w:lang w:eastAsia="pt-BR"/>
                <w14:ligatures w14:val="none"/>
              </w:rPr>
              <w:t>, Cadeia de Custódia e plataformas do MP e TJMG);</w:t>
            </w:r>
          </w:p>
          <w:p w14:paraId="2B29E6B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Identificação e priorização de materiais com prazo de perecibilidade crítico, como amostras biológicas e químicas;</w:t>
            </w:r>
          </w:p>
          <w:p w14:paraId="0185BFE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Registro da posse e do histórico de manipulação dos vestígios, garantindo transparência e validade probatória.</w:t>
            </w:r>
          </w:p>
          <w:p w14:paraId="031F88D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adoção de um modelo logístico mais eficiente permitirá que a PCMG reduza custos com diárias e combustível, diminua o desgaste da frota e assegure que os laudos periciais sejam emitidos dentro dos prazos legais. Mais que uma solução de tecnologia, o projeto representa uma inovação processual e institucional voltada ao fortalecimento da cadeia de custódia, à eficiência da persecução penal e à credibilidade das provas produzidas pelo Estado.</w:t>
            </w:r>
          </w:p>
        </w:tc>
      </w:tr>
      <w:tr w:rsidR="004B15FA" w:rsidRPr="004B15FA" w14:paraId="36ACC492"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C747A3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1B80C90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um aplicativo de rastreamento de veículos que localize o transporte no mapa sem produzir registro válido de cadeia de custódia. Não queremos uma solução de roteirização logística genérica, sem tratamento da perecibilidade de materiais biológicos e químicos nem da exigência legal de posse documentada. Não queremos soluções que dependam de reformular por completo os sistemas já existentes, como o </w:t>
            </w:r>
            <w:proofErr w:type="spellStart"/>
            <w:r w:rsidRPr="004B15FA">
              <w:rPr>
                <w:rFonts w:ascii="Calibri" w:eastAsia="Times New Roman" w:hAnsi="Calibri" w:cs="Calibri"/>
                <w:color w:val="000000"/>
                <w:kern w:val="0"/>
                <w:lang w:eastAsia="pt-BR"/>
                <w14:ligatures w14:val="none"/>
              </w:rPr>
              <w:t>PCnet</w:t>
            </w:r>
            <w:proofErr w:type="spellEnd"/>
            <w:r w:rsidRPr="004B15FA">
              <w:rPr>
                <w:rFonts w:ascii="Calibri" w:eastAsia="Times New Roman" w:hAnsi="Calibri" w:cs="Calibri"/>
                <w:color w:val="000000"/>
                <w:kern w:val="0"/>
                <w:lang w:eastAsia="pt-BR"/>
                <w14:ligatures w14:val="none"/>
              </w:rPr>
              <w:t xml:space="preserve"> ou os sistemas de cadeia de custódia e das plataformas do Ministério Público e do Tribunal de Justiça; a proposta deve considerar formas de se conectar a eles. Não queremos soluções que exijam conectividade permanente e de alta qualidade em toda rota, dado que parte do território tem cobertura de internet limitada.</w:t>
            </w:r>
          </w:p>
        </w:tc>
      </w:tr>
    </w:tbl>
    <w:p w14:paraId="1CFDE34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3A011E91"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5304737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12</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6CCE1B7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Polícia Militar do Estado de Minas Gerais (PMMG)</w:t>
            </w:r>
          </w:p>
        </w:tc>
      </w:tr>
      <w:tr w:rsidR="004B15FA" w:rsidRPr="004B15FA" w14:paraId="22513E2C"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7FE754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57E5B4A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Como podemos desenvolver uma solução de inteligência analítica que colete e </w:t>
            </w:r>
            <w:proofErr w:type="gramStart"/>
            <w:r w:rsidRPr="004B15FA">
              <w:rPr>
                <w:rFonts w:ascii="Calibri" w:eastAsia="Times New Roman" w:hAnsi="Calibri" w:cs="Calibri"/>
                <w:color w:val="000000"/>
                <w:kern w:val="0"/>
                <w:lang w:eastAsia="pt-BR"/>
                <w14:ligatures w14:val="none"/>
              </w:rPr>
              <w:t>analise</w:t>
            </w:r>
            <w:proofErr w:type="gramEnd"/>
            <w:r w:rsidRPr="004B15FA">
              <w:rPr>
                <w:rFonts w:ascii="Calibri" w:eastAsia="Times New Roman" w:hAnsi="Calibri" w:cs="Calibri"/>
                <w:color w:val="000000"/>
                <w:kern w:val="0"/>
                <w:lang w:eastAsia="pt-BR"/>
                <w14:ligatures w14:val="none"/>
              </w:rPr>
              <w:t xml:space="preserve"> manifestações públicas digitais relacionadas à segurança pública, para que a Polícia Militar de Minas Gerais possa monitorar continuamente o Índice de Percepção de Segurança Pública Digital (IPSPD) e com isso apoiar processos de tomada de decisão estratégica e operacional baseados em evidências?</w:t>
            </w:r>
          </w:p>
        </w:tc>
      </w:tr>
      <w:tr w:rsidR="004B15FA" w:rsidRPr="004B15FA" w14:paraId="12ABC053"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1CAD1F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7CE68CA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Polícia Militar do Estado de Minas Gerais (PMMG) identifica como desafio estratégico a necessidade de ampliar sua capacidade institucional de compreender, monitorar e analisar a percepção social sobre a segurança pública no Estado.</w:t>
            </w:r>
          </w:p>
          <w:p w14:paraId="33AE05C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Há um grande volume de manifestações sobre segurança pública em redes sociais (Facebook, X, Instagram, TikTok e outras), portais de notícias, blogs e demais fontes digitais. Estas manifestações influenciam diretamente a opinião pública e a </w:t>
            </w:r>
            <w:r w:rsidRPr="004B15FA">
              <w:rPr>
                <w:rFonts w:ascii="Calibri" w:eastAsia="Times New Roman" w:hAnsi="Calibri" w:cs="Calibri"/>
                <w:color w:val="000000"/>
                <w:kern w:val="0"/>
                <w:lang w:eastAsia="pt-BR"/>
                <w14:ligatures w14:val="none"/>
              </w:rPr>
              <w:lastRenderedPageBreak/>
              <w:t>confiança nas instituições. Atualmente, essas informações encontram-se dispersas, sem integração e sem metodologia de análise territorial.</w:t>
            </w:r>
          </w:p>
          <w:p w14:paraId="361FB45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desafio consiste no desenvolvimento de uma solução tecnológica capaz de coletar, tratar, analisar, consolidar e apresentar informações públicas de interesse da PMMG, transformando-as em indicadores estratégicos para subsidiar o processo de tomada de decisão.</w:t>
            </w:r>
          </w:p>
          <w:p w14:paraId="7955AD9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solução bem-sucedida deverá contemplar, no mínimo, as seguintes funcionalidades:</w:t>
            </w:r>
          </w:p>
          <w:p w14:paraId="66F25B9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I - Coletar, tratar, analisar e apresentar dados provenientes das principais redes sociais (Facebook, X, Instagram, TikTok, YouTube e outras), com base em marcadores previamente definidos ou em padrões identificados pela própria solução</w:t>
            </w:r>
          </w:p>
          <w:p w14:paraId="7AB09DE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II - Coletar, tratar, analisar e apresentar dados oriundos de portais jornalísticos, blogs e demais fontes públicas de informação.</w:t>
            </w:r>
          </w:p>
          <w:p w14:paraId="64A7606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III - Realizar monitoramento em tempo real de redes sociais, sites de notícias, blogs e outros meios digitais relevantes.</w:t>
            </w:r>
          </w:p>
          <w:p w14:paraId="042AC21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IV - Executar processos de mineração e processamento de dados em tempo real, utilizando técnicas de Processamento de Linguagem Natural (PLN/NLP).</w:t>
            </w:r>
          </w:p>
          <w:p w14:paraId="776592D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V - Classificar e analisar sentimentos associados às manifestações coletadas.</w:t>
            </w:r>
          </w:p>
          <w:p w14:paraId="0EBE7CA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VI - Identificar tendências de opinião pública e tópicos emergentes (trending </w:t>
            </w:r>
            <w:proofErr w:type="spellStart"/>
            <w:r w:rsidRPr="004B15FA">
              <w:rPr>
                <w:rFonts w:ascii="Calibri" w:eastAsia="Times New Roman" w:hAnsi="Calibri" w:cs="Calibri"/>
                <w:color w:val="000000"/>
                <w:kern w:val="0"/>
                <w:lang w:eastAsia="pt-BR"/>
                <w14:ligatures w14:val="none"/>
              </w:rPr>
              <w:t>topics</w:t>
            </w:r>
            <w:proofErr w:type="spellEnd"/>
            <w:r w:rsidRPr="004B15FA">
              <w:rPr>
                <w:rFonts w:ascii="Calibri" w:eastAsia="Times New Roman" w:hAnsi="Calibri" w:cs="Calibri"/>
                <w:color w:val="000000"/>
                <w:kern w:val="0"/>
                <w:lang w:eastAsia="pt-BR"/>
                <w14:ligatures w14:val="none"/>
              </w:rPr>
              <w:t>) relacionados à segurança pública.</w:t>
            </w:r>
          </w:p>
          <w:p w14:paraId="3CC0B79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VII - Calcular o Índice de Percepção de Segurança Pública Digital (IPSPD), métrica composta gerada a partir da análise de sentimentos, volume e representatividade regional, de acordo com a viabilidade técnica, com base em geolocalização de postagens, perfis georreferenciados e menções a municípios/bairros.</w:t>
            </w:r>
          </w:p>
          <w:p w14:paraId="4850A43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VIII - Disponibilizar os resultados por meio de painéis visuais (dashboards) interativos, que permitam a visualização consolidada de informações, indicadores, tendências e análises produzidas pela solução. É desejável que os dados possam ser apresentados em diferentes níveis territoriais, incluindo o âmbito estadual, de Região de Polícia Militar e de Batalhão de Polícia Militar, observadas as limitações técnicas, a disponibilidade e a qualidade dos dados utilizados.</w:t>
            </w:r>
          </w:p>
          <w:p w14:paraId="58B8322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IX - Possibilitar a análise por séries históricas, a comparação temporal dos indicadores e a emissão de alertas automáticos para variações relevantes ou comportamentos atípicos identificados nos dados monitorados. A capacidade de territorialização e detalhamento geográfico será avaliada considerando a viabilidade técnica da solução e os meios de integração e georreferenciamento efetivamente disponíveis.</w:t>
            </w:r>
          </w:p>
          <w:p w14:paraId="2D683AF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X - Possibilitar a exportação dos dados e resultados em formatos amplamente utilizados pelo mercado, tais como JSON, CSV, XLSX e outros formatos compatíveis.</w:t>
            </w:r>
          </w:p>
        </w:tc>
      </w:tr>
      <w:tr w:rsidR="004B15FA" w:rsidRPr="004B15FA" w14:paraId="7084CE5B"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1FDDD6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6323D3E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 xml:space="preserve">Não queremos acompanhamento manual de redes sociais ou por ferramentas de prateleira. Não queremos soluções que identifiquem, perfilem ou acompanhem indivíduos. A análise deve trabalhar sempre com dados agregados, e propostas voltadas ao monitoramento de pessoas específicas serão desconsideradas. Não queremos soluções com ausência de metodologia de indexação voltada especificamente a percepção de segurança pública, com tratamento adequado de termos, contextos e semântica próprios do ambiente policial. Não queremos soluções com inexistência de georreferenciamento compatível com a estrutura territorial da PMMG. Não queremos soluções com falta de arquitetura técnica aberta que permita integração com os sistemas institucionais da PMMG e com bases de dados operacionais. O interesse da PMMG não está em uma ferramenta genérica de monitoramento ou visualização de dados, mas em uma solução capaz de produzir o IPSPD - um índice territorial de percepção de segurança pública - com metodologia validada, escalável e integrável ao ecossistema de dados da Corporação. A PMMG já avaliou soluções comerciais de monitoramento de mídias digitais disponíveis no mercado (ferramentas de social </w:t>
            </w:r>
            <w:proofErr w:type="spellStart"/>
            <w:r w:rsidRPr="004B15FA">
              <w:rPr>
                <w:rFonts w:ascii="Calibri" w:eastAsia="Times New Roman" w:hAnsi="Calibri" w:cs="Calibri"/>
                <w:color w:val="000000"/>
                <w:kern w:val="0"/>
                <w:lang w:eastAsia="pt-BR"/>
                <w14:ligatures w14:val="none"/>
              </w:rPr>
              <w:t>listening</w:t>
            </w:r>
            <w:proofErr w:type="spellEnd"/>
            <w:r w:rsidRPr="004B15FA">
              <w:rPr>
                <w:rFonts w:ascii="Calibri" w:eastAsia="Times New Roman" w:hAnsi="Calibri" w:cs="Calibri"/>
                <w:color w:val="000000"/>
                <w:kern w:val="0"/>
                <w:lang w:eastAsia="pt-BR"/>
                <w14:ligatures w14:val="none"/>
              </w:rPr>
              <w:t xml:space="preserve"> voltadas à gestão de reputação e marketing). Tais ferramentas não atendem as necessidades da Corporação pelos seguintes motivos: I - Ausência de metodologia de indexação voltada especificamente a percepção de segurança pública, com tratamento adequado de termos, contextos e semântica próprios do ambiente policial. II - Inexistência de georreferenciamento compatível com a estrutura territorial da PMMG. II - Falta de arquitetura técnica aberta que permita integração com os sistemas institucionais da PMMG e com bases de dados operacionais. O interesse da PMMG não está em uma ferramenta genérica de monitoramento ou visualização de dados, mas em uma solução capaz de produzir o IPSPD - um índice territorial de percepção de segurança pública - com metodologia validada, escalável e integrável ao ecossistema de dados da Corporação.</w:t>
            </w:r>
          </w:p>
        </w:tc>
      </w:tr>
    </w:tbl>
    <w:p w14:paraId="31ED74E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lastRenderedPageBreak/>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1BC2300B"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DAB189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13</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27DB1BB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da Casa Civil (SCC)</w:t>
            </w:r>
          </w:p>
        </w:tc>
      </w:tr>
      <w:tr w:rsidR="004B15FA" w:rsidRPr="004B15FA" w14:paraId="480C09BC"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03B9C83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09421AD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Como mensurar, de forma confiável, o custo burocrático (o chamado </w:t>
            </w:r>
            <w:proofErr w:type="spellStart"/>
            <w:r w:rsidRPr="004B15FA">
              <w:rPr>
                <w:rFonts w:ascii="Calibri" w:eastAsia="Times New Roman" w:hAnsi="Calibri" w:cs="Calibri"/>
                <w:color w:val="000000"/>
                <w:kern w:val="0"/>
                <w:lang w:eastAsia="pt-BR"/>
                <w14:ligatures w14:val="none"/>
              </w:rPr>
              <w:t>regulatory</w:t>
            </w:r>
            <w:proofErr w:type="spellEnd"/>
            <w:r w:rsidRPr="004B15FA">
              <w:rPr>
                <w:rFonts w:ascii="Calibri" w:eastAsia="Times New Roman" w:hAnsi="Calibri" w:cs="Calibri"/>
                <w:color w:val="000000"/>
                <w:kern w:val="0"/>
                <w:lang w:eastAsia="pt-BR"/>
                <w14:ligatures w14:val="none"/>
              </w:rPr>
              <w:t xml:space="preserve"> </w:t>
            </w:r>
            <w:proofErr w:type="spellStart"/>
            <w:r w:rsidRPr="004B15FA">
              <w:rPr>
                <w:rFonts w:ascii="Calibri" w:eastAsia="Times New Roman" w:hAnsi="Calibri" w:cs="Calibri"/>
                <w:color w:val="000000"/>
                <w:kern w:val="0"/>
                <w:lang w:eastAsia="pt-BR"/>
                <w14:ligatures w14:val="none"/>
              </w:rPr>
              <w:t>burden</w:t>
            </w:r>
            <w:proofErr w:type="spellEnd"/>
            <w:r w:rsidRPr="004B15FA">
              <w:rPr>
                <w:rFonts w:ascii="Calibri" w:eastAsia="Times New Roman" w:hAnsi="Calibri" w:cs="Calibri"/>
                <w:color w:val="000000"/>
                <w:kern w:val="0"/>
                <w:lang w:eastAsia="pt-BR"/>
                <w14:ligatures w14:val="none"/>
              </w:rPr>
              <w:t>) que o Governo de Minas Gerais impõe a quem empreende no estado, incluindo custos de investimento, de operação e de espera hoje invisíveis tanto para o setor público quanto para o privado?</w:t>
            </w:r>
          </w:p>
        </w:tc>
      </w:tr>
      <w:tr w:rsidR="004B15FA" w:rsidRPr="004B15FA" w14:paraId="21CFF8AE"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0DE5F8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3E032C3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maioria dos empreendedores conhece em detalhes qual é a carga tributária que incide sobre seu setor ou atividade e consegue tomar decisões racionais sobre precificação, estrutura e viabilidade do negócio levando em consideração o quanto precisará pagar ao Estado. Todavia, nenhum empreendedor, seja em Minas Gerais ou no Brasil, tampouco o setor público, sabe precisar qual é o custo burocrático que incide sobre os mesmos setores ou atividades.</w:t>
            </w:r>
          </w:p>
          <w:p w14:paraId="1AC3E49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Custo burocrático consiste na identificação dos custos suportados pelo setor privado em decorrência de exigências feitas pelo Estado. Eles podem ser de investimentos (diferença de preço entre um maquinário específico exigido em regulação e maquinários alternativos existentes no mercado, por exemplo), de operação (exigência de controle e apresentação de informações, que recorrentemente demandam equipe e sistemas) ou de espera (custo de oportunidade de um capital imobilizado e despesas incorridas pelo empreendedor enquanto aguarda autorização estatal para iniciar sua operação).</w:t>
            </w:r>
          </w:p>
          <w:p w14:paraId="6826426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conhecimento do custo burocrático seria importante ferramenta para aprimoramento da gestão pública, na medida em que nos indicaria com maior precisão pontos prioritários para melhoria regulatória ou realização de investimentos em infraestrutura e equipe. Seria importante também para a gestão do setor privado, possibilitando conhecimento prévio sobre custos que, sem um planejamento adequado para serem enfrentados, podem levar ao insucesso do empreendimento ou à alocação ineficiente de recursos.</w:t>
            </w:r>
          </w:p>
          <w:p w14:paraId="1ECF8FA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Esse é um cálculo que nunca foi feito no Brasil, seja pela União, por estados ou institutos de pesquisa, mas nos países da Organização para a Cooperação e Desenvolvimento Econômico (OCDE), nos quais ele é chamado de </w:t>
            </w:r>
            <w:proofErr w:type="spellStart"/>
            <w:r w:rsidRPr="004B15FA">
              <w:rPr>
                <w:rFonts w:ascii="Calibri" w:eastAsia="Times New Roman" w:hAnsi="Calibri" w:cs="Calibri"/>
                <w:color w:val="000000"/>
                <w:kern w:val="0"/>
                <w:lang w:eastAsia="pt-BR"/>
                <w14:ligatures w14:val="none"/>
              </w:rPr>
              <w:t>regulatory</w:t>
            </w:r>
            <w:proofErr w:type="spellEnd"/>
            <w:r w:rsidRPr="004B15FA">
              <w:rPr>
                <w:rFonts w:ascii="Calibri" w:eastAsia="Times New Roman" w:hAnsi="Calibri" w:cs="Calibri"/>
                <w:color w:val="000000"/>
                <w:kern w:val="0"/>
                <w:lang w:eastAsia="pt-BR"/>
                <w14:ligatures w14:val="none"/>
              </w:rPr>
              <w:t xml:space="preserve"> </w:t>
            </w:r>
            <w:proofErr w:type="spellStart"/>
            <w:r w:rsidRPr="004B15FA">
              <w:rPr>
                <w:rFonts w:ascii="Calibri" w:eastAsia="Times New Roman" w:hAnsi="Calibri" w:cs="Calibri"/>
                <w:color w:val="000000"/>
                <w:kern w:val="0"/>
                <w:lang w:eastAsia="pt-BR"/>
                <w14:ligatures w14:val="none"/>
              </w:rPr>
              <w:t>burden</w:t>
            </w:r>
            <w:proofErr w:type="spellEnd"/>
            <w:r w:rsidRPr="004B15FA">
              <w:rPr>
                <w:rFonts w:ascii="Calibri" w:eastAsia="Times New Roman" w:hAnsi="Calibri" w:cs="Calibri"/>
                <w:color w:val="000000"/>
                <w:kern w:val="0"/>
                <w:lang w:eastAsia="pt-BR"/>
                <w14:ligatures w14:val="none"/>
              </w:rPr>
              <w:t>, é prática recorrente, utilizada na rotina da Administração para otimização de suas exigências e publicada periodicamente para o mercado.</w:t>
            </w:r>
          </w:p>
          <w:p w14:paraId="1BC64EF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calcular o custo burocrático suportado pelo empreendedor mineiro, discriminado nas três categorias descritas. Esse resultado dará ao Governo do Estado uma base objetiva para priorizar simplificação regulatória e investimento em infraestrutura de atendimento, e dará ao empreendedor uma referência prévia de custo a considerar no planejamento do negócio.</w:t>
            </w:r>
          </w:p>
        </w:tc>
      </w:tr>
      <w:tr w:rsidR="004B15FA" w:rsidRPr="004B15FA" w14:paraId="60900E13"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283DF5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581CB67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buscamos um levantamento pontual, feito uma única vez e não repetível, pois o valor do indicador está em sua atualização periódica para orientar a gestão pública de forma contínua. Não buscamos uma estimativa baseada apenas em dados administrativos do Estado, sem captar a experiência real do empreendedor, uma vez que boa parte do custo burocrático, sobretudo o de investimento e o de operação, não está registrada em nenhum sistema público. Testamos a consulta direta aos setores do Estado que submetem propostas de mudança regulatória no âmbito da AIR e o acesso manual a informações de bancos de dados públicos, mais frequentemente JUCEMG, IBGE, FJP e Ministério do Trabalho, e a pesquisas acadêmicas e matérias jornalísticas pela internet. Tais métodos não nos permitiram visão de todo nem escalabilidade, tampouco nos garantiram confiabilidade dos dados. Não buscamos uma ferramenta que atualize o cálculo em tempo real, haja vista que várias das informações necessárias não estarão disponíveis em bancos de dados. Também não queremos um simples relatório de dados, em formato de pesquisa acadêmica. Não buscamos exatidão na casa dos centavos ou sequer, neste momento, a pesquisa de dados privados, especialmente os que tratam sobre diferenças de preços de maquinários e equipamentos, custos imobiliários e de construção e custos de equipe e sistemas para atendimento de exigências </w:t>
            </w:r>
            <w:r w:rsidRPr="004B15FA">
              <w:rPr>
                <w:rFonts w:ascii="Calibri" w:eastAsia="Times New Roman" w:hAnsi="Calibri" w:cs="Calibri"/>
                <w:color w:val="000000"/>
                <w:kern w:val="0"/>
                <w:lang w:eastAsia="pt-BR"/>
                <w14:ligatures w14:val="none"/>
              </w:rPr>
              <w:lastRenderedPageBreak/>
              <w:t>regulatórias, mas esperamos indicação de quais seriam os dados necessários, seus potenciais fontes e uma funcionalidade na ferramenta que permita a inclusão desses dados no futuro.</w:t>
            </w:r>
          </w:p>
        </w:tc>
      </w:tr>
    </w:tbl>
    <w:p w14:paraId="1178E6D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lastRenderedPageBreak/>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14CD88D3"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663D7EB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14</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6032B81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Agricultura, Pecuária e Abastecimento (SEAPA)</w:t>
            </w:r>
          </w:p>
        </w:tc>
      </w:tr>
      <w:tr w:rsidR="004B15FA" w:rsidRPr="004B15FA" w14:paraId="7D04C0E3"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C06D62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1D52654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o Governo de Minas Gerais pode consolidar o Endereçamento Rural Digital como programa estadual digital permanente, garantindo que mais de um milhão de imóveis rurais do Estado tenham endereços validados, localizáveis e utilizáveis por produtores e serviços públicos, inclusive em áreas sem conectividade?</w:t>
            </w:r>
          </w:p>
        </w:tc>
      </w:tr>
      <w:tr w:rsidR="004B15FA" w:rsidRPr="004B15FA" w14:paraId="24C4124E"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A68D21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62502EC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ausência de endereço formal no meio rural limita drasticamente o acesso do produtor a serviços cotidianos e essenciais. Sem uma referência de localização oficial reconhecida, o produtor enfrenta dificuldades para receber encomendas, correspondências e comunicações oficiais, para indicar a transportadores e fornecedores o local de entrega de insumos e de coleta da produção, e para orientar visitantes, técnicos de assistência e serviços de emergência, como ambulâncias, bombeiros e polícia. A mesma lacuna afeta os órgãos públicos, que não dispõem de uma referência comum para localizar o público rural.</w:t>
            </w:r>
          </w:p>
          <w:p w14:paraId="3920004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Minas Gerais possui atualmente cerca de 1,1 milhão de imóveis rurais inscritos no Cadastro Ambiental Rural (CAR). A SEAPA-MG possui a Plataforma de Endereçamento Rural Digital (ERD-MG) como ferramenta pública e gratuita. Essa plataforma atribui a cada imóvel um endereço digital único, baseado na tecnologia Plus </w:t>
            </w:r>
            <w:proofErr w:type="spellStart"/>
            <w:r w:rsidRPr="004B15FA">
              <w:rPr>
                <w:rFonts w:ascii="Calibri" w:eastAsia="Times New Roman" w:hAnsi="Calibri" w:cs="Calibri"/>
                <w:color w:val="000000"/>
                <w:kern w:val="0"/>
                <w:lang w:eastAsia="pt-BR"/>
                <w14:ligatures w14:val="none"/>
              </w:rPr>
              <w:t>Code</w:t>
            </w:r>
            <w:proofErr w:type="spellEnd"/>
            <w:r w:rsidRPr="004B15FA">
              <w:rPr>
                <w:rFonts w:ascii="Calibri" w:eastAsia="Times New Roman" w:hAnsi="Calibri" w:cs="Calibri"/>
                <w:color w:val="000000"/>
                <w:kern w:val="0"/>
                <w:lang w:eastAsia="pt-BR"/>
                <w14:ligatures w14:val="none"/>
              </w:rPr>
              <w:t xml:space="preserve"> e vinculado ao CAR, e posiciona esse endereço no ponto do imóvel mais próximo da via de acesso, quando possível. Para isso, integra dados da Cemig, do Instituto Mineiro de Agropecuária (IMA), do Instituto Brasileiro de Geografia e Estatística (IBGE), do </w:t>
            </w:r>
            <w:proofErr w:type="spellStart"/>
            <w:r w:rsidRPr="004B15FA">
              <w:rPr>
                <w:rFonts w:ascii="Calibri" w:eastAsia="Times New Roman" w:hAnsi="Calibri" w:cs="Calibri"/>
                <w:color w:val="000000"/>
                <w:kern w:val="0"/>
                <w:lang w:eastAsia="pt-BR"/>
                <w14:ligatures w14:val="none"/>
              </w:rPr>
              <w:t>OpenStreetMap</w:t>
            </w:r>
            <w:proofErr w:type="spellEnd"/>
            <w:r w:rsidRPr="004B15FA">
              <w:rPr>
                <w:rFonts w:ascii="Calibri" w:eastAsia="Times New Roman" w:hAnsi="Calibri" w:cs="Calibri"/>
                <w:color w:val="000000"/>
                <w:kern w:val="0"/>
                <w:lang w:eastAsia="pt-BR"/>
                <w14:ligatures w14:val="none"/>
              </w:rPr>
              <w:t xml:space="preserve"> (OSM) e do Sistema Nacional de Cadastro Ambiental Rural (SICAR). A primeira rodada de atribuição gerou centenas de milhares de endereços sugeridos com base em pontos. Os demais imóveis, 293 mil, dispõem apenas do centroide do polígono do CAR, ponto que não representa necessariamente o acesso aos imóveis.</w:t>
            </w:r>
          </w:p>
          <w:p w14:paraId="1BB8930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Mais especificamente, o problema envolve a validação governamental de cerca de 868 mil endereços sugeridos, inviável por verificação exclusivamente manual, com triagem por nível de confiança e revisão técnica pela SEAPA-MG, bem como o cadastramento dos cerca de 293 mil endereços faltantes dos imóveis que dispõem apenas do centroide do CAR, por indicação do proprietário, coleta em campo, integração de outras bases de dados ou detecção de novas rotas e acessos em imagem de satélite. Contempla, ainda, o cálculo de rotas logísticas até os endereços rurais, com rotas alternativas e refinamento contínuo a partir de trajetos efetivamente percorridos, considerando que a malha viária vicinal é incompleta nas bases cartográficas abertas.</w:t>
            </w:r>
          </w:p>
          <w:p w14:paraId="12ECE2C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Também está previsto o desenvolvimento de interfaces específicas para os diferentes públicos envolvidos com a Plataforma, como gestores, produtores e proprietários rurais, além de módulo de gestão que permita receber, revisar e aprovar os endereços indicados pelos proprietários, com painéis de acompanhamento da cobertura e da qualidade de endereçamento por município. A iniciativa deverá assegurar plena conformidade com a Lei Geral de Proteção de Dados (Lei nº 13.709/2018) e incluir a produção de diagnósticos submetidos à validação de técnicos da SEAPA-MG, de modo a detectar estradas não mapeadas no OSM, reposicionar pontos de acesso e avaliar a qualidade dos dados para subsidiar a gestão do programa.</w:t>
            </w:r>
          </w:p>
        </w:tc>
      </w:tr>
      <w:tr w:rsidR="004B15FA" w:rsidRPr="004B15FA" w14:paraId="4365C3A0"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0FF0E6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23D87DF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uma solução exclusivamente online, visto que as áreas rurais frequentemente enfrentam problemas de rede e cobertura. É necessária a possibilidade de operação offline; reconhecendo uma limitação temporal razoável decorrente da operação offline, não queremos uma solução que demore em ter dados atualizados, sendo necessário se aproximar, na medida do possível, da atualização em tempo real. Não queremos uma solução que impeça uma disponibilização em aplicativo móvel para produtores e técnicos, com criação e manutenção evolutiva e experiência de uso acessível ao produtor. Não queremos uma solução sem integração com as bases oficiais de segurança pública, saúde, educação, meio ambiente, agricultura e infraestrutura. Não queremos soluções que repliquem ou substituam ferramentas comerciais de navegação. Não queremos a criação de um novo cadastro rural paralelo, haja visto que a Plataforma de Endereçamento Rural já contempla as necessidades da secretaria. Não queremos uma solução exclusivamente gerencial, limitada a painéis ou indicadores, posto que a solução deve atuar sobre o ERD especialmente no que tange validação, complementação, atualização, utilização e disseminação dos endereços rurais. Não queremos uma solução que trate o centroide do imóvel como resposta suficiente para o endereçamento rural.</w:t>
            </w:r>
          </w:p>
        </w:tc>
      </w:tr>
    </w:tbl>
    <w:p w14:paraId="320EA8D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6743C4D2"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7711B0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15</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49268ED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Cultura e Turismo (SECULT)</w:t>
            </w:r>
          </w:p>
        </w:tc>
      </w:tr>
      <w:tr w:rsidR="004B15FA" w:rsidRPr="004B15FA" w14:paraId="2D84B63F"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DE294E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6876B82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qualificar, mensurar e monitorar, de forma contínua e por região do estado, a geração de ocupação e renda na economia criativa mineira, em seus diversos segmentos, integrando esses dados às estatísticas oficiais do Estado e às ações desenvolvidas pela Administração Pública?</w:t>
            </w:r>
          </w:p>
        </w:tc>
      </w:tr>
      <w:tr w:rsidR="004B15FA" w:rsidRPr="004B15FA" w14:paraId="68497914"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7505A3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40A0D25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Mesmo não possuindo uma estrutura física regionalizada própria, a Secretaria de Estado de Cultura e Turismo de Minas Gerais (Secult) possui forte capilaridade em todo o território mineiro, especialmente por meio de suas políticas, programas e mecanismos de fomento à cultura. Entre essas iniciativas, o Fomento à Cultura é </w:t>
            </w:r>
            <w:r w:rsidRPr="004B15FA">
              <w:rPr>
                <w:rFonts w:ascii="Calibri" w:eastAsia="Times New Roman" w:hAnsi="Calibri" w:cs="Calibri"/>
                <w:color w:val="000000"/>
                <w:kern w:val="0"/>
                <w:lang w:eastAsia="pt-BR"/>
                <w14:ligatures w14:val="none"/>
              </w:rPr>
              <w:lastRenderedPageBreak/>
              <w:t>atualmente uma das atividades de maior abrangência da Secretaria, recebendo aproximadamente 10 mil propostas por ano. Entretanto, a distribuição dos beneficiários não ocorre de maneira uniforme pelo território, havendo concentração de iniciativas e profissionais em determinadas regiões.</w:t>
            </w:r>
          </w:p>
          <w:p w14:paraId="74B1DA1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Esse cenário evidencia um desafio para a gestão da política cultural: a ausência de um sistema integrado e georreferenciado que permita à Secretaria acompanhar, de forma contínua e regionalizada, a atuação e os impactos da economia criativa em Minas Gerais. Atualmente, parte relevante dos dados utilizados para esse acompanhamento encontra-se dispersa em diferentes bases e sistemas, com processos de coleta, consolidação e análise ainda predominantemente manuais e pouco integrados.</w:t>
            </w:r>
          </w:p>
          <w:p w14:paraId="6609CFE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Além disso, os dados provenientes das políticas de fomento representam apenas uma parcela da realidade da economia criativa mineira. Existe um amplo conjunto de profissionais, trabalhadores e empreendedores dos segmentos criativos que desenvolvem suas atividades sem necessariamente possuir vínculo com programas de financiamento do Estado. Essa parcela inclui, inclusive, profissionais autônomos e informais, cuja atuação econômica e cultural também representa uma dimensão importante do potencial da economia criativa no estado.</w:t>
            </w:r>
          </w:p>
          <w:p w14:paraId="21796F1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Dessa forma, o desafio não consiste apenas em aprimorar o acompanhamento das propostas e dos beneficiários dos mecanismos de fomento. É necessário desenvolver uma solução capaz de ampliar a capacidade do Estado de conhecer, mensurar e acompanhar a economia criativa em suas diferentes dimensões, contemplando tanto os agentes que acessam recursos públicos quanto aqueles que atuam de forma independente.</w:t>
            </w:r>
          </w:p>
          <w:p w14:paraId="4AA88D1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solução deverá possibilitar a mensuração regular e regionalizada dos impactos dos diferentes segmentos da economia criativa, considerando aspectos como ocupação, renda e distribuição territorial dos profissionais e das atividades. Para isso, será necessário avaliar as bases de dados existentes, identificar suas potencialidades e limitações, definir e testar indicadores estratégicos e desenvolver metodologias de integração, tratamento e análise das informações. Também deverão ser identificadas oportunidades de aperfeiçoamento, complementação ou compilação das bases já existentes.</w:t>
            </w:r>
          </w:p>
          <w:p w14:paraId="3F39983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 aspecto fundamental desse processo será reconhecer que a economia criativa não constitui um setor homogêneo. Segmentos como artesanato, audiovisual, música, patrimônio, artes cênicas, design e outros possuem características, formas de organização profissional, dinâmicas econômicas e fontes de informação distintas. Portanto, a metodologia deverá ser capaz de considerar essas especificidades, evitando a aplicação de um único modelo de mensuração que não seja adequado às particularidades de cada segmento.</w:t>
            </w:r>
          </w:p>
          <w:p w14:paraId="1F91BFF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A solução deverá, ainda, combinar diferentes fontes de informação. Indicadores baseados exclusivamente na autodeclaração dos profissionais criativos não serão suficientes para produzir um retrato consistente da realidade. Sempre que possível, as informações deverão ser verificadas, complementadas ou trianguladas com </w:t>
            </w:r>
            <w:r w:rsidRPr="004B15FA">
              <w:rPr>
                <w:rFonts w:ascii="Calibri" w:eastAsia="Times New Roman" w:hAnsi="Calibri" w:cs="Calibri"/>
                <w:color w:val="000000"/>
                <w:kern w:val="0"/>
                <w:lang w:eastAsia="pt-BR"/>
                <w14:ligatures w14:val="none"/>
              </w:rPr>
              <w:lastRenderedPageBreak/>
              <w:t>outras bases de dados, de modo a aumentar a qualidade, a confiabilidade e a capacidade analítica dos resultados.</w:t>
            </w:r>
          </w:p>
          <w:p w14:paraId="357F1B5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resultado esperado é que a Secult possa acompanhar continuamente a economia criativa mineira sob uma perspectiva territorial, mesmo sem dispor de unidades administrativas em todas as regiões do estado. A partir de indicadores regionalizados, será possível identificar diferenças e desigualdades na distribuição das atividades e dos profissionais, compreender características e necessidades específicas dos territórios e subsidiar o planejamento e o aperfeiçoamento das políticas públicas de cultura e economia criativa.</w:t>
            </w:r>
          </w:p>
        </w:tc>
      </w:tr>
      <w:tr w:rsidR="004B15FA" w:rsidRPr="004B15FA" w14:paraId="3E3A515C"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5B6DA3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32DF5E8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uma solução que apenas digitalize o controle das propostas de fomento, sem contemplar a parcela da economia criativa que não passa pelo financiamento estadual. Não queremos indicadores que dependam exclusivamente de autodeclaração dos profissionais criativos, sem alguma forma de checagem ou triangulação com outras bases de dados. Não queremos uma metodologia única aplicada de forma idêntica a todos os segmentos da economia criativa, ignorando as particularidades de áreas como audiovisual, artesanato, música, moda, culturas populares entre outros fazeres criativos, que têm dinâmicas e fontes de dados muito diferentes entre si. Não queremos soluções que exijam grande estrutura de coleta presencial, o que inviabilizaria a atualização contínua. Não queremos uma solução que não atenda às normas estabelecidas pela Lei Geral de Proteção de Dados (Lei nº 13.709/2018) e que não proteja a privacidade dos agentes culturais e profissionais da economia criativa. Não queremos uma solução limitada a diagnóstico ou consultoria, sem possibilidade de implementação e continuidade. Não queremos uma solução voltada apenas a coletivos, mas que também alcance profissionais autônomos, informais e demais trabalhadores independentes da economia criativa. Não queremos uma iniciativa que desconsidere as singularidades documentais de povos de comunidades tradicionais e de tradição oral, uma vez que sabemos dos desdobramentos históricos sobre a inclusão de alguns desses segmentos. Não queremos uma solução que desconsidere a inovação social envolvida em prol do Administrado e da Administração Pública.</w:t>
            </w:r>
          </w:p>
        </w:tc>
      </w:tr>
    </w:tbl>
    <w:p w14:paraId="5E501AF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1D4BB1E8"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4227B98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16</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0904EED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Desenvolvimento Econômico (SEDE)</w:t>
            </w:r>
          </w:p>
        </w:tc>
      </w:tr>
      <w:tr w:rsidR="004B15FA" w:rsidRPr="004B15FA" w14:paraId="064164F4"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BF4D82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7B1596A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o Governo de Minas Gerais pode integrar, por meio de uma solução tecnológica, as iniciativas e ferramentas já utilizadas pelos órgãos estaduais para promover o acesso seguro de mulheres em situação de violência e vulnerabilidade a oportunidades de qualificação, emprego, empreendedorismo e geração de renda?</w:t>
            </w:r>
          </w:p>
        </w:tc>
      </w:tr>
      <w:tr w:rsidR="004B15FA" w:rsidRPr="004B15FA" w14:paraId="409F3CAE"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5CAA7D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1A962D6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 xml:space="preserve">O Governo de Minas Gerais enfrenta o desafio de conectar mulheres em situação de violência e vulnerabilidade às oportunidades de autonomia econômica já existentes no Estado. Diferentes órgãos operam políticas e ferramentas próprias, como a identificação e o acolhimento realizados pela PCMG e pela rede socioassistencial, o cadastro de currículos da </w:t>
            </w:r>
            <w:proofErr w:type="spellStart"/>
            <w:r w:rsidRPr="004B15FA">
              <w:rPr>
                <w:rFonts w:ascii="Calibri" w:eastAsia="Times New Roman" w:hAnsi="Calibri" w:cs="Calibri"/>
                <w:color w:val="000000"/>
                <w:kern w:val="0"/>
                <w:lang w:eastAsia="pt-BR"/>
                <w14:ligatures w14:val="none"/>
              </w:rPr>
              <w:t>Sedese</w:t>
            </w:r>
            <w:proofErr w:type="spellEnd"/>
            <w:r w:rsidRPr="004B15FA">
              <w:rPr>
                <w:rFonts w:ascii="Calibri" w:eastAsia="Times New Roman" w:hAnsi="Calibri" w:cs="Calibri"/>
                <w:color w:val="000000"/>
                <w:kern w:val="0"/>
                <w:lang w:eastAsia="pt-BR"/>
                <w14:ligatures w14:val="none"/>
              </w:rPr>
              <w:t xml:space="preserve">, o Mapa Mineiro de Qualificação Profissional da SEDE e a mobilização de empresas pela </w:t>
            </w:r>
            <w:proofErr w:type="spellStart"/>
            <w:r w:rsidRPr="004B15FA">
              <w:rPr>
                <w:rFonts w:ascii="Calibri" w:eastAsia="Times New Roman" w:hAnsi="Calibri" w:cs="Calibri"/>
                <w:color w:val="000000"/>
                <w:kern w:val="0"/>
                <w:lang w:eastAsia="pt-BR"/>
                <w14:ligatures w14:val="none"/>
              </w:rPr>
              <w:t>Invest</w:t>
            </w:r>
            <w:proofErr w:type="spellEnd"/>
            <w:r w:rsidRPr="004B15FA">
              <w:rPr>
                <w:rFonts w:ascii="Calibri" w:eastAsia="Times New Roman" w:hAnsi="Calibri" w:cs="Calibri"/>
                <w:color w:val="000000"/>
                <w:kern w:val="0"/>
                <w:lang w:eastAsia="pt-BR"/>
                <w14:ligatures w14:val="none"/>
              </w:rPr>
              <w:t xml:space="preserve"> Minas, sem um mecanismo comum que conecte essas informações de ponta a ponta.</w:t>
            </w:r>
          </w:p>
          <w:p w14:paraId="0E58FF7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problema envolve a necessidade de compreensão dos perfis dessas mulheres, de identificação de empresas com demanda de mão de obra, de promoção da adesão empresarial às iniciativas, de gestão integrada das informações (tanto do público-alvo quanto das vagas ofertadas e das efetivações de contrato), de definição de uma governança entre os órgãos e de avaliação dos resultados.</w:t>
            </w:r>
          </w:p>
          <w:p w14:paraId="074D6EC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Busca-se uma solução tecnológica que integre as ferramentas e bases em uso pela SEDE, INVEST MINAS, SEDESE e PCMG, viabilizando o acompanhamento seguro e protegido da trajetória dessas mulheres, da identificação até a inserção no mercado de trabalho, com a não exposição desse público-alvo como parâmetro fundamental.</w:t>
            </w:r>
          </w:p>
        </w:tc>
      </w:tr>
      <w:tr w:rsidR="004B15FA" w:rsidRPr="004B15FA" w14:paraId="185BC3B9"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7E7B32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4ECFE39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buscamos apenas um banco de currículos e vagas, nem um painel (dashboard) que reúna indicadores das diferentes iniciativas sem de fato conectá-las; buscamos uma ferramenta única e integrada, e não a soma de ferramentas isoladas que continuam operando lado a lado. Não queremos uma solução que exponha a identidade, a localização ou a situação das mulheres atendidas a qualquer pessoa não autorizada, incluindo o próprio agressor; a proteção dos dados dessas mulheres é parâmetro fundamental do desafio, e o acesso à ferramenta e às informações nela contidas deve ser discreto, de forma que seu uso não represente risco adicional à segurança do público atendido. Não queremos uma solução pensada a partir de um único ator; a ferramenta deve equilibrar as necessidades das mulheres atendidas, dos órgãos do Estado envolvidos e das empresas ofertantes de vaga, sem privilegiar a perspectiva de um lado em detrimento dos demais. Não queremos uma solução que exija que os órgãos envolvidos — SEDE, </w:t>
            </w:r>
            <w:proofErr w:type="spellStart"/>
            <w:r w:rsidRPr="004B15FA">
              <w:rPr>
                <w:rFonts w:ascii="Calibri" w:eastAsia="Times New Roman" w:hAnsi="Calibri" w:cs="Calibri"/>
                <w:color w:val="000000"/>
                <w:kern w:val="0"/>
                <w:lang w:eastAsia="pt-BR"/>
                <w14:ligatures w14:val="none"/>
              </w:rPr>
              <w:t>Invest</w:t>
            </w:r>
            <w:proofErr w:type="spellEnd"/>
            <w:r w:rsidRPr="004B15FA">
              <w:rPr>
                <w:rFonts w:ascii="Calibri" w:eastAsia="Times New Roman" w:hAnsi="Calibri" w:cs="Calibri"/>
                <w:color w:val="000000"/>
                <w:kern w:val="0"/>
                <w:lang w:eastAsia="pt-BR"/>
                <w14:ligatures w14:val="none"/>
              </w:rPr>
              <w:t xml:space="preserve"> Minas, </w:t>
            </w:r>
            <w:proofErr w:type="spellStart"/>
            <w:r w:rsidRPr="004B15FA">
              <w:rPr>
                <w:rFonts w:ascii="Calibri" w:eastAsia="Times New Roman" w:hAnsi="Calibri" w:cs="Calibri"/>
                <w:color w:val="000000"/>
                <w:kern w:val="0"/>
                <w:lang w:eastAsia="pt-BR"/>
                <w14:ligatures w14:val="none"/>
              </w:rPr>
              <w:t>Sedese</w:t>
            </w:r>
            <w:proofErr w:type="spellEnd"/>
            <w:r w:rsidRPr="004B15FA">
              <w:rPr>
                <w:rFonts w:ascii="Calibri" w:eastAsia="Times New Roman" w:hAnsi="Calibri" w:cs="Calibri"/>
                <w:color w:val="000000"/>
                <w:kern w:val="0"/>
                <w:lang w:eastAsia="pt-BR"/>
                <w14:ligatures w14:val="none"/>
              </w:rPr>
              <w:t xml:space="preserve"> e PCMG — abandonem suas iniciativas e sistemas atuais como pré-condição de funcionamento; o desafio está em gerir e integrar essas iniciativas já existentes, e não em substituí-las por uma nova estrutura paralela. Não queremos uma solução que dependa de adesão espontânea das empresas sem estratégia voltada ao engajamento empresarial; a mobilização e a manutenção do interesse das empresas ofertantes de vaga </w:t>
            </w:r>
            <w:proofErr w:type="gramStart"/>
            <w:r w:rsidRPr="004B15FA">
              <w:rPr>
                <w:rFonts w:ascii="Calibri" w:eastAsia="Times New Roman" w:hAnsi="Calibri" w:cs="Calibri"/>
                <w:color w:val="000000"/>
                <w:kern w:val="0"/>
                <w:lang w:eastAsia="pt-BR"/>
                <w14:ligatures w14:val="none"/>
              </w:rPr>
              <w:t>é</w:t>
            </w:r>
            <w:proofErr w:type="gramEnd"/>
            <w:r w:rsidRPr="004B15FA">
              <w:rPr>
                <w:rFonts w:ascii="Calibri" w:eastAsia="Times New Roman" w:hAnsi="Calibri" w:cs="Calibri"/>
                <w:color w:val="000000"/>
                <w:kern w:val="0"/>
                <w:lang w:eastAsia="pt-BR"/>
                <w14:ligatures w14:val="none"/>
              </w:rPr>
              <w:t xml:space="preserve"> parte do problema a ser resolvido, não uma condição já garantida.</w:t>
            </w:r>
          </w:p>
        </w:tc>
      </w:tr>
    </w:tbl>
    <w:p w14:paraId="137040D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6C285E50"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5474272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17</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070F2C6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Desenvolvimento Social (SEDESE)</w:t>
            </w:r>
          </w:p>
        </w:tc>
      </w:tr>
      <w:tr w:rsidR="004B15FA" w:rsidRPr="004B15FA" w14:paraId="7EC333A5"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3B7018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Pergunta desafio: Como desenvolver uma solução tecnológica capaz de acompanhar, de forma integrada, segura e acessível, a trajetória das demandas das mulheres em situação de violência na rede de proteção, fortalecendo a articulação entre os serviços e permitindo que a mulher acompanhe, de maneira protegida, o andamento das respostas às suas demandas?</w:t>
            </w:r>
          </w:p>
        </w:tc>
      </w:tr>
      <w:tr w:rsidR="004B15FA" w:rsidRPr="004B15FA" w14:paraId="67D47CCE"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1A12E5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 O enfrentamento à violência contra as mulheres depende da atuação articulada de diferentes serviços, órgãos e instituições, envolvendo assistência social, saúde, segurança pública, justiça, organismos de políticas para as mulheres, serviços especializados e de acolhimento, entre outros.</w:t>
            </w:r>
          </w:p>
          <w:p w14:paraId="3F7B7A9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Embora existam fluxos de encaminhamento entre esses diferentes pontos da rede, ainda há dificuldade em acompanhar o que acontece depois que um encaminhamento é realizado. Em muitos casos, não é possível identificar de forma integrada se a mulher conseguiu acessar o serviço para o qual foi encaminhada, se sua demanda foi atendida, se houve continuidade do acompanhamento, ou se é necessária uma nova intervenção.</w:t>
            </w:r>
          </w:p>
          <w:p w14:paraId="7F1A315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Essa fragmentação faz com que a mulher precise, ela própria, circular entre diferentes serviços, repetir sua história a cada novo contato e, muitas vezes, assumir a responsabilidade de conectar suas próprias demandas dentro da rede de proteção.</w:t>
            </w:r>
          </w:p>
          <w:p w14:paraId="2AE4C66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desafio, portanto, não está apenas em realizar o encaminhamento, que já ocorre, mas em garantir a continuidade da proteção depois dele. Busca-se inverter essa lógica: em vez de a mulher precisar articular a rede para obter respostas, os serviços devem ser capazes de acompanhar e dar continuidade às demandas, enquanto a mulher tem acesso, de forma segura e adequada à sua situação, às informações necessárias sobre o andamento de sua trajetória de proteção.</w:t>
            </w:r>
          </w:p>
          <w:p w14:paraId="259D375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dificuldade técnica é ampliada pela realidade dos 853 municípios de Minas Gerais, que têm estruturas, serviços disponíveis, fluxos de atendimento e níveis de integração de rede muito diferentes entre si. Uma solução pensada para um único modelo de rede não serve à maior parte do território, o que exige capacidade de adaptação a diferentes configurações locais, trabalhando, quando necessário, apenas com os serviços efetivamente disponíveis em cada localidade.</w:t>
            </w:r>
          </w:p>
          <w:p w14:paraId="1B61B69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Soma-se a isso um requisito central de segurança: a proteção da mulher deve ser princípio estruturante da solução, não um cuidado adicional. Isso envolve mecanismos de proteção de dados, controle de acesso, diferentes níveis de informação, e estratégias que reduzam o risco de exposição indevida das mulheres. A disponibilização de informações à mulher deve observar o princípio da transparência protegida: ela deve poder acompanhar suas próprias demandas sem que isso implique exposição de dados sensíveis, informações de terceiros ou qualquer elemento que possa aumentar sua situação de risco.</w:t>
            </w:r>
          </w:p>
          <w:p w14:paraId="0EA777F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O problema é persistente e prioritário porque, enquanto a continuidade do atendimento depender do esforço individual da mulher em se manter conectada à rede, parte significativa das demandas continuará se perdendo entre um serviço e </w:t>
            </w:r>
            <w:r w:rsidRPr="004B15FA">
              <w:rPr>
                <w:rFonts w:ascii="Calibri" w:eastAsia="Times New Roman" w:hAnsi="Calibri" w:cs="Calibri"/>
                <w:color w:val="000000"/>
                <w:kern w:val="0"/>
                <w:lang w:eastAsia="pt-BR"/>
                <w14:ligatures w14:val="none"/>
              </w:rPr>
              <w:lastRenderedPageBreak/>
              <w:t>outro, comprometendo a efetividade da proteção que o conjunto de políticas públicas pretende oferecer.</w:t>
            </w:r>
          </w:p>
          <w:p w14:paraId="49B2B4F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apoiar o registro e o acompanhamento dos encaminhamentos realizados pela rede, identificar demandas pendentes, sem retorno ou que necessitem de reavaliação, acompanhar a trajetória da mulher pelos diferentes serviços e apoiar a comunicação e a articulação entre os pontos da rede envolvidos em cada caso. A mulher terá acesso, de forma segura e adequada à sua situação, a informações sobre o andamento de suas próprias demandas, com dois níveis de acesso distintos: um voltado aos equipamentos e serviços da rede, outro voltado diretamente a ela. O Estado, por sua vez, passará a dispor de informações gerenciais e indicadores que permitam identificar gargalos, tempos de resposta e necessidades de aprimoramento da rede.</w:t>
            </w:r>
          </w:p>
        </w:tc>
      </w:tr>
      <w:tr w:rsidR="004B15FA" w:rsidRPr="004B15FA" w14:paraId="0718DEFE"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DC4E35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65519DA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uma solução que anule as formas de atendimento já existentes. Não buscamos apenas uma ferramenta de registro de encaminhamentos ou um aplicativo de consulta; buscamos uma solução capaz de qualificar a continuidade da proteção, conectando informação, serviços, profissionais e a mulher de maneira segura e responsável. Não buscamos uma solução baseada em um modelo único de rede, que não se adapte às diferentes estruturas, serviços disponíveis e níveis de integração existentes nos 853 municípios de Minas Gerais. Não buscamos uma solução que exponha a mulher a risco adicional: qualquer informação disponibilizada a ela deve observar o princípio da transparência protegida, sem revelar dados sensíveis, informações de terceiros ou elementos que possam aumentar sua situação de vulnerabilidade. Não buscamos uma solução que não preveja mecanismos de proteção de dados, controle de acesso e diferentes níveis de informação entre o acesso da rede de serviços e o acesso da própria mulher. Não buscamos uma solução que não observe a Lei Geral de Proteção de Dados Pessoais (Lei nº 13.709/2018) e a segurança da informação, dada a natureza sensível dos dados tratados.</w:t>
            </w:r>
          </w:p>
        </w:tc>
      </w:tr>
    </w:tbl>
    <w:p w14:paraId="602F5DE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61DECC50"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143290D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18</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72EBF9E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Governo de Minas Gerais (SEGOV)</w:t>
            </w:r>
          </w:p>
        </w:tc>
      </w:tr>
      <w:tr w:rsidR="004B15FA" w:rsidRPr="004B15FA" w14:paraId="6CDE975F"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B50F84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2C52504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identificar, com confiabilidade, inconsistências e irregularidades em prestações de contas de convênios e parcerias da Secretaria de Estado de Governo e demais órgãos do Executivo, a partir de milhares de documentos digitalizados de qualidade variável, reduzindo o tempo de análise sem comprometer a segurança da decisão final?</w:t>
            </w:r>
          </w:p>
        </w:tc>
      </w:tr>
      <w:tr w:rsidR="004B15FA" w:rsidRPr="004B15FA" w14:paraId="5D753A1A"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26200B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74C220D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A Secretaria de Estado de Governo (SEGOV) firma convênios e parcerias com terceiros e é responsável por analisar as prestações de contas apresentadas ao final </w:t>
            </w:r>
            <w:r w:rsidRPr="004B15FA">
              <w:rPr>
                <w:rFonts w:ascii="Calibri" w:eastAsia="Times New Roman" w:hAnsi="Calibri" w:cs="Calibri"/>
                <w:color w:val="000000"/>
                <w:kern w:val="0"/>
                <w:lang w:eastAsia="pt-BR"/>
                <w14:ligatures w14:val="none"/>
              </w:rPr>
              <w:lastRenderedPageBreak/>
              <w:t>desses instrumentos, verificando se os recursos públicos repassados foram aplicados de forma correta e documentada. Essa análise embasa a decisão de aprovar ou reprovar as contas.</w:t>
            </w:r>
          </w:p>
          <w:p w14:paraId="56734A1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Atualmente, a Secretaria tem cerca de 3.000 processos em análise ou a serem analisados, cada um com, em média, 500 páginas digitalizadas em PDF ou nato digitais, reunindo notas fiscais, extratos bancários, contratos, comprovantes e relatórios contábeis. Esses documentos estão anexados aos respectivos processos no sistema eletrônico de processos do Estado. A qualidade da digitalização varia conforme quem produziu o arquivo, o que inclui páginas tortas, de baixa resolução ou parcialmente ilegíveis.</w:t>
            </w:r>
          </w:p>
          <w:p w14:paraId="1FEF7C1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análise hoje é feita manualmente: o analista abre cada processo no Sistema Eletrônico de Informações (SEI), localiza os documentos relevantes entre centenas de páginas, confere valores, datas e assinaturas, e verifica se a aplicação dos recursos está de acordo com o que foi pactuado. Esse trabalho é repetitivo, sujeito a falhas humanas e consome tempo desproporcional em tarefas de localizar e conferir informação, em vez de julgar o mérito da prestação de contas.</w:t>
            </w:r>
          </w:p>
          <w:p w14:paraId="4177C58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gargalo específico está em extrair, de forma confiável e inteligente, todas as informações relevantes de um volume grande de documentos não padronizados e de qualidade variável, e usá-las para apontar ao analista, com segurança, onde estão os pontos que merecem atenção. Trata-se de problema persistente que compromete a celeridade e a padronização da fiscalização de recursos públicos repassados pelo Estado. Quanto mais tempo leva a análise, maior o risco de prescrição, de acúmulo de processos e de decisões tomadas sob pressão de prazo em vez de sob análise completa.</w:t>
            </w:r>
          </w:p>
          <w:p w14:paraId="2AE2E4E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que o analista receba, para cada processo, os documentos e valores relevantes já localizados e organizados, com indicação objetiva dos pontos que merecem verificação, bem como ser capaz de identificar, extrair e processar relativas à execução do objeto oriundas de múltiplas fontes e sistemas (como o Sistema de Gestão de Convênios - SIGCON). O tempo de análise por processo diminuirá, a padronização entre analistas aumentará e o processo se tornará mais auditável, com evidência clara de como cada informação foi gerada.</w:t>
            </w:r>
          </w:p>
        </w:tc>
      </w:tr>
      <w:tr w:rsidR="004B15FA" w:rsidRPr="004B15FA" w14:paraId="08C8DB8B"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542E7C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22C2086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uma ferramenta de OCR genérica, sem adaptação ao vocabulário e aos tipos de documento de prestação de contas, que apenas transforme PDF em texto sem analisar o que é relevante para a decisão. Não queremos soluções que desconsiderem as modalidades de análise de prestação de contas previstas no Decreto nº 49.282, de 01/09/2026. Não queremos soluções que apresentem resultado sem mostrar de onde ele vem, pois é necessário que a análise realizada seja auditável. Não queremos soluções que exijam </w:t>
            </w:r>
            <w:proofErr w:type="spellStart"/>
            <w:r w:rsidRPr="004B15FA">
              <w:rPr>
                <w:rFonts w:ascii="Calibri" w:eastAsia="Times New Roman" w:hAnsi="Calibri" w:cs="Calibri"/>
                <w:color w:val="000000"/>
                <w:kern w:val="0"/>
                <w:lang w:eastAsia="pt-BR"/>
                <w14:ligatures w14:val="none"/>
              </w:rPr>
              <w:t>re-digitalizar</w:t>
            </w:r>
            <w:proofErr w:type="spellEnd"/>
            <w:r w:rsidRPr="004B15FA">
              <w:rPr>
                <w:rFonts w:ascii="Calibri" w:eastAsia="Times New Roman" w:hAnsi="Calibri" w:cs="Calibri"/>
                <w:color w:val="000000"/>
                <w:kern w:val="0"/>
                <w:lang w:eastAsia="pt-BR"/>
                <w14:ligatures w14:val="none"/>
              </w:rPr>
              <w:t xml:space="preserve"> o acervo de documentos já existente como pré-condição de funcionamento; a solução deve lidar com a qualidade real dos arquivos disponíveis.</w:t>
            </w:r>
          </w:p>
        </w:tc>
      </w:tr>
    </w:tbl>
    <w:p w14:paraId="1C9B169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19E4A574"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04BEC0C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Desafio 19</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24F659E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Infraestrutura, Mobilidade e Parcerias (SEINFRA)</w:t>
            </w:r>
          </w:p>
        </w:tc>
      </w:tr>
      <w:tr w:rsidR="004B15FA" w:rsidRPr="004B15FA" w14:paraId="6D97D5DD"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3AC0A2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2A0DC6F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transformar os dados hoje produzidos pela SEINFRA e recebidos de parceiros e consórcios sobre estações e terminais de transporte público em conhecimento útil para a gestão, capaz de revelar padrões, pontos e horários críticos que hoje passam despercebidos na análise isolada de cada ocorrência?</w:t>
            </w:r>
          </w:p>
        </w:tc>
      </w:tr>
      <w:tr w:rsidR="004B15FA" w:rsidRPr="004B15FA" w14:paraId="6E757768"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4F4661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5EFD3BE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Estações e terminais de transporte público são espaços de circulação, permanência e prestação de serviço, e questões como vandalismo, insegurança, pontos cegos, iluminação inadequada ou comportamento inadequado de funcionários afetam diretamente a experiência de quem os utiliza.</w:t>
            </w:r>
          </w:p>
          <w:p w14:paraId="33F0B62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34890C2D"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Hoje, informações sobre o que acontece nesses ambientes são produzidas por sistemas e processos diferentes entre si, como o Sistema de Ocorrências, sistemas de monitoramento já instalados e registros sobre as características físicas e operacionais de cada espaço. Parte desses dados é própria da SEINFRA, e parte é recebida de parceiros e consórcios envolvidos na operação das estações e terminais. Cada uma dessas fontes oferece uma perspectiva parcial sobre a experiência do usuário, mas elas não se conversam, o que impede enxergar o problema de forma estruturada.</w:t>
            </w:r>
          </w:p>
          <w:p w14:paraId="08A4E68E"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392D7EA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gargalo específico está em transformar esse conjunto disperso de registros individuais, produzidos tanto internamente quanto por terceiros, em compreensão de padrão: saber onde, quando, com que frequência e em que condições determinadas questões se repetem, e não apenas que eles ocorreram uma vez.</w:t>
            </w:r>
          </w:p>
          <w:p w14:paraId="21606E7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0B7A7BA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dificuldade técnica está em integrar fontes de natureza muito diferente entre si, internas e externas, como registros de ocorrência, dados de infraestrutura física, informação temporal e de circulação, sem depender de vigilância humana constante sobre o volume de dados já disponível, algo que já se mostrou insuficiente diante da escala das estações e terminais geridos pela SEINFRA. Como parte relevante da informação vem de parceiros e consórcios, a solução também precisa lidar com dados que a SEINFRA não produz nem controla diretamente, o que pode implicar diferenças de formato, qualidade e periodicidade entre as fontes. O desafio ainda exige cuidado redobrado porque envolve dados sensíveis sobre comportamento e circulação de pessoas, o que demanda controle de acesso, proteção à privacidade e atenção ao risco de viés em qualquer modelo usado para classificar situações ou perfis de público.</w:t>
            </w:r>
          </w:p>
          <w:p w14:paraId="74E5DCB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3151B47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problema é persistente porque, sem essa camada de compreensão, a gestão das estações e terminais permanece reativa: age depois que o problema já ocorreu, sem condição de antecipar onde e quando ele tende a se repetir, nem de priorizar intervenções com base em evidência.</w:t>
            </w:r>
          </w:p>
          <w:p w14:paraId="268544D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61AE155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Uma solução bem-sucedida permitirá que a SEINFRA identifique pontos e horários críticos, reconheça situações recorrentes e públicos potencialmente mais vulneráveis em determinados contextos, e receba essas informações preferencialmente em tempo real, combinadas com histórico e contexto suficientes para distinguir uma ocorrência isolada de um padrão real. A solução deverá apoiar decisões de intervenção preventiva, além de subsidiar o acompanhamento da qualidade dos serviços e contratos relacionados às estações e terminais.</w:t>
            </w:r>
          </w:p>
        </w:tc>
      </w:tr>
      <w:tr w:rsidR="004B15FA" w:rsidRPr="004B15FA" w14:paraId="655DB272"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B72B19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6A13BB6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uma solução focada exclusivamente na instalação de câmeras, dado que terminais e estações já contam com câmeras instaladas, nem uma solução dependente de acompanhamento humano integral e contínuo: a dependência exclusiva de vigilância humana em tempo real já demonstrou ser insuficiente diante do volume de informação disponível.</w:t>
            </w:r>
          </w:p>
          <w:p w14:paraId="12095E8C"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0C7CEB9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a criação de um novo sistema de denúncia ou de mecanismos paralelos aos sistemas já existentes; a integração deve aproveitar o que já está em uso.</w:t>
            </w:r>
          </w:p>
          <w:p w14:paraId="2F65D0D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7008FC8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um monitoramento sem diretrizes claras sobre como as informações serão utilizadas pela gestão, nem soluções cujo valor se resuma à geração de alertas isolados, sem combinar dado atual, histórico e contexto suficientes para distinguir uma ocorrência pontual de um padrão recorrente.</w:t>
            </w:r>
          </w:p>
          <w:p w14:paraId="23CBB02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58310F7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serão consideradas adequadas soluções que comprometam a privacidade dos usuários, que não prevejam controle de acesso, segurança e rastreabilidade proporcionais ao uso do dado, ou que utilizem algoritmos com vieses discriminatórios na identificação ou classificação de situações e comportamentos, especialmente quando envolverem a identificação de públicos vulneráveis.</w:t>
            </w:r>
          </w:p>
          <w:p w14:paraId="6D2A755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p w14:paraId="10E5284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uma solução avaliada apenas pela precisão técnica de um algoritmo isolado; a validação deve verificar, sobretudo, se a informação produzida é de fato útil para a gestão e apoia decisões </w:t>
            </w:r>
            <w:proofErr w:type="gramStart"/>
            <w:r w:rsidRPr="004B15FA">
              <w:rPr>
                <w:rFonts w:ascii="Calibri" w:eastAsia="Times New Roman" w:hAnsi="Calibri" w:cs="Calibri"/>
                <w:color w:val="000000"/>
                <w:kern w:val="0"/>
                <w:lang w:eastAsia="pt-BR"/>
                <w14:ligatures w14:val="none"/>
              </w:rPr>
              <w:t>melhor</w:t>
            </w:r>
            <w:proofErr w:type="gramEnd"/>
            <w:r w:rsidRPr="004B15FA">
              <w:rPr>
                <w:rFonts w:ascii="Calibri" w:eastAsia="Times New Roman" w:hAnsi="Calibri" w:cs="Calibri"/>
                <w:color w:val="000000"/>
                <w:kern w:val="0"/>
                <w:lang w:eastAsia="pt-BR"/>
                <w14:ligatures w14:val="none"/>
              </w:rPr>
              <w:t xml:space="preserve"> informadas sobre as estações e terminais.</w:t>
            </w:r>
          </w:p>
          <w:p w14:paraId="4248291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w:t>
            </w:r>
          </w:p>
        </w:tc>
      </w:tr>
    </w:tbl>
    <w:p w14:paraId="56939DB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793FCE1B"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78179C8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Desafio 20</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3CDCAF5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Meio Ambiente e Desenvolvimento Sustentável (SEMAD)</w:t>
            </w:r>
          </w:p>
        </w:tc>
      </w:tr>
      <w:tr w:rsidR="004B15FA" w:rsidRPr="004B15FA" w14:paraId="53B02910"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1FD2EDC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79F8AA7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permitir que os órgãos ambientais de Minas Gerais enxerguem, para um mesmo território, como diferentes políticas de meio ambiente e recursos hídricos se relacionam entre si, hoje geridas de forma isolada e em formatos de dados distintos, de modo a identificar escopo, atuação e oportunidades para diferentes instrumentos?</w:t>
            </w:r>
          </w:p>
        </w:tc>
      </w:tr>
      <w:tr w:rsidR="004B15FA" w:rsidRPr="004B15FA" w14:paraId="529D12A3"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28242DA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0EF7DCD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Sistema Estadual de Meio Ambiente e Recursos Hídricos de Minas Gerais (</w:t>
            </w:r>
            <w:proofErr w:type="spellStart"/>
            <w:r w:rsidRPr="004B15FA">
              <w:rPr>
                <w:rFonts w:ascii="Calibri" w:eastAsia="Times New Roman" w:hAnsi="Calibri" w:cs="Calibri"/>
                <w:color w:val="000000"/>
                <w:kern w:val="0"/>
                <w:lang w:eastAsia="pt-BR"/>
                <w14:ligatures w14:val="none"/>
              </w:rPr>
              <w:t>Sisema</w:t>
            </w:r>
            <w:proofErr w:type="spellEnd"/>
            <w:r w:rsidRPr="004B15FA">
              <w:rPr>
                <w:rFonts w:ascii="Calibri" w:eastAsia="Times New Roman" w:hAnsi="Calibri" w:cs="Calibri"/>
                <w:color w:val="000000"/>
                <w:kern w:val="0"/>
                <w:lang w:eastAsia="pt-BR"/>
                <w14:ligatures w14:val="none"/>
              </w:rPr>
              <w:t>) é responsável por planejar, executar e monitorar políticas ambientais. Para que essas ações sejam mais eficazes, é necessário integrar as informações dos diversos instrumentos de gestão em uma estrutura comum de dados, capaz de permitir a visualização das relações entre diferentes políticas públicas, considerando seus objetivos, metas e indicadores. Essa integração deverá possibilitar a identificação de como os instrumentos se relacionam, se complementam e podem contribuir conjuntamente para o alcance dos resultados previstos, facilitando a tomada de decisões governamentais.</w:t>
            </w:r>
          </w:p>
          <w:p w14:paraId="55DF41E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Atualmente, as informações utilizadas para o planejamento e o monitoramento das políticas estão distribuídas entre diferentes sistemas, áreas e instrumentos de gestão. Cada um deles possui estruturas, metodologias, conceitos e formatos próprios. As fontes de informação utilizadas para alimentar esses instrumentos também são heterogêneas e encontram-se disponíveis em diferentes formatos digitais e físicos, como livros, artigos, notas técnicas, relatórios, planilhas, mapas e dados geoespaciais. Essa diversidade dificulta a consolidação das informações e a identificação sistemática das relações existentes entre os instrumentos.</w:t>
            </w:r>
          </w:p>
          <w:p w14:paraId="70EF033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Atualmente, o monitoramento dos planos de ação ocorre de forma individualizada, em cada um dos diferentes sistemas utilizados pelos órgãos e entidades do </w:t>
            </w:r>
            <w:proofErr w:type="spellStart"/>
            <w:r w:rsidRPr="004B15FA">
              <w:rPr>
                <w:rFonts w:ascii="Calibri" w:eastAsia="Times New Roman" w:hAnsi="Calibri" w:cs="Calibri"/>
                <w:color w:val="000000"/>
                <w:kern w:val="0"/>
                <w:lang w:eastAsia="pt-BR"/>
                <w14:ligatures w14:val="none"/>
              </w:rPr>
              <w:t>Sisema</w:t>
            </w:r>
            <w:proofErr w:type="spellEnd"/>
            <w:r w:rsidRPr="004B15FA">
              <w:rPr>
                <w:rFonts w:ascii="Calibri" w:eastAsia="Times New Roman" w:hAnsi="Calibri" w:cs="Calibri"/>
                <w:color w:val="000000"/>
                <w:kern w:val="0"/>
                <w:lang w:eastAsia="pt-BR"/>
                <w14:ligatures w14:val="none"/>
              </w:rPr>
              <w:t>. O armazenamento e a disponibilização de dados georreferenciados são realizados pela IDE-</w:t>
            </w:r>
            <w:proofErr w:type="spellStart"/>
            <w:r w:rsidRPr="004B15FA">
              <w:rPr>
                <w:rFonts w:ascii="Calibri" w:eastAsia="Times New Roman" w:hAnsi="Calibri" w:cs="Calibri"/>
                <w:color w:val="000000"/>
                <w:kern w:val="0"/>
                <w:lang w:eastAsia="pt-BR"/>
                <w14:ligatures w14:val="none"/>
              </w:rPr>
              <w:t>Sisema</w:t>
            </w:r>
            <w:proofErr w:type="spellEnd"/>
            <w:r w:rsidRPr="004B15FA">
              <w:rPr>
                <w:rFonts w:ascii="Calibri" w:eastAsia="Times New Roman" w:hAnsi="Calibri" w:cs="Calibri"/>
                <w:color w:val="000000"/>
                <w:kern w:val="0"/>
                <w:lang w:eastAsia="pt-BR"/>
                <w14:ligatures w14:val="none"/>
              </w:rPr>
              <w:t>, que possibilita o acesso e a visualização dessas informações. Entretanto, a infraestrutura de dados espaciais não possui a função de gestão que permita relacionar os diferentes instrumentos e apoiar análises estratégicas integradas para a tomada de decisão.</w:t>
            </w:r>
          </w:p>
          <w:p w14:paraId="1C5A605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Nesse contexto, foram selecionados, inicialmente, quatro instrumentos estratégicos geridos pelos órgãos componentes do </w:t>
            </w:r>
            <w:proofErr w:type="spellStart"/>
            <w:r w:rsidRPr="004B15FA">
              <w:rPr>
                <w:rFonts w:ascii="Calibri" w:eastAsia="Times New Roman" w:hAnsi="Calibri" w:cs="Calibri"/>
                <w:color w:val="000000"/>
                <w:kern w:val="0"/>
                <w:lang w:eastAsia="pt-BR"/>
                <w14:ligatures w14:val="none"/>
              </w:rPr>
              <w:t>Sisema</w:t>
            </w:r>
            <w:proofErr w:type="spellEnd"/>
            <w:r w:rsidRPr="004B15FA">
              <w:rPr>
                <w:rFonts w:ascii="Calibri" w:eastAsia="Times New Roman" w:hAnsi="Calibri" w:cs="Calibri"/>
                <w:color w:val="000000"/>
                <w:kern w:val="0"/>
                <w:lang w:eastAsia="pt-BR"/>
                <w14:ligatures w14:val="none"/>
              </w:rPr>
              <w:t>: o Plano Estadual de Ação Climática (PLAC-MG), o Plano Mineiro de Segurança Hídrica (PMSH), o Plano Estadual de Biodiversidade e o Plano Estadual de Saneamento Básico de Minas Gerais (PESB-MG).</w:t>
            </w:r>
          </w:p>
          <w:p w14:paraId="522DE47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A problemática da </w:t>
            </w:r>
            <w:proofErr w:type="spellStart"/>
            <w:r w:rsidRPr="004B15FA">
              <w:rPr>
                <w:rFonts w:ascii="Calibri" w:eastAsia="Times New Roman" w:hAnsi="Calibri" w:cs="Calibri"/>
                <w:color w:val="000000"/>
                <w:kern w:val="0"/>
                <w:lang w:eastAsia="pt-BR"/>
                <w14:ligatures w14:val="none"/>
              </w:rPr>
              <w:t>macrointegração</w:t>
            </w:r>
            <w:proofErr w:type="spellEnd"/>
            <w:r w:rsidRPr="004B15FA">
              <w:rPr>
                <w:rFonts w:ascii="Calibri" w:eastAsia="Times New Roman" w:hAnsi="Calibri" w:cs="Calibri"/>
                <w:color w:val="000000"/>
                <w:kern w:val="0"/>
                <w:lang w:eastAsia="pt-BR"/>
                <w14:ligatures w14:val="none"/>
              </w:rPr>
              <w:t xml:space="preserve"> proposta parte, portanto, da necessidade de estabelecer uma correlação qualitativa entre os dados e informações produzidos por cada um desses planos. Mais do que reunir os conteúdos existentes em um </w:t>
            </w:r>
            <w:r w:rsidRPr="004B15FA">
              <w:rPr>
                <w:rFonts w:ascii="Calibri" w:eastAsia="Times New Roman" w:hAnsi="Calibri" w:cs="Calibri"/>
                <w:color w:val="000000"/>
                <w:kern w:val="0"/>
                <w:lang w:eastAsia="pt-BR"/>
                <w14:ligatures w14:val="none"/>
              </w:rPr>
              <w:lastRenderedPageBreak/>
              <w:t>único ambiente, busca-se estruturar uma forma de relacioná-los considerando três dimensões fundamentais: espacial, temporal e conceitual.</w:t>
            </w:r>
          </w:p>
          <w:p w14:paraId="45A23EF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dimensão espacial deverá permitir compreender como diferentes instrumentos, ações e metas incidem sobre um mesmo território, identificando possíveis sobreposições, complementaridades e oportunidades de atuação. A dimensão temporal deverá possibilitar a análise dos períodos de vigência, cronogramas, metas, etapas e ciclos de implementação, permitindo identificar convergências e relações ao longo do tempo. Já a dimensão conceitual deverá permitir relacionar objetivos, diretrizes, ações, indicadores e metas dos diferentes instrumentos, mesmo quando estes utilizam conceitos, nomenclaturas e estruturas distintas.</w:t>
            </w:r>
          </w:p>
          <w:p w14:paraId="7C5630C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Nesse sentido, um dos desafios centrais é a unificação ou harmonização da linguagem utilizada pelos diferentes planos. Cada instrumento se vale de conceitos próprios, definidos de acordo com sua finalidade e metodologia, o que pode dificultar a identificação de relações entre informações que, embora apresentadas de formas diferentes, possuem correspondência ou complementaridade. Será necessário, portanto, estabelecer uma camada de integração capaz de reconhecer essas relações sem desconsiderar as especificidades de cada instrumento.</w:t>
            </w:r>
          </w:p>
          <w:p w14:paraId="1199C16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desafio envolve, assim, a consolidação de uma arquitetura de dados e de uma forma de integração, gestão e publicização dos indicadores e metas contidos nos quatro planos selecionados. Essa estrutura deverá ser dinâmica e didática, permitindo que os gestores públicos tenham uma visão integrada dos instrumentos e, ao mesmo tempo, possibilitando que a sociedade compreenda de forma mais clara como diferentes políticas ambientais e de recursos hídricos se articulam sobre os territórios.</w:t>
            </w:r>
          </w:p>
        </w:tc>
      </w:tr>
      <w:tr w:rsidR="004B15FA" w:rsidRPr="004B15FA" w14:paraId="6ADC28AD"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6EE0D3F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4230F2B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Não queremos uma solução restrita à integração quantitativa ou à simples visualização dos instrumentos em dashboards, sem estabelecer relações qualitativas entre objetivos, metas e indicadores. Já testamos a integração por meio de planilhas, textos, gráficos e dashboards, incluindo a organização por órgão, eixo temático, tipo de instrumento e ODS. Não queremos uma solução que considere apenas uma das dimensões de integração, deixando de relacionar simultaneamente os aspectos espacial, temporal e conceitual. Já testamos soluções baseadas em Inteligência Artificial para criação de categorias temáticas, palavras-chave, conteúdos semânticos e identificação de similaridades entre instrumentos. Não queremos limitar o uso de Inteligência Artificial ou LLM; queremos ampliar sua aplicação, considerando os aprendizados obtidos nas experiências anteriores e sua utilização em uma integração mais abrangente dos instrumentos do </w:t>
            </w:r>
            <w:proofErr w:type="spellStart"/>
            <w:r w:rsidRPr="004B15FA">
              <w:rPr>
                <w:rFonts w:ascii="Calibri" w:eastAsia="Times New Roman" w:hAnsi="Calibri" w:cs="Calibri"/>
                <w:color w:val="000000"/>
                <w:kern w:val="0"/>
                <w:lang w:eastAsia="pt-BR"/>
                <w14:ligatures w14:val="none"/>
              </w:rPr>
              <w:t>Sisema</w:t>
            </w:r>
            <w:proofErr w:type="spellEnd"/>
            <w:r w:rsidRPr="004B15FA">
              <w:rPr>
                <w:rFonts w:ascii="Calibri" w:eastAsia="Times New Roman" w:hAnsi="Calibri" w:cs="Calibri"/>
                <w:color w:val="000000"/>
                <w:kern w:val="0"/>
                <w:lang w:eastAsia="pt-BR"/>
                <w14:ligatures w14:val="none"/>
              </w:rPr>
              <w:t xml:space="preserve">. Já testamos um </w:t>
            </w:r>
            <w:proofErr w:type="spellStart"/>
            <w:r w:rsidRPr="004B15FA">
              <w:rPr>
                <w:rFonts w:ascii="Calibri" w:eastAsia="Times New Roman" w:hAnsi="Calibri" w:cs="Calibri"/>
                <w:color w:val="000000"/>
                <w:kern w:val="0"/>
                <w:lang w:eastAsia="pt-BR"/>
                <w14:ligatures w14:val="none"/>
              </w:rPr>
              <w:t>ChatBot</w:t>
            </w:r>
            <w:proofErr w:type="spellEnd"/>
            <w:r w:rsidRPr="004B15FA">
              <w:rPr>
                <w:rFonts w:ascii="Calibri" w:eastAsia="Times New Roman" w:hAnsi="Calibri" w:cs="Calibri"/>
                <w:color w:val="000000"/>
                <w:kern w:val="0"/>
                <w:lang w:eastAsia="pt-BR"/>
                <w14:ligatures w14:val="none"/>
              </w:rPr>
              <w:t xml:space="preserve"> baseado em LLM para agregar informações de dois instrumentos, com resultados positivos, mas insuficientes para atender à complexidade da integração pretendida. Não queremos uma solução limitada a dois instrumentos, a um órgão, a uma classificação temática ou a uma única tecnologia, mas uma abordagem escalável capaz de integrar os diferentes instrumentos e suas relações. Já testamos diferentes abordagens tecnológicas e metodológicas que contribuíram para compreender o problema e seus requisitos, </w:t>
            </w:r>
            <w:r w:rsidRPr="004B15FA">
              <w:rPr>
                <w:rFonts w:ascii="Calibri" w:eastAsia="Times New Roman" w:hAnsi="Calibri" w:cs="Calibri"/>
                <w:color w:val="000000"/>
                <w:kern w:val="0"/>
                <w:lang w:eastAsia="pt-BR"/>
                <w14:ligatures w14:val="none"/>
              </w:rPr>
              <w:lastRenderedPageBreak/>
              <w:t>servindo como base para o desenvolvimento de uma solução mais ampla, dinâmica e integrada.</w:t>
            </w:r>
          </w:p>
        </w:tc>
      </w:tr>
    </w:tbl>
    <w:p w14:paraId="1B1158A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lastRenderedPageBreak/>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34B2F002"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0382D66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21</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4D684885"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Secretaria de Estado de Planejamento e Gestão (SEPLAG)</w:t>
            </w:r>
          </w:p>
        </w:tc>
      </w:tr>
      <w:tr w:rsidR="004B15FA" w:rsidRPr="004B15FA" w14:paraId="73AA8BF9"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4FAE407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6AEBD07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oferecer uma plataforma integrada aos sistemas do Estado que facilite o remanejamento de materiais ociosos e recuperáveis entre órgãos e entidades e com atores externos, reduzindo a ociosidade e a necessidade de novas compras?</w:t>
            </w:r>
          </w:p>
        </w:tc>
      </w:tr>
      <w:tr w:rsidR="004B15FA" w:rsidRPr="004B15FA" w14:paraId="52CF6CA4"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0C8C8C3"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Descritivo:</w:t>
            </w:r>
          </w:p>
          <w:p w14:paraId="61CAE40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Os estoques dos órgãos e entidades do Estado de Minas Gerais reúnem materiais permanentes e de consumo ociosos (em boas condições, porém sem utilização pelo seu detentor). Ao mesmo tempo, esses órgãos e entidades têm demandas por materiais que poderiam ser atendidas por meio de transferência direta (entre órgãos da administração direta) ou doação (quando há fundação ou autarquia da administração indireta envolvida).</w:t>
            </w:r>
          </w:p>
          <w:p w14:paraId="3F9B2F9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Desde 2025, um aplicativo desenvolvido internamente pela Seplag, como mínimo produto viável, conecta ofertantes e demandantes. Busca-se evoluí-lo para uma plataforma integrada aos sistemas corporativos do Estado utilizados para gestão dos bens e realização de compras públicas.</w:t>
            </w:r>
          </w:p>
          <w:p w14:paraId="3F7CC902"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resolução do desafio contribui para a circularidade de materiais, a economia de recursos e o atendimento de demandas mediante a obtenção não onerosa de materiais e a eficiência no emprego de recursos patrimoniais, além de fortalecer a cultura de reaproveitamento e as práticas sustentáveis no Estado.</w:t>
            </w:r>
          </w:p>
          <w:p w14:paraId="31382AD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O desafio é relevante porque a ociosidade de materiais gera custos de armazenamento, obsolescência e deterioração, além de levar a compras que poderiam ser evitadas. A Bolsa de Materiais atua por meio de seu depósito em Belo Horizonte ou da intermediação entre gestores, mas tem alcance limitado diante da capilaridade do Estado, presente nos 853 municípios mineiros. Fora desse alcance, o remanejamento entre órgãos e entidades depende de iniciativas pouco estruturadas, como anúncios em grupos de WhatsApp, ofícios via </w:t>
            </w:r>
            <w:proofErr w:type="gramStart"/>
            <w:r w:rsidRPr="004B15FA">
              <w:rPr>
                <w:rFonts w:ascii="Calibri" w:eastAsia="Times New Roman" w:hAnsi="Calibri" w:cs="Calibri"/>
                <w:color w:val="000000"/>
                <w:kern w:val="0"/>
                <w:lang w:eastAsia="pt-BR"/>
                <w14:ligatures w14:val="none"/>
              </w:rPr>
              <w:t>SEI!MG</w:t>
            </w:r>
            <w:proofErr w:type="gramEnd"/>
            <w:r w:rsidRPr="004B15FA">
              <w:rPr>
                <w:rFonts w:ascii="Calibri" w:eastAsia="Times New Roman" w:hAnsi="Calibri" w:cs="Calibri"/>
                <w:color w:val="000000"/>
                <w:kern w:val="0"/>
                <w:lang w:eastAsia="pt-BR"/>
                <w14:ligatures w14:val="none"/>
              </w:rPr>
              <w:t xml:space="preserve"> e networking individual dos gestores. Para enfrentar esse cenário, a Seplag desenvolveu internamente, com equipe própria e ferramentas Microsoft já disponíveis, um aplicativo que opera desde outubro de 2025 e já reúne 51 órgãos e entidades e 261 usuários em 34 municípios. Ainda assim, o WhatsApp segue muito utilizado pelos gestores, o que mostra que a solução precisa aliar uma experiência de uso simples e ágil a um acesso amplo e institucional, que alcance todos os gestores e não dependa de contatos individuais. O desafio agora é potencializar a ferramenta, integrando-a aos sistemas corporativos e ampliando seu alcance, para facilitar o encontro entre ofertantes e demandantes, apoiar o trabalho dos gestores e ampliar o volume de transferências e doações.</w:t>
            </w:r>
          </w:p>
        </w:tc>
      </w:tr>
      <w:tr w:rsidR="004B15FA" w:rsidRPr="004B15FA" w14:paraId="47EFE8EB"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7A87ABD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O que não queremos ou já testamos:</w:t>
            </w:r>
          </w:p>
          <w:p w14:paraId="41D73B6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Já testamos: o modelo centralizado da Bolsa de Materiais, com guarda física no depósito em Belo Horizonte, limitado por espaço, recursos humanos e distância em relação aos demais municípios; os canais informais, como grupos de WhatsApp, ofícios via SEI!MG e contatos individuais, que não oferecem escala nem registro; e um aplicativo desenvolvido internamente em ferramentas Microsoft, que validou a demanda, mas opera de forma apartada dos sistemas corporativos e exige licenças adicionais para órgãos sem o pacote Microsoft 365.</w:t>
            </w:r>
          </w:p>
          <w:p w14:paraId="790ECD89"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uma solução isolada dos sistemas de gestão patrimonial e de compras, que exija cadastro duplicado de informações; uma ferramenta que dependa de intermediação ou de movimentação física centralizada dos materiais; uma solução que acrescente burocracia ou etapas à rotina dos gestores, em vez de simplificá-la; uma plataforma que exija da equipe de negócios conhecimentos avançados de tecnologia ou programação para sua operação; nem uma solução de acesso restrito, que funcione bem apenas para órgãos com boa infraestrutura ou apenas em computadores de mesa, deixando de fora unidades do interior.</w:t>
            </w:r>
          </w:p>
        </w:tc>
      </w:tr>
    </w:tbl>
    <w:p w14:paraId="59C76BC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tbl>
      <w:tblPr>
        <w:tblW w:w="5000" w:type="pct"/>
        <w:tblCellMar>
          <w:left w:w="0" w:type="dxa"/>
          <w:right w:w="0" w:type="dxa"/>
        </w:tblCellMar>
        <w:tblLook w:val="04A0" w:firstRow="1" w:lastRow="0" w:firstColumn="1" w:lastColumn="0" w:noHBand="0" w:noVBand="1"/>
      </w:tblPr>
      <w:tblGrid>
        <w:gridCol w:w="1330"/>
        <w:gridCol w:w="7166"/>
      </w:tblGrid>
      <w:tr w:rsidR="004B15FA" w:rsidRPr="004B15FA" w14:paraId="1633DBF2" w14:textId="77777777" w:rsidTr="004B15FA">
        <w:trPr>
          <w:trHeight w:val="285"/>
        </w:trPr>
        <w:tc>
          <w:tcPr>
            <w:tcW w:w="783" w:type="pct"/>
            <w:tcBorders>
              <w:top w:val="nil"/>
              <w:left w:val="nil"/>
              <w:bottom w:val="nil"/>
              <w:right w:val="nil"/>
            </w:tcBorders>
            <w:tcMar>
              <w:top w:w="0" w:type="dxa"/>
              <w:left w:w="105" w:type="dxa"/>
              <w:bottom w:w="0" w:type="dxa"/>
              <w:right w:w="105" w:type="dxa"/>
            </w:tcMar>
            <w:hideMark/>
          </w:tcPr>
          <w:p w14:paraId="527F1E3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Desafio 22</w:t>
            </w:r>
          </w:p>
        </w:tc>
        <w:tc>
          <w:tcPr>
            <w:tcW w:w="4217" w:type="pct"/>
            <w:tcBorders>
              <w:top w:val="single" w:sz="6" w:space="0" w:color="auto"/>
              <w:left w:val="nil"/>
              <w:bottom w:val="single" w:sz="6" w:space="0" w:color="auto"/>
              <w:right w:val="single" w:sz="6" w:space="0" w:color="auto"/>
            </w:tcBorders>
            <w:tcMar>
              <w:top w:w="0" w:type="dxa"/>
              <w:left w:w="105" w:type="dxa"/>
              <w:bottom w:w="0" w:type="dxa"/>
              <w:right w:w="105" w:type="dxa"/>
            </w:tcMar>
            <w:hideMark/>
          </w:tcPr>
          <w:p w14:paraId="71B70B27"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proofErr w:type="spellStart"/>
            <w:r w:rsidRPr="004B15FA">
              <w:rPr>
                <w:rFonts w:ascii="Calibri" w:eastAsia="Times New Roman" w:hAnsi="Calibri" w:cs="Calibri"/>
                <w:color w:val="000000"/>
                <w:kern w:val="0"/>
                <w:lang w:eastAsia="pt-BR"/>
                <w14:ligatures w14:val="none"/>
              </w:rPr>
              <w:t>Secretaria-Geral</w:t>
            </w:r>
            <w:proofErr w:type="spellEnd"/>
            <w:r w:rsidRPr="004B15FA">
              <w:rPr>
                <w:rFonts w:ascii="Calibri" w:eastAsia="Times New Roman" w:hAnsi="Calibri" w:cs="Calibri"/>
                <w:color w:val="000000"/>
                <w:kern w:val="0"/>
                <w:lang w:eastAsia="pt-BR"/>
                <w14:ligatures w14:val="none"/>
              </w:rPr>
              <w:t xml:space="preserve"> do Estado de Minas Gerais (SECGERAL)</w:t>
            </w:r>
          </w:p>
        </w:tc>
      </w:tr>
      <w:tr w:rsidR="004B15FA" w:rsidRPr="004B15FA" w14:paraId="05EEC4D4"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E89814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Pergunta desafio:</w:t>
            </w:r>
          </w:p>
          <w:p w14:paraId="5C3204CB"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Como a Secretaria Geral pode identificar, mapear e priorizar, de forma rápida e confiável, quais projetos dos órgãos de Minas Gerais são compatíveis com as oportunidades de financiamento nacionais e internacionais disponíveis, evitando que prazos e recursos sejam perdidos por falta de tempo para análise?</w:t>
            </w:r>
          </w:p>
        </w:tc>
      </w:tr>
      <w:tr w:rsidR="004B15FA" w:rsidRPr="004B15FA" w14:paraId="74E35D81" w14:textId="77777777" w:rsidTr="004B15FA">
        <w:trPr>
          <w:trHeight w:val="5700"/>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3401ADC4"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lastRenderedPageBreak/>
              <w:t>Descritivo:</w:t>
            </w:r>
          </w:p>
          <w:p w14:paraId="3F740D3F"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 xml:space="preserve">A Secretaria Geral gerencia um Banco de Projetos com centenas de propostas de órgãos estaduais, enquanto acompanha um universo amplo e disperso de oportunidades de financiamento em diferentes plataformas, como o </w:t>
            </w:r>
            <w:proofErr w:type="spellStart"/>
            <w:r w:rsidRPr="004B15FA">
              <w:rPr>
                <w:rFonts w:ascii="Calibri" w:eastAsia="Times New Roman" w:hAnsi="Calibri" w:cs="Calibri"/>
                <w:color w:val="000000"/>
                <w:kern w:val="0"/>
                <w:lang w:eastAsia="pt-BR"/>
                <w14:ligatures w14:val="none"/>
              </w:rPr>
              <w:t>TransfereGov</w:t>
            </w:r>
            <w:proofErr w:type="spellEnd"/>
            <w:r w:rsidRPr="004B15FA">
              <w:rPr>
                <w:rFonts w:ascii="Calibri" w:eastAsia="Times New Roman" w:hAnsi="Calibri" w:cs="Calibri"/>
                <w:color w:val="000000"/>
                <w:kern w:val="0"/>
                <w:lang w:eastAsia="pt-BR"/>
                <w14:ligatures w14:val="none"/>
              </w:rPr>
              <w:t>, Diários Oficiais e agências de fomento. Hoje, identificar quais projetos são compatíveis com cada edital é um processo manual, demorado e pouco ágil, o que gera gargalos significativos. Devido aos prazos curtos de submissão, muitas oportunidades são perdidas por não ser possível identificar e indicar projetos elegíveis a tempo. Há também ineficiência operacional, com duplicidade de esforços e alto custo de tempo da equipe para realizar uma análise complexa, que envolve grande volume de dados. Por fim, a dificuldade em analisar o portfólio completo de projetos frente às oportunidades disponíveis compromete a visão estratégica, impedindo uma priorização eficaz que alinhe a captação de recursos às metas prioritárias do governo.</w:t>
            </w:r>
          </w:p>
          <w:p w14:paraId="622D09F1"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A solução deverá incorporar diferentes sistemas e protocolos a fim de otimizar fluxos e proporcionar uma visão estratégica unificada e padronizada sobre a captação de recursos no estado. Uma solução eficaz permitiria identificar rapidamente quais projetos têm real chance de aprovação em cada oportunidade, reduzindo o risco de perda de prazos e o esforço manual da equipe. Isso daria ao governo uma visão mais clara do portfólio de projetos frente às oportunidades disponíveis, tornando a captação de recursos mais estratégica e ampliando a capacidade do Estado de financiar e entregar políticas públicas prioritárias à população.</w:t>
            </w:r>
          </w:p>
        </w:tc>
      </w:tr>
      <w:tr w:rsidR="004B15FA" w:rsidRPr="004B15FA" w14:paraId="4DFA032D" w14:textId="77777777" w:rsidTr="004B15FA">
        <w:trPr>
          <w:trHeight w:val="285"/>
        </w:trPr>
        <w:tc>
          <w:tcPr>
            <w:tcW w:w="5000" w:type="pct"/>
            <w:gridSpan w:val="2"/>
            <w:tcBorders>
              <w:top w:val="nil"/>
              <w:left w:val="single" w:sz="6" w:space="0" w:color="auto"/>
              <w:bottom w:val="single" w:sz="6" w:space="0" w:color="auto"/>
              <w:right w:val="single" w:sz="6" w:space="0" w:color="auto"/>
            </w:tcBorders>
            <w:tcMar>
              <w:top w:w="0" w:type="dxa"/>
              <w:left w:w="105" w:type="dxa"/>
              <w:bottom w:w="0" w:type="dxa"/>
              <w:right w:w="105" w:type="dxa"/>
            </w:tcMar>
            <w:hideMark/>
          </w:tcPr>
          <w:p w14:paraId="518720D6"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O que não queremos ou já testamos:</w:t>
            </w:r>
          </w:p>
          <w:p w14:paraId="48039F1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lang w:eastAsia="pt-BR"/>
                <w14:ligatures w14:val="none"/>
              </w:rPr>
            </w:pPr>
            <w:r w:rsidRPr="004B15FA">
              <w:rPr>
                <w:rFonts w:ascii="Calibri" w:eastAsia="Times New Roman" w:hAnsi="Calibri" w:cs="Calibri"/>
                <w:color w:val="000000"/>
                <w:kern w:val="0"/>
                <w:lang w:eastAsia="pt-BR"/>
                <w14:ligatures w14:val="none"/>
              </w:rPr>
              <w:t>Não queremos apenas uma listagem ou banco de dados sobre editais ou projetos, e sim uma ferramenta inteligente, com módulo de gestão e análise, capaz de identificar compatibilidade entre diferentes formas de captação de recursos financeiros, reembolsáveis e não reembolsáveis, incluindo oportunidades de cooperação e formação de parcerias. Não queremos uma solução que demande trabalho manual de preenchimento; buscamos uma solução automatizada. É interessante que a solução ofereça interfaces adequadas às diferentes frentes de atuação da Secretaria, como coordenação, orientação técnica e apoio à tomada de decisão. Não queremos soluções que não respeitem a Lei Geral de Proteção de Dados (Lei nº 13.709/2018). Não queremos ferramentas estáticas ou já disponíveis no mercado, que não sejam capazes de atender à especificidade do problema descrito. A solução deverá contar com opção de tradução para o português do Brasil nos casos de editais internacionais publicados em outros idiomas.</w:t>
            </w:r>
          </w:p>
        </w:tc>
      </w:tr>
    </w:tbl>
    <w:p w14:paraId="0B58B170"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p w14:paraId="649BD23A"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p w14:paraId="48DCF248" w14:textId="77777777" w:rsidR="004B15FA" w:rsidRPr="004B15FA" w:rsidRDefault="004B15FA" w:rsidP="004B15FA">
      <w:pPr>
        <w:spacing w:before="120" w:after="120" w:line="240" w:lineRule="auto"/>
        <w:ind w:left="120" w:right="120"/>
        <w:jc w:val="both"/>
        <w:rPr>
          <w:rFonts w:ascii="Calibri" w:eastAsia="Times New Roman" w:hAnsi="Calibri" w:cs="Calibri"/>
          <w:color w:val="000000"/>
          <w:kern w:val="0"/>
          <w:sz w:val="27"/>
          <w:szCs w:val="27"/>
          <w:lang w:eastAsia="pt-BR"/>
          <w14:ligatures w14:val="none"/>
        </w:rPr>
      </w:pPr>
      <w:r w:rsidRPr="004B15FA">
        <w:rPr>
          <w:rFonts w:ascii="Calibri" w:eastAsia="Times New Roman" w:hAnsi="Calibri" w:cs="Calibri"/>
          <w:color w:val="000000"/>
          <w:kern w:val="0"/>
          <w:sz w:val="27"/>
          <w:szCs w:val="27"/>
          <w:lang w:eastAsia="pt-BR"/>
          <w14:ligatures w14:val="none"/>
        </w:rPr>
        <w:t> </w:t>
      </w:r>
    </w:p>
    <w:p w14:paraId="740B37E0" w14:textId="77777777" w:rsidR="004B15FA" w:rsidRDefault="004B15FA"/>
    <w:sectPr w:rsidR="004B15F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76872" w14:textId="77777777" w:rsidR="00EE0A50" w:rsidRDefault="00EE0A50" w:rsidP="004B15FA">
      <w:pPr>
        <w:spacing w:after="0" w:line="240" w:lineRule="auto"/>
      </w:pPr>
      <w:r>
        <w:separator/>
      </w:r>
    </w:p>
  </w:endnote>
  <w:endnote w:type="continuationSeparator" w:id="0">
    <w:p w14:paraId="218034C3" w14:textId="77777777" w:rsidR="00EE0A50" w:rsidRDefault="00EE0A50" w:rsidP="004B1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090D" w14:textId="77777777" w:rsidR="00EE0A50" w:rsidRDefault="00EE0A50" w:rsidP="004B15FA">
      <w:pPr>
        <w:spacing w:after="0" w:line="240" w:lineRule="auto"/>
      </w:pPr>
      <w:r>
        <w:separator/>
      </w:r>
    </w:p>
  </w:footnote>
  <w:footnote w:type="continuationSeparator" w:id="0">
    <w:p w14:paraId="646F442F" w14:textId="77777777" w:rsidR="00EE0A50" w:rsidRDefault="00EE0A50" w:rsidP="004B15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5FA"/>
    <w:rsid w:val="001D58D3"/>
    <w:rsid w:val="004B15FA"/>
    <w:rsid w:val="00EE0A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4088"/>
  <w15:chartTrackingRefBased/>
  <w15:docId w15:val="{C715DE05-1324-4F6A-9CF2-0D913C5DF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B1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B1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B15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B15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B15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B15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B15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B15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B15F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B15F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B15F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B15F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B15F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B15F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B15F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B15F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B15F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B15FA"/>
    <w:rPr>
      <w:rFonts w:eastAsiaTheme="majorEastAsia" w:cstheme="majorBidi"/>
      <w:color w:val="272727" w:themeColor="text1" w:themeTint="D8"/>
    </w:rPr>
  </w:style>
  <w:style w:type="paragraph" w:styleId="Ttulo">
    <w:name w:val="Title"/>
    <w:basedOn w:val="Normal"/>
    <w:next w:val="Normal"/>
    <w:link w:val="TtuloChar"/>
    <w:uiPriority w:val="10"/>
    <w:qFormat/>
    <w:rsid w:val="004B1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B15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B15F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B15F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B15FA"/>
    <w:pPr>
      <w:spacing w:before="160"/>
      <w:jc w:val="center"/>
    </w:pPr>
    <w:rPr>
      <w:i/>
      <w:iCs/>
      <w:color w:val="404040" w:themeColor="text1" w:themeTint="BF"/>
    </w:rPr>
  </w:style>
  <w:style w:type="character" w:customStyle="1" w:styleId="CitaoChar">
    <w:name w:val="Citação Char"/>
    <w:basedOn w:val="Fontepargpadro"/>
    <w:link w:val="Citao"/>
    <w:uiPriority w:val="29"/>
    <w:rsid w:val="004B15FA"/>
    <w:rPr>
      <w:i/>
      <w:iCs/>
      <w:color w:val="404040" w:themeColor="text1" w:themeTint="BF"/>
    </w:rPr>
  </w:style>
  <w:style w:type="paragraph" w:styleId="PargrafodaLista">
    <w:name w:val="List Paragraph"/>
    <w:basedOn w:val="Normal"/>
    <w:uiPriority w:val="34"/>
    <w:qFormat/>
    <w:rsid w:val="004B15FA"/>
    <w:pPr>
      <w:ind w:left="720"/>
      <w:contextualSpacing/>
    </w:pPr>
  </w:style>
  <w:style w:type="character" w:styleId="nfaseIntensa">
    <w:name w:val="Intense Emphasis"/>
    <w:basedOn w:val="Fontepargpadro"/>
    <w:uiPriority w:val="21"/>
    <w:qFormat/>
    <w:rsid w:val="004B15FA"/>
    <w:rPr>
      <w:i/>
      <w:iCs/>
      <w:color w:val="0F4761" w:themeColor="accent1" w:themeShade="BF"/>
    </w:rPr>
  </w:style>
  <w:style w:type="paragraph" w:styleId="CitaoIntensa">
    <w:name w:val="Intense Quote"/>
    <w:basedOn w:val="Normal"/>
    <w:next w:val="Normal"/>
    <w:link w:val="CitaoIntensaChar"/>
    <w:uiPriority w:val="30"/>
    <w:qFormat/>
    <w:rsid w:val="004B1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B15FA"/>
    <w:rPr>
      <w:i/>
      <w:iCs/>
      <w:color w:val="0F4761" w:themeColor="accent1" w:themeShade="BF"/>
    </w:rPr>
  </w:style>
  <w:style w:type="character" w:styleId="RefernciaIntensa">
    <w:name w:val="Intense Reference"/>
    <w:basedOn w:val="Fontepargpadro"/>
    <w:uiPriority w:val="32"/>
    <w:qFormat/>
    <w:rsid w:val="004B15FA"/>
    <w:rPr>
      <w:b/>
      <w:bCs/>
      <w:smallCaps/>
      <w:color w:val="0F4761" w:themeColor="accent1" w:themeShade="BF"/>
      <w:spacing w:val="5"/>
    </w:rPr>
  </w:style>
  <w:style w:type="paragraph" w:styleId="Cabealho">
    <w:name w:val="header"/>
    <w:basedOn w:val="Normal"/>
    <w:link w:val="CabealhoChar"/>
    <w:uiPriority w:val="99"/>
    <w:unhideWhenUsed/>
    <w:rsid w:val="004B15F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B15FA"/>
  </w:style>
  <w:style w:type="paragraph" w:styleId="Rodap">
    <w:name w:val="footer"/>
    <w:basedOn w:val="Normal"/>
    <w:link w:val="RodapChar"/>
    <w:uiPriority w:val="99"/>
    <w:unhideWhenUsed/>
    <w:rsid w:val="004B15FA"/>
    <w:pPr>
      <w:tabs>
        <w:tab w:val="center" w:pos="4252"/>
        <w:tab w:val="right" w:pos="8504"/>
      </w:tabs>
      <w:spacing w:after="0" w:line="240" w:lineRule="auto"/>
    </w:pPr>
  </w:style>
  <w:style w:type="character" w:customStyle="1" w:styleId="RodapChar">
    <w:name w:val="Rodapé Char"/>
    <w:basedOn w:val="Fontepargpadro"/>
    <w:link w:val="Rodap"/>
    <w:uiPriority w:val="99"/>
    <w:rsid w:val="004B1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13819</Words>
  <Characters>74626</Characters>
  <Application>Microsoft Office Word</Application>
  <DocSecurity>0</DocSecurity>
  <Lines>621</Lines>
  <Paragraphs>176</Paragraphs>
  <ScaleCrop>false</ScaleCrop>
  <Company/>
  <LinksUpToDate>false</LinksUpToDate>
  <CharactersWithSpaces>88269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Maira dos Santos</dc:creator>
  <cp:keywords/>
  <dc:description/>
  <cp:lastModifiedBy>Raquel Maira dos Santos</cp:lastModifiedBy>
  <cp:revision>1</cp:revision>
  <dcterms:created xsi:type="dcterms:W3CDTF">2026-10-08T17:29:00Z</dcterms:created>
  <dcterms:modified xsi:type="dcterms:W3CDTF">2026-10-08T17:35:00Z</dcterms:modified>
</cp:coreProperties>
</file>