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480" w:after="480" w:line="288" w:lineRule="auto"/>
        <w:ind w:left="0"/>
        <w:jc w:val="left"/>
        <w:keepNext w:val="1"/>
      </w:pPr>
      <w:r>
        <w:rPr>
          <w:rFonts w:eastAsia="等线" w:ascii="Arial" w:cs="Arial" w:hAnsi="Arial"/>
          <w:b w:val="true"/>
          <w:sz w:val="52"/>
          <w:color w:val="000000"/>
        </w:rPr>
        <w:t xml:space="preserve">D2 问题清单</w:t>
      </w:r>
    </w:p>
    <w:p>
      <w:pPr>
        <w:pStyle w:val="Heading1"/>
        <w:spacing w:before="320" w:after="120" w:line="288" w:lineRule="auto"/>
        <w:ind w:left="0"/>
        <w:jc w:val="left"/>
        <w:outlineLvl w:val="1"/>
        <w:keepNext w:val="1"/>
      </w:pPr>
      <w:r>
        <w:rPr>
          <w:rFonts w:eastAsia="等线" w:ascii="Arial" w:cs="Arial" w:hAnsi="Arial"/>
          <w:b w:val="true"/>
          <w:sz w:val="32"/>
          <w:color w:val="000000"/>
        </w:rPr>
        <w:t xml:space="preserve">高峰前短保商品供需错配预警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第8组  傅浩诚 李启顺    2026年10月23日  D2 v1.1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本清单服务于一店一品、一个高峰、一次新增供给调整。按学习台要求分为“已有数据”“待补充数据”“无法获取的数据”，其中无法获取项逐条列公开或模拟替代。主序列为Fresh门店0、商品38，90日、2160小时格。</w:t>
      </w:r>
    </w:p>
    <w:p>
      <w:pPr>
        <w:pStyle w:val="Heading1"/>
        <w:spacing w:before="320" w:after="120" w:line="288" w:lineRule="auto"/>
        <w:ind w:left="0"/>
        <w:jc w:val="left"/>
        <w:outlineLvl w:val="1"/>
        <w:keepNext w:val="1"/>
      </w:pPr>
      <w:r>
        <w:rPr>
          <w:rFonts w:eastAsia="等线" w:ascii="Arial" w:cs="Arial" w:hAnsi="Arial"/>
          <w:b w:val="true"/>
          <w:sz w:val="32"/>
          <w:color w:val="000000"/>
        </w:rPr>
        <w:t xml:space="preserve">一 已有数据</w:t>
      </w:r>
    </w:p>
    <w:tbl>
      <w:tblPr>
        <w:tblW w:w="8280" w:type="dxa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240"/>
        <w:gridCol w:w="3600"/>
      </w:tblGrid>
      <w:tr>
        <w:trPr>
          <w:cantSplit/>
          <w:tblHeader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编号与资料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已取得范围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用途与限制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A01 Fresh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门店0商品38/834/411各90日；共270商品日、6480小时格，2024-03-28—2024-06-25。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主序列固定商品38，90日、2160小时格。真实、匿名、缩放；可看小时销售与缺货标记，销量不等于潜在需求。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A02 Green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9匿名门店；5142条训练日记录和1575条留后记录，官方truth按row_id对应。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烘焙业务补充来源；日数据不能还原高峰，truth只用于留后评价。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A03 可追溯证据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两源快照、许可、字段字典、哈希记录、7张派生CSV和6个真实记录示例。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对应G1；CC BY 4.0与MIT许可保留。两来源独立，不连接匿名门店编号。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A04 D2模拟例证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5情景：缺货、正常、过量、时序改变、到期时间缺失。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对应G2—G4。4例算术已复核，1例定义阻断预期；没有系统执行记录。</w:t>
            </w:r>
          </w:p>
        </w:tc>
      </w:tr>
    </w:tbl>
    <w:p>
      <w:pPr>
        <w:pStyle w:val="Heading2"/>
        <w:spacing w:before="300" w:after="120" w:line="288" w:lineRule="auto"/>
        <w:ind w:left="0"/>
        <w:jc w:val="left"/>
        <w:outlineLvl w:val="2"/>
        <w:keepNext w:val="1"/>
      </w:pPr>
      <w:r>
        <w:rPr>
          <w:rFonts w:eastAsia="等线" w:ascii="Arial" w:cs="Arial" w:hAnsi="Arial"/>
          <w:b w:val="true"/>
          <w:sz w:val="30"/>
          <w:color w:val="000000"/>
        </w:rPr>
        <w:t xml:space="preserve">已知质量问题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Green的ordered、unsold各缺1916行；3226条三字段齐备记录也不满足订货＝销量＋余货，不能默认共同尺度。unsold不能直接改称报废。Fresh缺货标记不是库存数量，也不表示该小时每分钟都无货。</w:t>
      </w:r>
    </w:p>
    <w:p>
      <w:pPr>
        <w:pStyle w:val="Heading1"/>
        <w:spacing w:before="320" w:after="120" w:line="288" w:lineRule="auto"/>
        <w:ind w:left="0"/>
        <w:jc w:val="left"/>
        <w:outlineLvl w:val="1"/>
        <w:keepNext w:val="1"/>
        <w:pageBreakBefore/>
      </w:pPr>
      <w:r>
        <w:rPr>
          <w:rFonts w:eastAsia="等线" w:ascii="Arial" w:cs="Arial" w:hAnsi="Arial"/>
          <w:b w:val="true"/>
          <w:sz w:val="32"/>
          <w:color w:val="000000"/>
        </w:rPr>
        <w:t xml:space="preserve">二 待补充数据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本类是可以通过现有来源说明或组内审阅补充的资料。当前尚未取得，不记作已完成；不将模型开发或原型测试列成本次补充任务。</w:t>
      </w:r>
    </w:p>
    <w:tbl>
      <w:tblPr>
        <w:tblW w:w="8280" w:type="dxa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3375"/>
        <w:gridCol w:w="3195"/>
      </w:tblGrid>
      <w:tr>
        <w:trPr>
          <w:cantSplit/>
          <w:tblHeader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编号与问题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补充方法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当前处理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B01 数据可用时点说明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整理官方字段说明，注明事件时间与实际可用时间是否可知；来源未提供的到达时间明确写未知。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D2先明确未来销量与truth不得作为事前输入；离线时点假设需另行说明。建议傅浩诚整理。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B02 组内正反例复核意见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请李启顺审阅5个模拟情景和6条真实记录，记录对标签、解释边界与参数的意见。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当前只有已完成的资料与算术复核，尚无其本次独立签认；不写成已验收。</w:t>
            </w:r>
          </w:p>
        </w:tc>
      </w:tr>
    </w:tbl>
    <w:p>
      <w:pPr>
        <w:pStyle w:val="Heading2"/>
        <w:spacing w:before="300" w:after="120" w:line="288" w:lineRule="auto"/>
        <w:ind w:left="0"/>
        <w:jc w:val="left"/>
        <w:outlineLvl w:val="2"/>
        <w:keepNext w:val="1"/>
      </w:pPr>
      <w:r>
        <w:rPr>
          <w:rFonts w:eastAsia="等线" w:ascii="Arial" w:cs="Arial" w:hAnsi="Arial"/>
          <w:b w:val="true"/>
          <w:sz w:val="30"/>
          <w:color w:val="000000"/>
        </w:rPr>
        <w:t xml:space="preserve">规则中仍需确认的事项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真实高峰窗口、缺货与余量容忍值、批次能否取消、可售期限和店长权限仍需目标门店资料支持。未取得前，继续按Goal/Gate的模拟设定说明，不把假设写成真实经营规范。对应缺口见C01、C03、C05。</w:t>
      </w:r>
    </w:p>
    <w:p>
      <w:pPr>
        <w:pStyle w:val="Heading2"/>
        <w:spacing w:before="300" w:after="120" w:line="288" w:lineRule="auto"/>
        <w:ind w:left="0"/>
        <w:jc w:val="left"/>
        <w:outlineLvl w:val="2"/>
        <w:keepNext w:val="1"/>
      </w:pPr>
      <w:r>
        <w:rPr>
          <w:rFonts w:eastAsia="等线" w:ascii="Arial" w:cs="Arial" w:hAnsi="Arial"/>
          <w:b w:val="true"/>
          <w:sz w:val="30"/>
          <w:color w:val="000000"/>
        </w:rPr>
        <w:t xml:space="preserve">D2交接安排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傅浩诚整合三份材料和数据来源；李启顺审阅业务口径、正反例与待核实规则。此处是本次交接建议，实际完成情况以组内记录为准。</w:t>
      </w:r>
    </w:p>
    <w:p>
      <w:pPr>
        <w:pStyle w:val="Heading2"/>
        <w:spacing w:before="300" w:after="120" w:line="288" w:lineRule="auto"/>
        <w:ind w:left="0"/>
        <w:jc w:val="left"/>
        <w:outlineLvl w:val="2"/>
        <w:keepNext w:val="1"/>
      </w:pPr>
      <w:r>
        <w:rPr>
          <w:rFonts w:eastAsia="等线" w:ascii="Arial" w:cs="Arial" w:hAnsi="Arial"/>
          <w:b w:val="true"/>
          <w:sz w:val="30"/>
          <w:color w:val="000000"/>
        </w:rPr>
        <w:t xml:space="preserve">三份材料的统一口径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题目为“高峰前短保商品供需错配预警”；使用者为当班店长；范围为一店一品、一个高峰、一次新增供给调整；主序列为Fresh门店0、商品38，90日、2160小时格；例证为5个模拟情景加6条真实记录。公开数据保留缩放单位，SIM案例使用模拟份数和模拟元。</w:t>
      </w:r>
    </w:p>
    <w:p>
      <w:pPr>
        <w:pStyle w:val="Heading1"/>
        <w:spacing w:before="320" w:after="120" w:line="288" w:lineRule="auto"/>
        <w:ind w:left="0"/>
        <w:jc w:val="left"/>
        <w:outlineLvl w:val="1"/>
        <w:keepNext w:val="1"/>
        <w:pageBreakBefore/>
      </w:pPr>
      <w:r>
        <w:rPr>
          <w:rFonts w:eastAsia="等线" w:ascii="Arial" w:cs="Arial" w:hAnsi="Arial"/>
          <w:b w:val="true"/>
          <w:sz w:val="32"/>
          <w:color w:val="000000"/>
        </w:rPr>
        <w:t xml:space="preserve">三 无法获取的数据及替代方案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“无法获取”指截至本版没有目标门店授权或接口，当前阶段不能以取得这些内部资料为前提。以下替代只支持情景说明，不能还原同一家真实门店。</w:t>
      </w:r>
    </w:p>
    <w:tbl>
      <w:tblPr>
        <w:tblW w:w="8280" w:type="dxa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3375"/>
        <w:gridCol w:w="3195"/>
      </w:tblGrid>
      <w:tr>
        <w:trPr>
          <w:cantSplit/>
          <w:tblHeader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编号与缺口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公开或模拟替代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仍不能证明什么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C01 有效库存与批次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模拟：SIM-01期初10份、13:30到期、无在制；新增每批12份、每45分钟完成一批。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真实库存和实际产能；缺货标记不能替代库存数量。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C02 细粒度需求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公开：Fresh小时观察销量。模拟：24+16或6+4份及两种小时内到达方式。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缺货期间潜在需求、真实15分钟流水及需求预测准确率。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C03 门店SOP与可售寿命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模拟：新增批次可售120分钟、13:00零残值清场；演示窗口11—13点。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真实操作规范及食品安全合规；2小时不是通用标准。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C04 成本与残值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模拟：售价24、变动成本9.98；每份缺货比较损失14.02、余量比较损失9.98。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真实利润、节省金额和损耗下降比例。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C05 店长实际动作与结果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模拟原计划0或1批，说明接受、修改、拒绝、转人工的确认要求。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真实采纳率与经营效果；模拟例证不等于真实用户测试。</w:t>
            </w:r>
          </w:p>
        </w:tc>
      </w:tr>
    </w:tbl>
    <w:p>
      <w:pPr>
        <w:pStyle w:val="Heading2"/>
        <w:spacing w:before="300" w:after="120" w:line="288" w:lineRule="auto"/>
        <w:ind w:left="0"/>
        <w:jc w:val="left"/>
        <w:outlineLvl w:val="2"/>
        <w:keepNext w:val="1"/>
      </w:pPr>
      <w:r>
        <w:rPr>
          <w:rFonts w:eastAsia="等线" w:ascii="Arial" w:cs="Arial" w:hAnsi="Arial"/>
          <w:b w:val="true"/>
          <w:sz w:val="30"/>
          <w:color w:val="000000"/>
        </w:rPr>
        <w:t xml:space="preserve">来源与定位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学习台第1周周四、周五要求，2026-10-23核对：https://ai-native-talent-academy.coolai.tech/ 。第4周安排本体建模与蓝图；本次仅提交第1周D2三份材料。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Fresh官方：https://huggingface.co/datasets/Dingdong-Inc/FreshRetailNet-50K ；Green官方：https://github.com/Green-AI-Hub-Mittelstand/Reduce-Foodwaste-Dataset 。本组使用10月21日保存的快照，仓库data/d1/保存来源及许可。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教师10月22日发布的本组案例v2明确为模拟数据。本次只参考其网页表结构，附件未纳入本组样本条数。教师唯一意见“使用正反例来解决”已在Goal/Gate中响应。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0699">
    <w:lvl>
      <w:numFmt w:val="bullet"/>
      <w:suff w:val="tab"/>
      <w:lvlText w:val="•"/>
      <w:rPr>
        <w:color w:val="3370ff"/>
      </w:rPr>
    </w:lvl>
  </w:abstractNum>
  <w:abstractNum w:abstractNumId="250700">
    <w:lvl>
      <w:numFmt w:val="bullet"/>
      <w:suff w:val="tab"/>
      <w:lvlText w:val="•"/>
      <w:rPr>
        <w:color w:val="3370ff"/>
      </w:rPr>
    </w:lvl>
  </w:abstractNum>
  <w:abstractNum w:abstractNumId="250701">
    <w:lvl>
      <w:numFmt w:val="bullet"/>
      <w:suff w:val="tab"/>
      <w:lvlText w:val="•"/>
      <w:rPr>
        <w:color w:val="3370ff"/>
      </w:rPr>
    </w:lvl>
  </w:abstractNum>
  <w:abstractNum w:abstractNumId="250702">
    <w:lvl>
      <w:numFmt w:val="bullet"/>
      <w:suff w:val="tab"/>
      <w:lvlText w:val="•"/>
      <w:rPr>
        <w:color w:val="3370ff"/>
      </w:rPr>
    </w:lvl>
  </w:abstractNum>
  <w:abstractNum w:abstractNumId="250703">
    <w:lvl>
      <w:numFmt w:val="bullet"/>
      <w:suff w:val="tab"/>
      <w:lvlText w:val="•"/>
      <w:rPr>
        <w:color w:val="3370ff"/>
      </w:rPr>
    </w:lvl>
  </w:abstractNum>
  <w:abstractNum w:abstractNumId="250704">
    <w:lvl>
      <w:numFmt w:val="bullet"/>
      <w:suff w:val="tab"/>
      <w:lvlText w:val="•"/>
      <w:rPr>
        <w:color w:val="3370ff"/>
      </w:rPr>
    </w:lvl>
  </w:abstractNum>
  <w:abstractNum w:abstractNumId="250705">
    <w:lvl>
      <w:numFmt w:val="bullet"/>
      <w:suff w:val="tab"/>
      <w:lvlText w:val="•"/>
      <w:rPr>
        <w:color w:val="3370ff"/>
      </w:rPr>
    </w:lvl>
  </w:abstractNum>
  <w:abstractNum w:abstractNumId="250706">
    <w:lvl>
      <w:start w:val="1"/>
      <w:numFmt w:val="lowerLetter"/>
      <w:suff w:val="tab"/>
      <w:lvlText w:val="%1."/>
      <w:rPr>
        <w:color w:val="3370ff"/>
      </w:rPr>
    </w:lvl>
  </w:abstractNum>
  <w:abstractNum w:abstractNumId="250707">
    <w:lvl>
      <w:start w:val="2"/>
      <w:numFmt w:val="lowerLetter"/>
      <w:suff w:val="tab"/>
      <w:lvlText w:val="%1."/>
      <w:rPr>
        <w:color w:val="3370ff"/>
      </w:rPr>
    </w:lvl>
  </w:abstractNum>
  <w:abstractNum w:abstractNumId="250708">
    <w:lvl>
      <w:start w:val="3"/>
      <w:numFmt w:val="lowerLetter"/>
      <w:suff w:val="tab"/>
      <w:lvlText w:val="%1."/>
      <w:rPr>
        <w:color w:val="3370ff"/>
      </w:rPr>
    </w:lvl>
  </w:abstractNum>
  <w:abstractNum w:abstractNumId="250709">
    <w:lvl>
      <w:start w:val="4"/>
      <w:numFmt w:val="lowerLetter"/>
      <w:suff w:val="tab"/>
      <w:lvlText w:val="%1."/>
      <w:rPr>
        <w:color w:val="3370ff"/>
      </w:rPr>
    </w:lvl>
  </w:abstractNum>
  <w:abstractNum w:abstractNumId="250710">
    <w:lvl>
      <w:numFmt w:val="bullet"/>
      <w:suff w:val="tab"/>
      <w:lvlText w:val="•"/>
      <w:rPr>
        <w:color w:val="3370ff"/>
      </w:rPr>
    </w:lvl>
  </w:abstractNum>
  <w:abstractNum w:abstractNumId="250711">
    <w:lvl>
      <w:numFmt w:val="bullet"/>
      <w:suff w:val="tab"/>
      <w:lvlText w:val="•"/>
      <w:rPr>
        <w:color w:val="3370ff"/>
      </w:rPr>
    </w:lvl>
  </w:abstractNum>
  <w:abstractNum w:abstractNumId="250712">
    <w:lvl>
      <w:numFmt w:val="bullet"/>
      <w:suff w:val="tab"/>
      <w:lvlText w:val="•"/>
      <w:rPr>
        <w:color w:val="3370ff"/>
      </w:rPr>
    </w:lvl>
  </w:abstractNum>
  <w:abstractNum w:abstractNumId="250713">
    <w:lvl>
      <w:start w:val="1"/>
      <w:numFmt w:val="decimal"/>
      <w:suff w:val="tab"/>
      <w:lvlText w:val="%1."/>
      <w:rPr>
        <w:color w:val="3370ff"/>
      </w:rPr>
    </w:lvl>
  </w:abstractNum>
  <w:abstractNum w:abstractNumId="250714">
    <w:lvl>
      <w:start w:val="2"/>
      <w:numFmt w:val="decimal"/>
      <w:suff w:val="tab"/>
      <w:lvlText w:val="%1."/>
      <w:rPr>
        <w:color w:val="3370ff"/>
      </w:rPr>
    </w:lvl>
  </w:abstractNum>
  <w:abstractNum w:abstractNumId="250715">
    <w:lvl>
      <w:start w:val="3"/>
      <w:numFmt w:val="decimal"/>
      <w:suff w:val="tab"/>
      <w:lvlText w:val="%1."/>
      <w:rPr>
        <w:color w:val="3370ff"/>
      </w:rPr>
    </w:lvl>
  </w:abstractNum>
  <w:abstractNum w:abstractNumId="250716">
    <w:lvl>
      <w:start w:val="4"/>
      <w:numFmt w:val="decimal"/>
      <w:suff w:val="tab"/>
      <w:lvlText w:val="%1."/>
      <w:rPr>
        <w:color w:val="3370ff"/>
      </w:rPr>
    </w:lvl>
  </w:abstractNum>
  <w:abstractNum w:abstractNumId="250717">
    <w:lvl>
      <w:numFmt w:val="bullet"/>
      <w:suff w:val="tab"/>
      <w:lvlText w:val="•"/>
      <w:rPr>
        <w:color w:val="3370ff"/>
      </w:rPr>
    </w:lvl>
  </w:abstractNum>
  <w:abstractNum w:abstractNumId="250718">
    <w:lvl>
      <w:start w:val="1"/>
      <w:numFmt w:val="lowerLetter"/>
      <w:suff w:val="tab"/>
      <w:lvlText w:val="%1."/>
      <w:rPr>
        <w:color w:val="3370ff"/>
      </w:rPr>
    </w:lvl>
  </w:abstractNum>
  <w:abstractNum w:abstractNumId="250719">
    <w:lvl>
      <w:start w:val="2"/>
      <w:numFmt w:val="lowerLetter"/>
      <w:suff w:val="tab"/>
      <w:lvlText w:val="%1."/>
      <w:rPr>
        <w:color w:val="3370ff"/>
      </w:rPr>
    </w:lvl>
  </w:abstractNum>
  <w:abstractNum w:abstractNumId="250720">
    <w:lvl>
      <w:start w:val="3"/>
      <w:numFmt w:val="lowerLetter"/>
      <w:suff w:val="tab"/>
      <w:lvlText w:val="%1."/>
      <w:rPr>
        <w:color w:val="3370ff"/>
      </w:rPr>
    </w:lvl>
  </w:abstractNum>
  <w:abstractNum w:abstractNumId="250721">
    <w:lvl>
      <w:start w:val="4"/>
      <w:numFmt w:val="lowerLetter"/>
      <w:suff w:val="tab"/>
      <w:lvlText w:val="%1."/>
      <w:rPr>
        <w:color w:val="3370ff"/>
      </w:rPr>
    </w:lvl>
  </w:abstractNum>
  <w:abstractNum w:abstractNumId="250722">
    <w:lvl>
      <w:numFmt w:val="bullet"/>
      <w:suff w:val="tab"/>
      <w:lvlText w:val="•"/>
      <w:rPr>
        <w:color w:val="3370ff"/>
      </w:rPr>
    </w:lvl>
  </w:abstractNum>
  <w:num w:numId="1">
    <w:abstractNumId w:val="250699"/>
  </w:num>
  <w:num w:numId="2">
    <w:abstractNumId w:val="250700"/>
  </w:num>
  <w:num w:numId="3">
    <w:abstractNumId w:val="250701"/>
  </w:num>
  <w:num w:numId="4">
    <w:abstractNumId w:val="250702"/>
  </w:num>
  <w:num w:numId="5">
    <w:abstractNumId w:val="250703"/>
  </w:num>
  <w:num w:numId="6">
    <w:abstractNumId w:val="250704"/>
  </w:num>
  <w:num w:numId="7">
    <w:abstractNumId w:val="250705"/>
  </w:num>
  <w:num w:numId="8">
    <w:abstractNumId w:val="250706"/>
  </w:num>
  <w:num w:numId="9">
    <w:abstractNumId w:val="250707"/>
  </w:num>
  <w:num w:numId="10">
    <w:abstractNumId w:val="250708"/>
  </w:num>
  <w:num w:numId="11">
    <w:abstractNumId w:val="250709"/>
  </w:num>
  <w:num w:numId="12">
    <w:abstractNumId w:val="250710"/>
  </w:num>
  <w:num w:numId="13">
    <w:abstractNumId w:val="250711"/>
  </w:num>
  <w:num w:numId="14">
    <w:abstractNumId w:val="250712"/>
  </w:num>
  <w:num w:numId="15">
    <w:abstractNumId w:val="250713"/>
  </w:num>
  <w:num w:numId="16">
    <w:abstractNumId w:val="250714"/>
  </w:num>
  <w:num w:numId="17">
    <w:abstractNumId w:val="250715"/>
  </w:num>
  <w:num w:numId="18">
    <w:abstractNumId w:val="250716"/>
  </w:num>
  <w:num w:numId="19">
    <w:abstractNumId w:val="250717"/>
  </w:num>
  <w:num w:numId="20">
    <w:abstractNumId w:val="250718"/>
  </w:num>
  <w:num w:numId="21">
    <w:abstractNumId w:val="250719"/>
  </w:num>
  <w:num w:numId="22">
    <w:abstractNumId w:val="250720"/>
  </w:num>
  <w:num w:numId="23">
    <w:abstractNumId w:val="250721"/>
  </w:num>
  <w:num w:numId="24">
    <w:abstractNumId w:val="2507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Title">
    <w:name w:val="Title"/>
    <w:rPr>
      <w:rFonts w:eastAsia="等线" w:ascii="Arial" w:cs="Arial" w:hAnsi="Arial"/>
      <w:b w:val="true"/>
      <w:sz w:val="52"/>
    </w:rPr>
  </w:style>
  <w:style w:type="paragraph" w:styleId="Heading1">
    <w:name w:val="heading 1"/>
    <w:rPr>
      <w:rFonts w:eastAsia="等线" w:ascii="Arial" w:cs="Arial" w:hAnsi="Arial"/>
      <w:b w:val="true"/>
      <w:sz w:val="32"/>
    </w:rPr>
  </w:style>
  <w:style w:type="paragraph" w:styleId="Heading2">
    <w:name w:val="heading 2"/>
    <w:rPr>
      <w:rFonts w:eastAsia="等线" w:ascii="Arial" w:cs="Arial" w:hAnsi="Arial"/>
      <w:b w:val="true"/>
      <w:sz w:val="30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2026-10-17T13:04:11Z</dcterms:created>
  <dc:creator>第8组</dc:creator>
</cp:coreProperties>
</file>