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480" w:after="480" w:line="288" w:lineRule="auto"/>
        <w:ind w:left="0"/>
        <w:jc w:val="left"/>
        <w:keepNext w:val="1"/>
      </w:pPr>
      <w:r>
        <w:rPr>
          <w:rFonts w:eastAsia="等线" w:ascii="Arial" w:cs="Arial" w:hAnsi="Arial"/>
          <w:b w:val="true"/>
          <w:sz w:val="52"/>
          <w:color w:val="000000"/>
        </w:rPr>
        <w:t xml:space="preserve">D2 Goal与Gate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高峰前短保商品供需错配预警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第8组  傅浩诚 李启顺    2026年10月23日  D2 v1.1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一 Goal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帮助国际连锁餐饮零售门店的当班店长，在高峰开始前判断一个短保商品的缺货与剩余风险，比较当前计划和候选供给，决定本轮是否调整新增供给。首版限定为一店一品、一个高峰、一次新增供给调整。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演示设定10:00判断、10:15前确认，覆盖11:00—13:00。预期价值是减少可避免的供需错配，并让店长看清依据；暂无同口径真实门店对照，不承诺具体收益或损耗下降比例。Fresh门店0、商品38，90日、2160小时格用于真实记录观察；数量、批次和成本使用独立模拟情景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二 Gate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按教学案例的写法，将目标转成可核对条件。以下定义后续业务成果如何验收；D2完成的是标准与例证，不要求今天实现系统。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G1 来源可追溯：真实记录注明来源、原行号、单位和时间，模拟参数逐项明示。对照源快照与字段字典抽查6条真实记录；两来源不拼成同一门店。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G2 能区分正反例：5个模拟情景均有明确预期，正常例不误报，缺失例不出数量。逐例审阅判断和理由；当前核对案例定义，系统实现后另记实际表现。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G3 建议有依据：列明当前状态、候选结果、约束与假设。4个可计算情景按分时账复算数量与比较损失，金额差不超过0.01元；当前只完成情景算术复核。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G4 店长确认后执行：建议须经店长确认，修改后重算，关键资料缺失先补录。通过审阅确认要求及缺失例核验；当前为流程定义，尚无实际操作记录。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  <w:pageBreakBefore/>
      </w:pPr>
      <w:r>
        <w:rPr>
          <w:rFonts w:eastAsia="等线" w:ascii="Arial" w:cs="Arial" w:hAnsi="Arial"/>
          <w:b w:val="true"/>
          <w:sz w:val="32"/>
          <w:color w:val="000000"/>
        </w:rPr>
        <w:t xml:space="preserve">三 模拟正反例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教师对“公开真实数据结合明示情景状态，是否满足阶段要求”的意见是“使用正反例来解决”。以下5例专门说明何时提醒、何时不提醒，以及资料不足时怎么办；属于本组拟定的验证例证。</w:t>
      </w:r>
    </w:p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固定输入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模拟门店SIM-01、商品SIM-SKU-01：10:00判断、10:15确认；期初可售10份，13:30到期，无在制。10:00—11:00需求为0。新增候选0—3批，每批12份，一条产线每批45分钟，依次11:00、11:45、12:30可售；各批完成后可售120分钟。按先到期先卖，13:00对余量按零残值清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模拟售价24元，变动成本9.98元；比较损失＝未满足需求×14.02＋未售余量×9.98。选择损失最小的可行候选，并列时选新增较少者。以上均为情景设定，不是门店SOP；不与公开缩放销量换算或拼接。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060"/>
        <w:gridCol w:w="3690"/>
      </w:tblGrid>
      <w:tr>
        <w:trPr>
          <w:cantSplit/>
          <w:tblHeader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案例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输入变化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预期判断与已有复核</w:t>
            </w:r>
          </w:p>
        </w:tc>
      </w:tr>
      <w:tr>
        <w:trPr>
          <w:cantSplit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SIM-P1</w:t>
              <w:br/>
              <w:t>缺货正例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原计划0批；11—12点需求24份、12—13点16份，各小时内均匀到达。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应提醒缺货。0批缺货30份；3批缺货0、余量6，损失59.88元，为该情景最小值。</w:t>
            </w:r>
          </w:p>
        </w:tc>
      </w:tr>
      <w:tr>
        <w:trPr>
          <w:cantSplit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SIM-N1</w:t>
              <w:br/>
              <w:t>正常反例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仅将需求改为6份加4份，原计划仍为0批。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维持0批；缺货0、余量0、损失0，不新增风险提醒。</w:t>
            </w:r>
          </w:p>
        </w:tc>
      </w:tr>
      <w:tr>
        <w:trPr>
          <w:cantSplit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SIM-P2</w:t>
              <w:br/>
              <w:t>过量正例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与N1相同，但原待开工计划为1批。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应提醒过量。原计划余量12、损失119.76元；取消该未开工批次后均为0。</w:t>
            </w:r>
          </w:p>
        </w:tc>
      </w:tr>
      <w:tr>
        <w:trPr>
          <w:cantSplit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SIM-N2</w:t>
              <w:br/>
              <w:t>时序反例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与P1总需求相同，但后16份均匀集中于12:00—12:30。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应改为2批：缺货6、余量0、损失84.12元；3批损失203.88元。3批并非总是最优。</w:t>
            </w:r>
          </w:p>
        </w:tc>
      </w:tr>
      <w:tr>
        <w:trPr>
          <w:cantSplit/>
        </w:trP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SIM-B1</w:t>
              <w:br/>
              <w:t>缺失边界例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与P1相同，但期初库存到期时间未知。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标待补录并转人工；不给新增批数，不归入正常。本例只定义预期处置。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四个可计算情景已做算术复核；缺失例尚无系统执行记录。D1历史复合批次案例的原库存与在制参数不同，不混用。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  <w:pageBreakBefore/>
      </w:pPr>
      <w:r>
        <w:rPr>
          <w:rFonts w:eastAsia="等线" w:ascii="Arial" w:cs="Arial" w:hAnsi="Arial"/>
          <w:b w:val="true"/>
          <w:sz w:val="32"/>
          <w:color w:val="000000"/>
        </w:rPr>
        <w:t xml:space="preserve">四 真实记录的正反例与边界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6条记录沿用D1的06_真实记录验收示例.csv，可按source_record_id定位。它们用于核对字段和解释，不提供真实新增供给标签。主序列为Fresh门店0、商品38，90日、2160小时格。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150"/>
        <w:gridCol w:w="3420"/>
      </w:tblGrid>
      <w:tr>
        <w:trPr>
          <w:cantSplit/>
          <w:tblHeader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来源与编号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真实记录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应作出的判断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CASE01</w:t>
              <w:br/>
              <w:t>Fresh train:1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门店0商品38；2024-03-29 21:00；销量0，缺货标记1。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正例：提示销量受缺货影响；不把零销售解释为零需求。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CASE02</w:t>
              <w:br/>
              <w:t>Fresh train:0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同店同品；2024-03-28 06:00；销量0，缺货标记0。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反例：不凭零销售添加缺货标签，也不据此证明潜在需求为0。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CASE03</w:t>
              <w:br/>
              <w:t>Fresh train:3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同店同品；2024-03-31 11:00；销量0，缺货标记1。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午段观察销量不能直接当作潜在需求真值。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CASE04</w:t>
              <w:br/>
              <w:t>Fresh train:67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同店同品；2024-06-03 19:00；销量0.1，缺货标记1。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两字段都保留；缺货标记不表示整个小时完全无货。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CASE05</w:t>
              <w:br/>
              <w:t>Green train:0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store_5；2021-08-02；ordered、unsold为空。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保留缺失；不填0，不写成没有余货。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CASE06</w:t>
              <w:br/>
              <w:t>Green train:1675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store_7；2022-07-05；sales、ordered、unsold约为0.7752、0.7320、−0.9741。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保持原缩放值；共同尺度未确认，不计算实物守恒或真实报损率。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CASE01与CASE02的日期、时段不同，只说明解释边界，不能作为因果对照。11个案例均非随机抽样；案例复核不等于模型准确率，也不能证明真实经营收益。</w:t>
      </w:r>
    </w:p>
    <w:p>
      <w:pPr>
        <w:pStyle w:val="Heading2"/>
        <w:spacing w:before="300" w:after="120" w:line="288" w:lineRule="auto"/>
        <w:ind w:left="0"/>
        <w:jc w:val="left"/>
        <w:outlineLvl w:val="2"/>
        <w:keepNext w:val="1"/>
      </w:pPr>
      <w:r>
        <w:rPr>
          <w:rFonts w:eastAsia="等线" w:ascii="Arial" w:cs="Arial" w:hAnsi="Arial"/>
          <w:b w:val="true"/>
          <w:sz w:val="30"/>
          <w:color w:val="000000"/>
        </w:rPr>
        <w:t xml:space="preserve">D2本次核验状态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已完成公开样本采集与质量核查、D1转换复现、5个模拟情景与6个真实记录示例的定义，以及4个可计算情景的算术复核。三份材料使用同一题目、范围、单位和数据状态；问题清单逐项给出数据缺口与替代方案。尚未完成模型、业务原型或系统回放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699">
    <w:lvl>
      <w:numFmt w:val="bullet"/>
      <w:suff w:val="tab"/>
      <w:lvlText w:val="•"/>
      <w:rPr>
        <w:color w:val="3370ff"/>
      </w:rPr>
    </w:lvl>
  </w:abstractNum>
  <w:abstractNum w:abstractNumId="250700">
    <w:lvl>
      <w:numFmt w:val="bullet"/>
      <w:suff w:val="tab"/>
      <w:lvlText w:val="•"/>
      <w:rPr>
        <w:color w:val="3370ff"/>
      </w:rPr>
    </w:lvl>
  </w:abstractNum>
  <w:abstractNum w:abstractNumId="250701">
    <w:lvl>
      <w:numFmt w:val="bullet"/>
      <w:suff w:val="tab"/>
      <w:lvlText w:val="•"/>
      <w:rPr>
        <w:color w:val="3370ff"/>
      </w:rPr>
    </w:lvl>
  </w:abstractNum>
  <w:abstractNum w:abstractNumId="250702">
    <w:lvl>
      <w:numFmt w:val="bullet"/>
      <w:suff w:val="tab"/>
      <w:lvlText w:val="•"/>
      <w:rPr>
        <w:color w:val="3370ff"/>
      </w:rPr>
    </w:lvl>
  </w:abstractNum>
  <w:abstractNum w:abstractNumId="250703">
    <w:lvl>
      <w:numFmt w:val="bullet"/>
      <w:suff w:val="tab"/>
      <w:lvlText w:val="•"/>
      <w:rPr>
        <w:color w:val="3370ff"/>
      </w:rPr>
    </w:lvl>
  </w:abstractNum>
  <w:abstractNum w:abstractNumId="250704">
    <w:lvl>
      <w:numFmt w:val="bullet"/>
      <w:suff w:val="tab"/>
      <w:lvlText w:val="•"/>
      <w:rPr>
        <w:color w:val="3370ff"/>
      </w:rPr>
    </w:lvl>
  </w:abstractNum>
  <w:abstractNum w:abstractNumId="250705">
    <w:lvl>
      <w:numFmt w:val="bullet"/>
      <w:suff w:val="tab"/>
      <w:lvlText w:val="•"/>
      <w:rPr>
        <w:color w:val="3370ff"/>
      </w:rPr>
    </w:lvl>
  </w:abstractNum>
  <w:abstractNum w:abstractNumId="250706">
    <w:lvl>
      <w:start w:val="1"/>
      <w:numFmt w:val="lowerLetter"/>
      <w:suff w:val="tab"/>
      <w:lvlText w:val="%1."/>
      <w:rPr>
        <w:color w:val="3370ff"/>
      </w:rPr>
    </w:lvl>
  </w:abstractNum>
  <w:abstractNum w:abstractNumId="250707">
    <w:lvl>
      <w:start w:val="2"/>
      <w:numFmt w:val="lowerLetter"/>
      <w:suff w:val="tab"/>
      <w:lvlText w:val="%1."/>
      <w:rPr>
        <w:color w:val="3370ff"/>
      </w:rPr>
    </w:lvl>
  </w:abstractNum>
  <w:abstractNum w:abstractNumId="250708">
    <w:lvl>
      <w:start w:val="3"/>
      <w:numFmt w:val="lowerLetter"/>
      <w:suff w:val="tab"/>
      <w:lvlText w:val="%1."/>
      <w:rPr>
        <w:color w:val="3370ff"/>
      </w:rPr>
    </w:lvl>
  </w:abstractNum>
  <w:abstractNum w:abstractNumId="250709">
    <w:lvl>
      <w:start w:val="4"/>
      <w:numFmt w:val="lowerLetter"/>
      <w:suff w:val="tab"/>
      <w:lvlText w:val="%1."/>
      <w:rPr>
        <w:color w:val="3370ff"/>
      </w:rPr>
    </w:lvl>
  </w:abstractNum>
  <w:abstractNum w:abstractNumId="250710">
    <w:lvl>
      <w:numFmt w:val="bullet"/>
      <w:suff w:val="tab"/>
      <w:lvlText w:val="•"/>
      <w:rPr>
        <w:color w:val="3370ff"/>
      </w:rPr>
    </w:lvl>
  </w:abstractNum>
  <w:abstractNum w:abstractNumId="250711">
    <w:lvl>
      <w:numFmt w:val="bullet"/>
      <w:suff w:val="tab"/>
      <w:lvlText w:val="•"/>
      <w:rPr>
        <w:color w:val="3370ff"/>
      </w:rPr>
    </w:lvl>
  </w:abstractNum>
  <w:abstractNum w:abstractNumId="250712">
    <w:lvl>
      <w:numFmt w:val="bullet"/>
      <w:suff w:val="tab"/>
      <w:lvlText w:val="•"/>
      <w:rPr>
        <w:color w:val="3370ff"/>
      </w:rPr>
    </w:lvl>
  </w:abstractNum>
  <w:abstractNum w:abstractNumId="250713">
    <w:lvl>
      <w:start w:val="1"/>
      <w:numFmt w:val="decimal"/>
      <w:suff w:val="tab"/>
      <w:lvlText w:val="%1."/>
      <w:rPr>
        <w:color w:val="3370ff"/>
      </w:rPr>
    </w:lvl>
  </w:abstractNum>
  <w:abstractNum w:abstractNumId="250714">
    <w:lvl>
      <w:start w:val="2"/>
      <w:numFmt w:val="decimal"/>
      <w:suff w:val="tab"/>
      <w:lvlText w:val="%1."/>
      <w:rPr>
        <w:color w:val="3370ff"/>
      </w:rPr>
    </w:lvl>
  </w:abstractNum>
  <w:abstractNum w:abstractNumId="250715">
    <w:lvl>
      <w:start w:val="3"/>
      <w:numFmt w:val="decimal"/>
      <w:suff w:val="tab"/>
      <w:lvlText w:val="%1."/>
      <w:rPr>
        <w:color w:val="3370ff"/>
      </w:rPr>
    </w:lvl>
  </w:abstractNum>
  <w:abstractNum w:abstractNumId="250716">
    <w:lvl>
      <w:start w:val="4"/>
      <w:numFmt w:val="decimal"/>
      <w:suff w:val="tab"/>
      <w:lvlText w:val="%1."/>
      <w:rPr>
        <w:color w:val="3370ff"/>
      </w:rPr>
    </w:lvl>
  </w:abstractNum>
  <w:abstractNum w:abstractNumId="250717">
    <w:lvl>
      <w:numFmt w:val="bullet"/>
      <w:suff w:val="tab"/>
      <w:lvlText w:val="•"/>
      <w:rPr>
        <w:color w:val="3370ff"/>
      </w:rPr>
    </w:lvl>
  </w:abstractNum>
  <w:abstractNum w:abstractNumId="250718">
    <w:lvl>
      <w:start w:val="1"/>
      <w:numFmt w:val="lowerLetter"/>
      <w:suff w:val="tab"/>
      <w:lvlText w:val="%1."/>
      <w:rPr>
        <w:color w:val="3370ff"/>
      </w:rPr>
    </w:lvl>
  </w:abstractNum>
  <w:abstractNum w:abstractNumId="250719">
    <w:lvl>
      <w:start w:val="2"/>
      <w:numFmt w:val="lowerLetter"/>
      <w:suff w:val="tab"/>
      <w:lvlText w:val="%1."/>
      <w:rPr>
        <w:color w:val="3370ff"/>
      </w:rPr>
    </w:lvl>
  </w:abstractNum>
  <w:abstractNum w:abstractNumId="250720">
    <w:lvl>
      <w:start w:val="3"/>
      <w:numFmt w:val="lowerLetter"/>
      <w:suff w:val="tab"/>
      <w:lvlText w:val="%1."/>
      <w:rPr>
        <w:color w:val="3370ff"/>
      </w:rPr>
    </w:lvl>
  </w:abstractNum>
  <w:abstractNum w:abstractNumId="250721">
    <w:lvl>
      <w:start w:val="4"/>
      <w:numFmt w:val="lowerLetter"/>
      <w:suff w:val="tab"/>
      <w:lvlText w:val="%1."/>
      <w:rPr>
        <w:color w:val="3370ff"/>
      </w:rPr>
    </w:lvl>
  </w:abstractNum>
  <w:abstractNum w:abstractNumId="250722">
    <w:lvl>
      <w:numFmt w:val="bullet"/>
      <w:suff w:val="tab"/>
      <w:lvlText w:val="•"/>
      <w:rPr>
        <w:color w:val="3370ff"/>
      </w:rPr>
    </w:lvl>
  </w:abstractNum>
  <w:num w:numId="1">
    <w:abstractNumId w:val="250699"/>
  </w:num>
  <w:num w:numId="2">
    <w:abstractNumId w:val="250700"/>
  </w:num>
  <w:num w:numId="3">
    <w:abstractNumId w:val="250701"/>
  </w:num>
  <w:num w:numId="4">
    <w:abstractNumId w:val="250702"/>
  </w:num>
  <w:num w:numId="5">
    <w:abstractNumId w:val="250703"/>
  </w:num>
  <w:num w:numId="6">
    <w:abstractNumId w:val="250704"/>
  </w:num>
  <w:num w:numId="7">
    <w:abstractNumId w:val="250705"/>
  </w:num>
  <w:num w:numId="8">
    <w:abstractNumId w:val="250706"/>
  </w:num>
  <w:num w:numId="9">
    <w:abstractNumId w:val="250707"/>
  </w:num>
  <w:num w:numId="10">
    <w:abstractNumId w:val="250708"/>
  </w:num>
  <w:num w:numId="11">
    <w:abstractNumId w:val="250709"/>
  </w:num>
  <w:num w:numId="12">
    <w:abstractNumId w:val="250710"/>
  </w:num>
  <w:num w:numId="13">
    <w:abstractNumId w:val="250711"/>
  </w:num>
  <w:num w:numId="14">
    <w:abstractNumId w:val="250712"/>
  </w:num>
  <w:num w:numId="15">
    <w:abstractNumId w:val="250713"/>
  </w:num>
  <w:num w:numId="16">
    <w:abstractNumId w:val="250714"/>
  </w:num>
  <w:num w:numId="17">
    <w:abstractNumId w:val="250715"/>
  </w:num>
  <w:num w:numId="18">
    <w:abstractNumId w:val="250716"/>
  </w:num>
  <w:num w:numId="19">
    <w:abstractNumId w:val="250717"/>
  </w:num>
  <w:num w:numId="20">
    <w:abstractNumId w:val="250718"/>
  </w:num>
  <w:num w:numId="21">
    <w:abstractNumId w:val="250719"/>
  </w:num>
  <w:num w:numId="22">
    <w:abstractNumId w:val="250720"/>
  </w:num>
  <w:num w:numId="23">
    <w:abstractNumId w:val="250721"/>
  </w:num>
  <w:num w:numId="24">
    <w:abstractNumId w:val="2507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Title">
    <w:name w:val="Title"/>
    <w:rPr>
      <w:rFonts w:eastAsia="等线" w:ascii="Arial" w:cs="Arial" w:hAnsi="Arial"/>
      <w:b w:val="true"/>
      <w:sz w:val="52"/>
    </w:rPr>
  </w:style>
  <w:style w:type="paragraph" w:styleId="Heading1">
    <w:name w:val="heading 1"/>
    <w:rPr>
      <w:rFonts w:eastAsia="等线" w:ascii="Arial" w:cs="Arial" w:hAnsi="Arial"/>
      <w:b w:val="true"/>
      <w:sz w:val="32"/>
    </w:rPr>
  </w:style>
  <w:style w:type="paragraph" w:styleId="Heading2">
    <w:name w:val="heading 2"/>
    <w:rPr>
      <w:rFonts w:eastAsia="等线" w:ascii="Arial" w:cs="Arial" w:hAnsi="Arial"/>
      <w:b w:val="true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2026-10-17T13:04:11Z</dcterms:created>
  <dc:creator>第8组</dc:creator>
</cp:coreProperties>
</file>