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480" w:after="480" w:line="288" w:lineRule="auto"/>
        <w:ind w:left="0"/>
        <w:jc w:val="left"/>
        <w:keepNext w:val="1"/>
      </w:pPr>
      <w:r>
        <w:rPr>
          <w:rFonts w:eastAsia="等线" w:ascii="Arial" w:cs="Arial" w:hAnsi="Arial"/>
          <w:b w:val="true"/>
          <w:sz w:val="52"/>
          <w:color w:val="000000"/>
        </w:rPr>
        <w:t xml:space="preserve">D2 选题定义卡</w:t>
      </w:r>
    </w:p>
    <w:p>
      <w:pPr>
        <w:pStyle w:val="Heading1"/>
        <w:spacing w:before="320" w:after="120" w:line="288" w:lineRule="auto"/>
        <w:ind w:left="0"/>
        <w:jc w:val="left"/>
        <w:outlineLvl w:val="1"/>
        <w:keepNext w:val="1"/>
      </w:pPr>
      <w:r>
        <w:rPr>
          <w:rFonts w:eastAsia="等线" w:ascii="Arial" w:cs="Arial" w:hAnsi="Arial"/>
          <w:b w:val="true"/>
          <w:sz w:val="32"/>
          <w:color w:val="000000"/>
        </w:rPr>
        <w:t xml:space="preserve">高峰前短保商品供需错配预警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第8组  傅浩诚 李启顺    2026年10月23日  D2 v1.1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本组选题聚焦高峰前的一次供给判断。本次按学习台第1周D2要求，统一选题、Goal/Gate与数据问题清单，并用正反例回应会议意见。</w:t>
      </w:r>
    </w:p>
    <w:tbl>
      <w:tblPr>
        <w:tblW w:w="8280" w:type="dxa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6480"/>
      </w:tblGrid>
      <w:tr>
        <w:trPr>
          <w:cantSplit/>
          <w:tblHeader/>
        </w:trP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b/>
                <w:color w:val="000000"/>
              </w:rPr>
              <w:t>项目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b/>
                <w:color w:val="000000"/>
              </w:rPr>
              <w:t>本组定义</w:t>
            </w:r>
          </w:p>
        </w:tc>
      </w:tr>
      <w:tr>
        <w:trPr>
          <w:cantSplit/>
        </w:trP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1 组号与成员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第8组；傅浩诚、李启顺。</w:t>
            </w:r>
          </w:p>
        </w:tc>
      </w:tr>
      <w:tr>
        <w:trPr>
          <w:cantSplit/>
        </w:trP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2 方向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国际连锁餐饮品牌 AI 原生零售门店，业务范围包括生鲜、烘焙和即食短保商品。</w:t>
            </w:r>
          </w:p>
        </w:tc>
      </w:tr>
      <w:tr>
        <w:trPr>
          <w:cantSplit/>
        </w:trP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3 课题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AI经营异常提醒；具体选题为“高峰前短保商品供需错配预警”。</w:t>
            </w:r>
          </w:p>
        </w:tc>
      </w:tr>
      <w:tr>
        <w:trPr>
          <w:cantSplit/>
        </w:trP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4 具体场景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一店一品、一个高峰、一次新增供给调整。演示设定10:00判断、10:15确认、关注11:00—13:00；一次决策可安排多批。时点属于情景假设，实际高峰待门店资料确认。</w:t>
            </w:r>
          </w:p>
        </w:tc>
      </w:tr>
      <w:tr>
        <w:trPr>
          <w:cantSplit/>
        </w:trP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5 使用者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当班店长。督导负责复核和授权范围之外的处置，总部维护业务规则。</w:t>
            </w:r>
          </w:p>
        </w:tc>
      </w:tr>
      <w:tr>
        <w:trPr>
          <w:cantSplit/>
        </w:trP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6 业务问题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高峰前只看历史销量和库存总数，可能忽略缺货压低销量、批次尚未完成或库存即将到期。店长需要同时判断缺货和剩余风险，决定是否调整本轮新增供给。</w:t>
            </w:r>
          </w:p>
        </w:tc>
      </w:tr>
    </w:tbl>
    <w:p>
      <w:pPr>
        <w:pStyle w:val="Heading1"/>
        <w:spacing w:before="320" w:after="120" w:line="288" w:lineRule="auto"/>
        <w:ind w:left="0"/>
        <w:jc w:val="left"/>
        <w:outlineLvl w:val="1"/>
        <w:keepNext w:val="1"/>
        <w:pageBreakBefore/>
      </w:pPr>
      <w:r>
        <w:rPr>
          <w:rFonts w:eastAsia="等线" w:ascii="Arial" w:cs="Arial" w:hAnsi="Arial"/>
          <w:b w:val="true"/>
          <w:sz w:val="32"/>
          <w:color w:val="000000"/>
        </w:rPr>
        <w:t xml:space="preserve">数据和验收定义</w:t>
      </w:r>
    </w:p>
    <w:tbl>
      <w:tblPr>
        <w:tblW w:w="8280" w:type="dxa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6480"/>
      </w:tblGrid>
      <w:tr>
        <w:trPr>
          <w:cantSplit/>
          <w:tblHeader/>
        </w:trP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b/>
                <w:color w:val="000000"/>
              </w:rPr>
              <w:t>项目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b/>
                <w:color w:val="000000"/>
              </w:rPr>
              <w:t>本组定义</w:t>
            </w:r>
          </w:p>
        </w:tc>
      </w:tr>
      <w:tr>
        <w:trPr>
          <w:cantSplit/>
        </w:trP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7 数据与资料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主序列为Fresh门店0、商品38，90日、2160小时格，2024-03-28—2024-06-25。已采集同店3商品共270商品日、6480小时格；Green烘焙数据另作补充，共9店、5142条训练日记录、1575条留后记录。两源独立使用。真实库存、批次、SOP与成本当前无法取得，用明示模拟替代。详见问题清单A01—A04、C01—C05。</w:t>
            </w:r>
          </w:p>
        </w:tc>
      </w:tr>
      <w:tr>
        <w:trPr>
          <w:cantSplit/>
        </w:trP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8 AI任务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拟由程序比较当前计划与候选供给的可售时间、缺货及余量；AI整理证据与解释风险。公开销量保留缩放单位，不当作完整潜在需求；未来销量和留后truth不作为事前输入。</w:t>
            </w:r>
          </w:p>
        </w:tc>
      </w:tr>
      <w:tr>
        <w:trPr>
          <w:cantSplit/>
        </w:trP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9 人工确认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当班店长核对证据，可接受、修改、拒绝或转人工。未经确认不执行；关键库存或到期信息缺失时先补录，不给新增数量。记录确认人、时间、选择与理由。</w:t>
            </w:r>
          </w:p>
        </w:tc>
      </w:tr>
      <w:tr>
        <w:trPr>
          <w:cantSplit/>
        </w:trP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10 输出与验收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color w:val="000000"/>
              </w:rPr>
              <w:t>拟输出一次风险判断、候选供给比较和处置建议，供店长确认。Gate定义来源可追溯、正反例区分、结果有依据及人工确认四项标准。已有5个模拟情景和6个真实记录示例；详见Goal/Gate。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教师意见为“使用正反例来解决”。本次已列明缺货、过量、正常、时序改变和关键数据缺失情景，并保留真实数据的解释边界。案例用于说明判断标准，尚无系统执行记录。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color w:val="000000"/>
        </w:rPr>
        <w:t xml:space="preserve">本次交付为选题卡、Goal/Gate、问题清单三份材料。本体建模属于第4周；本次不安排建模或原型开发。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0699">
    <w:lvl>
      <w:numFmt w:val="bullet"/>
      <w:suff w:val="tab"/>
      <w:lvlText w:val="•"/>
      <w:rPr>
        <w:color w:val="3370ff"/>
      </w:rPr>
    </w:lvl>
  </w:abstractNum>
  <w:abstractNum w:abstractNumId="250700">
    <w:lvl>
      <w:numFmt w:val="bullet"/>
      <w:suff w:val="tab"/>
      <w:lvlText w:val="•"/>
      <w:rPr>
        <w:color w:val="3370ff"/>
      </w:rPr>
    </w:lvl>
  </w:abstractNum>
  <w:abstractNum w:abstractNumId="250701">
    <w:lvl>
      <w:numFmt w:val="bullet"/>
      <w:suff w:val="tab"/>
      <w:lvlText w:val="•"/>
      <w:rPr>
        <w:color w:val="3370ff"/>
      </w:rPr>
    </w:lvl>
  </w:abstractNum>
  <w:abstractNum w:abstractNumId="250702">
    <w:lvl>
      <w:numFmt w:val="bullet"/>
      <w:suff w:val="tab"/>
      <w:lvlText w:val="•"/>
      <w:rPr>
        <w:color w:val="3370ff"/>
      </w:rPr>
    </w:lvl>
  </w:abstractNum>
  <w:abstractNum w:abstractNumId="250703">
    <w:lvl>
      <w:numFmt w:val="bullet"/>
      <w:suff w:val="tab"/>
      <w:lvlText w:val="•"/>
      <w:rPr>
        <w:color w:val="3370ff"/>
      </w:rPr>
    </w:lvl>
  </w:abstractNum>
  <w:abstractNum w:abstractNumId="250704">
    <w:lvl>
      <w:numFmt w:val="bullet"/>
      <w:suff w:val="tab"/>
      <w:lvlText w:val="•"/>
      <w:rPr>
        <w:color w:val="3370ff"/>
      </w:rPr>
    </w:lvl>
  </w:abstractNum>
  <w:abstractNum w:abstractNumId="250705">
    <w:lvl>
      <w:numFmt w:val="bullet"/>
      <w:suff w:val="tab"/>
      <w:lvlText w:val="•"/>
      <w:rPr>
        <w:color w:val="3370ff"/>
      </w:rPr>
    </w:lvl>
  </w:abstractNum>
  <w:abstractNum w:abstractNumId="250706">
    <w:lvl>
      <w:start w:val="1"/>
      <w:numFmt w:val="lowerLetter"/>
      <w:suff w:val="tab"/>
      <w:lvlText w:val="%1."/>
      <w:rPr>
        <w:color w:val="3370ff"/>
      </w:rPr>
    </w:lvl>
  </w:abstractNum>
  <w:abstractNum w:abstractNumId="250707">
    <w:lvl>
      <w:start w:val="2"/>
      <w:numFmt w:val="lowerLetter"/>
      <w:suff w:val="tab"/>
      <w:lvlText w:val="%1."/>
      <w:rPr>
        <w:color w:val="3370ff"/>
      </w:rPr>
    </w:lvl>
  </w:abstractNum>
  <w:abstractNum w:abstractNumId="250708">
    <w:lvl>
      <w:start w:val="3"/>
      <w:numFmt w:val="lowerLetter"/>
      <w:suff w:val="tab"/>
      <w:lvlText w:val="%1."/>
      <w:rPr>
        <w:color w:val="3370ff"/>
      </w:rPr>
    </w:lvl>
  </w:abstractNum>
  <w:abstractNum w:abstractNumId="250709">
    <w:lvl>
      <w:start w:val="4"/>
      <w:numFmt w:val="lowerLetter"/>
      <w:suff w:val="tab"/>
      <w:lvlText w:val="%1."/>
      <w:rPr>
        <w:color w:val="3370ff"/>
      </w:rPr>
    </w:lvl>
  </w:abstractNum>
  <w:abstractNum w:abstractNumId="250710">
    <w:lvl>
      <w:numFmt w:val="bullet"/>
      <w:suff w:val="tab"/>
      <w:lvlText w:val="•"/>
      <w:rPr>
        <w:color w:val="3370ff"/>
      </w:rPr>
    </w:lvl>
  </w:abstractNum>
  <w:abstractNum w:abstractNumId="250711">
    <w:lvl>
      <w:numFmt w:val="bullet"/>
      <w:suff w:val="tab"/>
      <w:lvlText w:val="•"/>
      <w:rPr>
        <w:color w:val="3370ff"/>
      </w:rPr>
    </w:lvl>
  </w:abstractNum>
  <w:abstractNum w:abstractNumId="250712">
    <w:lvl>
      <w:numFmt w:val="bullet"/>
      <w:suff w:val="tab"/>
      <w:lvlText w:val="•"/>
      <w:rPr>
        <w:color w:val="3370ff"/>
      </w:rPr>
    </w:lvl>
  </w:abstractNum>
  <w:abstractNum w:abstractNumId="250713">
    <w:lvl>
      <w:start w:val="1"/>
      <w:numFmt w:val="decimal"/>
      <w:suff w:val="tab"/>
      <w:lvlText w:val="%1."/>
      <w:rPr>
        <w:color w:val="3370ff"/>
      </w:rPr>
    </w:lvl>
  </w:abstractNum>
  <w:abstractNum w:abstractNumId="250714">
    <w:lvl>
      <w:start w:val="2"/>
      <w:numFmt w:val="decimal"/>
      <w:suff w:val="tab"/>
      <w:lvlText w:val="%1."/>
      <w:rPr>
        <w:color w:val="3370ff"/>
      </w:rPr>
    </w:lvl>
  </w:abstractNum>
  <w:abstractNum w:abstractNumId="250715">
    <w:lvl>
      <w:start w:val="3"/>
      <w:numFmt w:val="decimal"/>
      <w:suff w:val="tab"/>
      <w:lvlText w:val="%1."/>
      <w:rPr>
        <w:color w:val="3370ff"/>
      </w:rPr>
    </w:lvl>
  </w:abstractNum>
  <w:abstractNum w:abstractNumId="250716">
    <w:lvl>
      <w:start w:val="4"/>
      <w:numFmt w:val="decimal"/>
      <w:suff w:val="tab"/>
      <w:lvlText w:val="%1."/>
      <w:rPr>
        <w:color w:val="3370ff"/>
      </w:rPr>
    </w:lvl>
  </w:abstractNum>
  <w:abstractNum w:abstractNumId="250717">
    <w:lvl>
      <w:numFmt w:val="bullet"/>
      <w:suff w:val="tab"/>
      <w:lvlText w:val="•"/>
      <w:rPr>
        <w:color w:val="3370ff"/>
      </w:rPr>
    </w:lvl>
  </w:abstractNum>
  <w:abstractNum w:abstractNumId="250718">
    <w:lvl>
      <w:start w:val="1"/>
      <w:numFmt w:val="lowerLetter"/>
      <w:suff w:val="tab"/>
      <w:lvlText w:val="%1."/>
      <w:rPr>
        <w:color w:val="3370ff"/>
      </w:rPr>
    </w:lvl>
  </w:abstractNum>
  <w:abstractNum w:abstractNumId="250719">
    <w:lvl>
      <w:start w:val="2"/>
      <w:numFmt w:val="lowerLetter"/>
      <w:suff w:val="tab"/>
      <w:lvlText w:val="%1."/>
      <w:rPr>
        <w:color w:val="3370ff"/>
      </w:rPr>
    </w:lvl>
  </w:abstractNum>
  <w:abstractNum w:abstractNumId="250720">
    <w:lvl>
      <w:start w:val="3"/>
      <w:numFmt w:val="lowerLetter"/>
      <w:suff w:val="tab"/>
      <w:lvlText w:val="%1."/>
      <w:rPr>
        <w:color w:val="3370ff"/>
      </w:rPr>
    </w:lvl>
  </w:abstractNum>
  <w:abstractNum w:abstractNumId="250721">
    <w:lvl>
      <w:start w:val="4"/>
      <w:numFmt w:val="lowerLetter"/>
      <w:suff w:val="tab"/>
      <w:lvlText w:val="%1."/>
      <w:rPr>
        <w:color w:val="3370ff"/>
      </w:rPr>
    </w:lvl>
  </w:abstractNum>
  <w:abstractNum w:abstractNumId="250722">
    <w:lvl>
      <w:numFmt w:val="bullet"/>
      <w:suff w:val="tab"/>
      <w:lvlText w:val="•"/>
      <w:rPr>
        <w:color w:val="3370ff"/>
      </w:rPr>
    </w:lvl>
  </w:abstractNum>
  <w:num w:numId="1">
    <w:abstractNumId w:val="250699"/>
  </w:num>
  <w:num w:numId="2">
    <w:abstractNumId w:val="250700"/>
  </w:num>
  <w:num w:numId="3">
    <w:abstractNumId w:val="250701"/>
  </w:num>
  <w:num w:numId="4">
    <w:abstractNumId w:val="250702"/>
  </w:num>
  <w:num w:numId="5">
    <w:abstractNumId w:val="250703"/>
  </w:num>
  <w:num w:numId="6">
    <w:abstractNumId w:val="250704"/>
  </w:num>
  <w:num w:numId="7">
    <w:abstractNumId w:val="250705"/>
  </w:num>
  <w:num w:numId="8">
    <w:abstractNumId w:val="250706"/>
  </w:num>
  <w:num w:numId="9">
    <w:abstractNumId w:val="250707"/>
  </w:num>
  <w:num w:numId="10">
    <w:abstractNumId w:val="250708"/>
  </w:num>
  <w:num w:numId="11">
    <w:abstractNumId w:val="250709"/>
  </w:num>
  <w:num w:numId="12">
    <w:abstractNumId w:val="250710"/>
  </w:num>
  <w:num w:numId="13">
    <w:abstractNumId w:val="250711"/>
  </w:num>
  <w:num w:numId="14">
    <w:abstractNumId w:val="250712"/>
  </w:num>
  <w:num w:numId="15">
    <w:abstractNumId w:val="250713"/>
  </w:num>
  <w:num w:numId="16">
    <w:abstractNumId w:val="250714"/>
  </w:num>
  <w:num w:numId="17">
    <w:abstractNumId w:val="250715"/>
  </w:num>
  <w:num w:numId="18">
    <w:abstractNumId w:val="250716"/>
  </w:num>
  <w:num w:numId="19">
    <w:abstractNumId w:val="250717"/>
  </w:num>
  <w:num w:numId="20">
    <w:abstractNumId w:val="250718"/>
  </w:num>
  <w:num w:numId="21">
    <w:abstractNumId w:val="250719"/>
  </w:num>
  <w:num w:numId="22">
    <w:abstractNumId w:val="250720"/>
  </w:num>
  <w:num w:numId="23">
    <w:abstractNumId w:val="250721"/>
  </w:num>
  <w:num w:numId="24">
    <w:abstractNumId w:val="2507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Title">
    <w:name w:val="Title"/>
    <w:rPr>
      <w:rFonts w:eastAsia="等线" w:ascii="Arial" w:cs="Arial" w:hAnsi="Arial"/>
      <w:b w:val="true"/>
      <w:sz w:val="52"/>
    </w:rPr>
  </w:style>
  <w:style w:type="paragraph" w:styleId="Heading1">
    <w:name w:val="heading 1"/>
    <w:rPr>
      <w:rFonts w:eastAsia="等线" w:ascii="Arial" w:cs="Arial" w:hAnsi="Arial"/>
      <w:b w:val="true"/>
      <w:sz w:val="32"/>
    </w:rPr>
  </w:style>
  <w:style w:type="paragraph" w:styleId="Heading2">
    <w:name w:val="heading 2"/>
    <w:rPr>
      <w:rFonts w:eastAsia="等线" w:ascii="Arial" w:cs="Arial" w:hAnsi="Arial"/>
      <w:b w:val="true"/>
      <w:sz w:val="30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2026-10-17T13:04:11Z</dcterms:created>
  <dc:creator>第8组</dc:creator>
</cp:coreProperties>
</file>