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Arial" w:cs="Arial" w:eastAsia="Arial" w:hAnsi="Arial"/>
          <w:b/>
          <w:bCs/>
          <w:color w:val="B32025"/>
          <w:sz w:val="64"/>
          <w:szCs w:val="64"/>
        </w:rPr>
        <w:t xml:space="preserve">AnarBib</w:t>
      </w:r>
    </w:p>
    <w:p>
      <w:pPr>
        <w:spacing w:after="0" w:before="200"/>
        <w:jc w:val="center"/>
      </w:pPr>
      <w:r>
        <w:rPr>
          <w:b/>
          <w:bCs/>
          <w:color w:val="1A1A1A"/>
          <w:sz w:val="40"/>
          <w:szCs w:val="40"/>
        </w:rPr>
        <w:t xml:space="preserve">Dossier d’ouverture de chantier</w:t>
      </w:r>
    </w:p>
    <w:p>
      <w:pPr>
        <w:spacing w:after="0" w:before="120"/>
        <w:jc w:val="center"/>
      </w:pPr>
      <w:r>
        <w:rPr>
          <w:color w:val="1A1A1A"/>
          <w:sz w:val="32"/>
          <w:szCs w:val="32"/>
        </w:rPr>
        <w:t xml:space="preserve">« Approfondissement de la page réseau —</w:t>
      </w:r>
    </w:p>
    <w:p>
      <w:pPr>
        <w:spacing w:after="400" w:before="40"/>
        <w:jc w:val="center"/>
      </w:pPr>
      <w:r>
        <w:rPr>
          <w:color w:val="1A1A1A"/>
          <w:sz w:val="32"/>
          <w:szCs w:val="32"/>
        </w:rPr>
        <w:t xml:space="preserve">le réseau comme instance fédérative »</w:t>
      </w:r>
    </w:p>
    <w:p>
      <w:pPr>
        <w:spacing w:after="120"/>
        <w:jc w:val="center"/>
      </w:pPr>
      <w:r>
        <w:rPr>
          <w:i/>
          <w:iCs/>
          <w:color w:val="595959"/>
          <w:sz w:val="24"/>
          <w:szCs w:val="24"/>
        </w:rPr>
        <w:t xml:space="preserve">Réflexion fonctionnelle et politique — préalable à toute spécification</w:t>
      </w:r>
    </w:p>
    <w:p>
      <w:pPr>
        <w:spacing w:after="0" w:before="600"/>
        <w:jc w:val="center"/>
      </w:pPr>
      <w:r>
        <w:rPr>
          <w:color w:val="595959"/>
          <w:sz w:val="22"/>
          <w:szCs w:val="22"/>
        </w:rPr>
        <w:t xml:space="preserve">Document de travail — version 1</w:t>
      </w:r>
    </w:p>
    <w:p>
      <w:pPr>
        <w:spacing w:after="0"/>
        <w:jc w:val="center"/>
      </w:pPr>
      <w:r>
        <w:rPr>
          <w:color w:val="595959"/>
          <w:sz w:val="22"/>
          <w:szCs w:val="22"/>
        </w:rPr>
        <w:t xml:space="preserve">25 mai 2026</w:t>
      </w:r>
    </w:p>
    <w:p>
      <w:pPr>
        <w:spacing w:before="40"/>
        <w:jc w:val="center"/>
      </w:pPr>
      <w:r>
        <w:rPr>
          <w:color w:val="595959"/>
          <w:sz w:val="22"/>
          <w:szCs w:val="22"/>
        </w:rPr>
        <w:t xml:space="preserve">Xavier (lead dev) — assisté de Claude</w:t>
      </w:r>
    </w:p>
    <w:p>
      <w:pPr>
        <w:spacing w:before="7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7F0F0" w:val="clear"/>
            <w:tcMar>
              <w:top w:type="dxa" w:w="160"/>
              <w:left w:type="dxa" w:w="200"/>
              <w:bottom w:type="dxa" w:w="160"/>
              <w:right w:type="dxa" w:w="200"/>
            </w:tcMar>
          </w:tcPr>
          <w:p>
            <w:pPr>
              <w:spacing w:after="80" w:line="300"/>
            </w:pPr>
            <w:r>
              <w:rPr>
                <w:b/>
                <w:bCs/>
                <w:color w:val="B32025"/>
                <w:sz w:val="22"/>
                <w:szCs w:val="22"/>
              </w:rPr>
              <w:t xml:space="preserve">Objet du document</w:t>
            </w:r>
          </w:p>
          <w:p>
            <w:pPr>
              <w:spacing w:line="300"/>
            </w:pPr>
            <w:r>
              <w:rPr>
                <w:color w:val="1A1A1A"/>
                <w:sz w:val="21"/>
                <w:szCs w:val="21"/>
              </w:rPr>
              <w:t xml:space="preserve">Ce dossier cadre l’ensemble de la vision d’un approfondissement de la page réseau d’AnarBib : transformer une console d’administration réseau en une véritable instance fédérative. Il arrête les choix doctrinaux, délimite le périmètre, décrit les objets fonctionnels (cercles, assemblées générales, bulletins), hiérarchise les pistes secondaires et propose une séquence d’étapes. Il ne contient aucun code et ne tient pas lieu de spécification : il en est le préalable.</w:t>
            </w:r>
          </w:p>
        </w:tc>
      </w:tr>
    </w:tbl>
    <w:p>
      <w:r>
        <w:br w:type="page"/>
      </w:r>
    </w:p>
    <w:p>
      <w:pPr>
        <w:pStyle w:val="Heading1"/>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Cadrage du chantier</w:t>
      </w:r>
    </w:p>
    <w:p>
      <w:pPr>
        <w:pStyle w:val="Heading2"/>
      </w:pPr>
      <w:r>
        <w:t xml:space="preserve">1.1 Pourquoi ce chantier</w:t>
      </w:r>
    </w:p>
    <w:p>
      <w:pPr>
        <w:spacing w:after="120" w:line="312"/>
      </w:pPr>
      <w:r>
        <w:t xml:space="preserve">La page réseau d’AnarBib existe déjà. Dans son état actuel, elle est une console de supervision : cinq onglets — résumé de la rede, demandes d’adhésion, panorama des bibliothèques, membres, administrateur·rices —, tous orientés vers l’administration et le contrôle. Un·e administrateur·rice réseau y voit des compteurs agrégés, approuve ou refuse les demandes d’adhésion de nouvelles bibliothèques, active ou désactive une bibliothèque existante. C’est un outil utile et nécessaire. Mais ce n’est pas un lieu fédératif : c’est un tableau de bord.</w:t>
      </w:r>
    </w:p>
    <w:p>
      <w:pPr>
        <w:spacing w:after="120" w:line="312"/>
      </w:pPr>
      <w:r>
        <w:t xml:space="preserve">Or AnarBib se revendique « fait par et pour les bibliothèques militantes anarchistes ». Le mot réseau, dans ce projet, ne désigne pas une infrastructure technique mutualisée : il désigne une fédération de collectifs autonomes. Une fédération sans organe de délibération, sans espace d’expression commune, sans lieu où les bibliothèques se voient et se reconnaissent, n’est qu’un annuaire administré. Le présent chantier vise à doter AnarBib des fonctionnalités qui font qu’un réseau devient effectivement une instance fédérative.</w:t>
      </w:r>
    </w:p>
    <w:p>
      <w:pPr>
        <w:pStyle w:val="Heading2"/>
      </w:pPr>
      <w:r>
        <w:t xml:space="preserve">1.2 Le constat structurant : dédoubler la notion de réseau</w:t>
      </w:r>
    </w:p>
    <w:p>
      <w:pPr>
        <w:spacing w:after="120" w:line="312"/>
      </w:pPr>
      <w:r>
        <w:t xml:space="preserve">La page réseau actuelle est gardée par le contrôle isNetworkAdmin : elle est invisible à quiconque n’est pas administrateur·rice réseau. C’est légitime pour une console d’administration. Mais cela devient un obstacle dès lors qu’on veut faire vivre une assemblée générale, un bulletin militant ou des regroupements de bibliothèques : une assemblée générale visible des seul·es administrateur·rices réseau n’est pas une assemblée générale, c’est une réunion de bureau.</w:t>
      </w:r>
    </w:p>
    <w:p>
      <w:pPr>
        <w:spacing w:after="120" w:line="312"/>
      </w:pPr>
      <w:r>
        <w:t xml:space="preserve">Le chantier ne consiste donc pas à « ajouter des onglets à la page réseau existante ». Il consiste à reconnaître que le mot réseau recouvre désormais deux réalités distinctes, qui appellent deux périmètres et deux pages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2"/>
              <w:left w:val="single" w:color="CCCCCC" w:sz="2"/>
              <w:bottom w:val="single" w:color="CCCCCC" w:sz="2"/>
              <w:right w:val="single" w:color="CCCCCC" w:sz="2"/>
            </w:tcBorders>
            <w:shd w:fill="B32025" w:val="clear"/>
            <w:tcMar>
              <w:top w:type="dxa" w:w="80"/>
              <w:left w:type="dxa" w:w="120"/>
              <w:bottom w:type="dxa" w:w="80"/>
              <w:right w:type="dxa" w:w="120"/>
            </w:tcMar>
          </w:tcPr>
          <w:p>
            <w:pPr>
              <w:spacing w:after="20" w:line="270"/>
            </w:pPr>
            <w:r>
              <w:rPr>
                <w:b/>
                <w:bCs/>
                <w:color w:val="FFFFFF"/>
                <w:sz w:val="20"/>
                <w:szCs w:val="20"/>
              </w:rPr>
              <w:t xml:space="preserve">Face</w:t>
            </w:r>
          </w:p>
        </w:tc>
        <w:tc>
          <w:tcPr>
            <w:tcW w:type="dxa" w:w="3480"/>
            <w:tcBorders>
              <w:top w:val="single" w:color="CCCCCC" w:sz="2"/>
              <w:left w:val="single" w:color="CCCCCC" w:sz="2"/>
              <w:bottom w:val="single" w:color="CCCCCC" w:sz="2"/>
              <w:right w:val="single" w:color="CCCCCC" w:sz="2"/>
            </w:tcBorders>
            <w:shd w:fill="B32025" w:val="clear"/>
            <w:tcMar>
              <w:top w:type="dxa" w:w="80"/>
              <w:left w:type="dxa" w:w="120"/>
              <w:bottom w:type="dxa" w:w="80"/>
              <w:right w:type="dxa" w:w="120"/>
            </w:tcMar>
          </w:tcPr>
          <w:p>
            <w:pPr>
              <w:spacing w:after="20" w:line="270"/>
            </w:pPr>
            <w:r>
              <w:rPr>
                <w:b/>
                <w:bCs/>
                <w:color w:val="FFFFFF"/>
                <w:sz w:val="20"/>
                <w:szCs w:val="20"/>
              </w:rPr>
              <w:t xml:space="preserve">Face administration</w:t>
            </w:r>
          </w:p>
        </w:tc>
        <w:tc>
          <w:tcPr>
            <w:tcW w:type="dxa" w:w="3480"/>
            <w:tcBorders>
              <w:top w:val="single" w:color="CCCCCC" w:sz="2"/>
              <w:left w:val="single" w:color="CCCCCC" w:sz="2"/>
              <w:bottom w:val="single" w:color="CCCCCC" w:sz="2"/>
              <w:right w:val="single" w:color="CCCCCC" w:sz="2"/>
            </w:tcBorders>
            <w:shd w:fill="B32025" w:val="clear"/>
            <w:tcMar>
              <w:top w:type="dxa" w:w="80"/>
              <w:left w:type="dxa" w:w="120"/>
              <w:bottom w:type="dxa" w:w="80"/>
              <w:right w:type="dxa" w:w="120"/>
            </w:tcMar>
          </w:tcPr>
          <w:p>
            <w:pPr>
              <w:spacing w:after="20" w:line="270"/>
            </w:pPr>
            <w:r>
              <w:rPr>
                <w:b/>
                <w:bCs/>
                <w:color w:val="FFFFFF"/>
                <w:sz w:val="20"/>
                <w:szCs w:val="20"/>
              </w:rPr>
              <w:t xml:space="preserve">Face fédération</w:t>
            </w:r>
          </w:p>
        </w:tc>
      </w:tr>
      <w:tr>
        <w:trPr>
          <w:tblHeader w:val="false"/>
        </w:trP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Nature</w:t>
            </w:r>
          </w:p>
        </w:tc>
        <w:tc>
          <w:tcPr>
            <w:tcW w:type="dxa" w:w="3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Console de supervision et de gouvernance technique du réseau.</w:t>
            </w:r>
          </w:p>
        </w:tc>
        <w:tc>
          <w:tcPr>
            <w:tcW w:type="dxa" w:w="3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Espace de vie collective et délibérative de la fédération.</w:t>
            </w:r>
          </w:p>
        </w:tc>
      </w:tr>
      <w:tr>
        <w:trPr>
          <w:tblHeader w:val="false"/>
        </w:trP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Page</w:t>
            </w:r>
          </w:p>
        </w:tc>
        <w:tc>
          <w:tcPr>
            <w:tcW w:type="dxa" w:w="3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La page réseau actuelle, conservée telle quelle.</w:t>
            </w:r>
          </w:p>
        </w:tc>
        <w:tc>
          <w:tcPr>
            <w:tcW w:type="dxa" w:w="3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Une nouvelle page fédération, à créer.</w:t>
            </w:r>
          </w:p>
        </w:tc>
      </w:tr>
      <w:tr>
        <w:trPr>
          <w:tblHeader w:val="false"/>
        </w:trP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Accès</w:t>
            </w:r>
          </w:p>
        </w:tc>
        <w:tc>
          <w:tcPr>
            <w:tcW w:type="dxa" w:w="3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Administrateur·rices réseau actif·ves (contrôle isNetworkAdmin inchangé).</w:t>
            </w:r>
          </w:p>
        </w:tc>
        <w:tc>
          <w:tcPr>
            <w:tcW w:type="dxa" w:w="3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Toute personne rattachée à une bibliothèque membre, quel que soit son rôle.</w:t>
            </w:r>
          </w:p>
        </w:tc>
      </w:tr>
      <w:tr>
        <w:trPr>
          <w:tblHeader w:val="false"/>
        </w:trP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Contenu</w:t>
            </w:r>
          </w:p>
        </w:tc>
        <w:tc>
          <w:tcPr>
            <w:tcW w:type="dxa" w:w="3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Demandes d’adhésion, activation de bibliothèques, compteurs de supervision, gestion des admins réseau.</w:t>
            </w:r>
          </w:p>
        </w:tc>
        <w:tc>
          <w:tcPr>
            <w:tcW w:type="dxa" w:w="3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Cercles, assemblées générales, bulletin et gazette, carte du réseau, entraide, mémoire fédérale.</w:t>
            </w:r>
          </w:p>
        </w:tc>
      </w:tr>
      <w:tr>
        <w:trPr>
          <w:tblHeader w:val="false"/>
        </w:trP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Doctrine</w:t>
            </w:r>
          </w:p>
        </w:tc>
        <w:tc>
          <w:tcPr>
            <w:tcW w:type="dxa" w:w="3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Périmètre de droits.</w:t>
            </w:r>
          </w:p>
        </w:tc>
        <w:tc>
          <w:tcPr>
            <w:tcW w:type="dxa" w:w="3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Périmètre de vie collective — explicitement pas un périmètre de droits.</w:t>
            </w:r>
          </w:p>
        </w:tc>
      </w:tr>
    </w:tbl>
    <w:p>
      <w:pPr>
        <w:spacing w:after="80"/>
      </w:pPr>
      <w:r>
        <w:t xml:space="preserve"/>
      </w:r>
    </w:p>
    <w:p>
      <w:pPr>
        <w:spacing w:after="120" w:line="312"/>
      </w:pPr>
      <w:r>
        <w:t xml:space="preserve">Ce dédoublement est cohérent avec la doctrine « page = périmètre » déjà actée pour la rede : </w:t>
      </w:r>
      <w:r>
        <w:t xml:space="preserve">on n’ajoute pas de calcul transversal, on crée un second périmètre, légitime et distinct. </w:t>
      </w:r>
      <w:r>
        <w:t xml:space="preserve">Il est également cohérent avec la charte UX du projet : </w:t>
      </w:r>
      <w:r>
        <w:t xml:space="preserve">l’administrateur·rice réseau conserve sa console dense ; les militant·es ordinaires reçoivent une page simple et accueillante, et non un tableau de bord à neuf colonnes.</w:t>
      </w:r>
    </w:p>
    <w:p>
      <w:pPr>
        <w:pStyle w:val="Heading2"/>
      </w:pPr>
      <w:r>
        <w:t xml:space="preserve">1.3 Principes politiques directeurs</w:t>
      </w:r>
    </w:p>
    <w:p>
      <w:pPr>
        <w:spacing w:after="120" w:line="312"/>
      </w:pPr>
      <w:r>
        <w:t xml:space="preserve">Quatre principes encadrent tout ce qui suit. Ils ne sont pas négociables au cours du chantier : ils en sont le socle doctrinal.</w:t>
      </w:r>
    </w:p>
    <w:p>
      <w:pPr>
        <w:pStyle w:val="ListParagraph"/>
        <w:numPr>
          <w:ilvl w:val="0"/>
          <w:numId w:val="2"/>
        </w:numPr>
        <w:spacing w:after="60" w:line="300"/>
      </w:pPr>
      <w:r>
        <w:rPr>
          <w:b/>
          <w:bCs/>
        </w:rPr>
        <w:t xml:space="preserve">Fédéralisme, pas hiérarchie. </w:t>
      </w:r>
      <w:r>
        <w:t xml:space="preserve">Aucun objet du chantier ne doit créer un échelon supérieur aux bibliothèques. Le réseau fédère des collectifs autonomes ; il ne les surplombe pas. Il n’y a pas de « bibliothèque mère », pas de cercle « parent », pas d’assemblée qui contraint.</w:t>
      </w:r>
    </w:p>
    <w:p>
      <w:pPr>
        <w:pStyle w:val="ListParagraph"/>
        <w:numPr>
          <w:ilvl w:val="0"/>
          <w:numId w:val="2"/>
        </w:numPr>
        <w:spacing w:after="60" w:line="300"/>
      </w:pPr>
      <w:r>
        <w:rPr>
          <w:b/>
          <w:bCs/>
        </w:rPr>
        <w:t xml:space="preserve">Le consentement plutôt que le décompte. </w:t>
      </w:r>
      <w:r>
        <w:t xml:space="preserve">Partout où une décision collective est en jeu, on privilégie la grammaire du consentement (absence d’objection motivée) à celle du vote majoritaire brut — en réutilisant la grammaire déjà éprouvée de la cooptation des administrateur·rices réseau (délais absolus, motivations longues obligatoires, quorum nuancé).</w:t>
      </w:r>
    </w:p>
    <w:p>
      <w:pPr>
        <w:pStyle w:val="ListParagraph"/>
        <w:numPr>
          <w:ilvl w:val="0"/>
          <w:numId w:val="2"/>
        </w:numPr>
        <w:spacing w:after="60" w:line="300"/>
      </w:pPr>
      <w:r>
        <w:rPr>
          <w:b/>
          <w:bCs/>
        </w:rPr>
        <w:t xml:space="preserve">Autonomie locale souveraine. </w:t>
      </w:r>
      <w:r>
        <w:t xml:space="preserve">Aucune décision prise au niveau réseau ne peut s’imposer à une bibliothèque. Une décision d’assemblée est une recommandation fédérale ; l’outil doit rendre visible son caractère non contraignant.</w:t>
      </w:r>
    </w:p>
    <w:p>
      <w:pPr>
        <w:pStyle w:val="ListParagraph"/>
        <w:numPr>
          <w:ilvl w:val="0"/>
          <w:numId w:val="2"/>
        </w:numPr>
        <w:spacing w:after="60" w:line="300"/>
      </w:pPr>
      <w:r>
        <w:rPr>
          <w:b/>
          <w:bCs/>
        </w:rPr>
        <w:t xml:space="preserve">Lancer peu, mais que cela vive. </w:t>
      </w:r>
      <w:r>
        <w:t xml:space="preserve">Un organe fédératif vide est politiquement pire qu’un réseau modeste mais habité. Les fonctionnalités sont donc hiérarchisées par effort de maintenance collective requis, et la séquence d’implémentation commence par ce qui demande le moins d’animation militante.</w:t>
      </w:r>
    </w:p>
    <w:p>
      <w:pPr>
        <w:pStyle w:val="Heading2"/>
      </w:pPr>
      <w:r>
        <w:t xml:space="preserve">1.4 Arbitrages de cadrage retenus</w:t>
      </w:r>
    </w:p>
    <w:p>
      <w:pPr>
        <w:spacing w:after="120" w:line="312"/>
      </w:pPr>
      <w:r>
        <w:t xml:space="preserve">Trois arbitrages structurants ont été tranchés avant la rédaction de ce dossier.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2"/>
              <w:left w:val="single" w:color="CCCCCC" w:sz="2"/>
              <w:bottom w:val="single" w:color="CCCCCC" w:sz="2"/>
              <w:right w:val="single" w:color="CCCCCC" w:sz="2"/>
            </w:tcBorders>
            <w:shd w:fill="B32025" w:val="clear"/>
            <w:tcMar>
              <w:top w:type="dxa" w:w="80"/>
              <w:left w:type="dxa" w:w="120"/>
              <w:bottom w:type="dxa" w:w="80"/>
              <w:right w:type="dxa" w:w="120"/>
            </w:tcMar>
          </w:tcPr>
          <w:p>
            <w:pPr>
              <w:spacing w:after="20" w:line="270"/>
            </w:pPr>
            <w:r>
              <w:rPr>
                <w:b/>
                <w:bCs/>
                <w:color w:val="FFFFFF"/>
                <w:sz w:val="20"/>
                <w:szCs w:val="20"/>
              </w:rPr>
              <w:t xml:space="preserve">Question</w:t>
            </w:r>
          </w:p>
        </w:tc>
        <w:tc>
          <w:tcPr>
            <w:tcW w:type="dxa" w:w="3380"/>
            <w:tcBorders>
              <w:top w:val="single" w:color="CCCCCC" w:sz="2"/>
              <w:left w:val="single" w:color="CCCCCC" w:sz="2"/>
              <w:bottom w:val="single" w:color="CCCCCC" w:sz="2"/>
              <w:right w:val="single" w:color="CCCCCC" w:sz="2"/>
            </w:tcBorders>
            <w:shd w:fill="B32025" w:val="clear"/>
            <w:tcMar>
              <w:top w:type="dxa" w:w="80"/>
              <w:left w:type="dxa" w:w="120"/>
              <w:bottom w:type="dxa" w:w="80"/>
              <w:right w:type="dxa" w:w="120"/>
            </w:tcMar>
          </w:tcPr>
          <w:p>
            <w:pPr>
              <w:spacing w:after="20" w:line="270"/>
            </w:pPr>
            <w:r>
              <w:rPr>
                <w:b/>
                <w:bCs/>
                <w:color w:val="FFFFFF"/>
                <w:sz w:val="20"/>
                <w:szCs w:val="20"/>
              </w:rPr>
              <w:t xml:space="preserve">Décision</w:t>
            </w:r>
          </w:p>
        </w:tc>
        <w:tc>
          <w:tcPr>
            <w:tcW w:type="dxa" w:w="3380"/>
            <w:tcBorders>
              <w:top w:val="single" w:color="CCCCCC" w:sz="2"/>
              <w:left w:val="single" w:color="CCCCCC" w:sz="2"/>
              <w:bottom w:val="single" w:color="CCCCCC" w:sz="2"/>
              <w:right w:val="single" w:color="CCCCCC" w:sz="2"/>
            </w:tcBorders>
            <w:shd w:fill="B32025" w:val="clear"/>
            <w:tcMar>
              <w:top w:type="dxa" w:w="80"/>
              <w:left w:type="dxa" w:w="120"/>
              <w:bottom w:type="dxa" w:w="80"/>
              <w:right w:type="dxa" w:w="120"/>
            </w:tcMar>
          </w:tcPr>
          <w:p>
            <w:pPr>
              <w:spacing w:after="20" w:line="270"/>
            </w:pPr>
            <w:r>
              <w:rPr>
                <w:b/>
                <w:bCs/>
                <w:color w:val="FFFFFF"/>
                <w:sz w:val="20"/>
                <w:szCs w:val="20"/>
              </w:rPr>
              <w:t xml:space="preserve">Conséquence</w:t>
            </w:r>
          </w:p>
        </w:tc>
      </w:tr>
      <w:tr>
        <w:trPr>
          <w:tblHeader w:val="false"/>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Périmètre du dossier</w:t>
            </w:r>
          </w:p>
        </w:tc>
        <w:tc>
          <w:tcPr>
            <w:tcW w:type="dxa" w:w="33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Vision intégrale : cercles, assemblées générales, bulletin et gazette, pistes secondaires.</w:t>
            </w:r>
          </w:p>
        </w:tc>
        <w:tc>
          <w:tcPr>
            <w:tcW w:type="dxa" w:w="33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Le dossier arrête la doctrine de l’ensemble ; la séquence d’étapes échelonne l’implémentation.</w:t>
            </w:r>
          </w:p>
        </w:tc>
      </w:tr>
      <w:tr>
        <w:trPr>
          <w:tblHeader w:val="false"/>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Visibilité de la face fédération</w:t>
            </w:r>
          </w:p>
        </w:tc>
        <w:tc>
          <w:tcPr>
            <w:tcW w:type="dxa" w:w="33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Toute personne rattachée à une bibliothèque membre, quel que soit son rôle.</w:t>
            </w:r>
          </w:p>
        </w:tc>
        <w:tc>
          <w:tcPr>
            <w:tcW w:type="dxa" w:w="33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Les lecteur·rices font partie du réseau : les exclure recréerait la hiérarchie staff / lecteur·rice que la doctrine combat.</w:t>
            </w:r>
          </w:p>
        </w:tc>
      </w:tr>
      <w:tr>
        <w:trPr>
          <w:tblHeader w:val="false"/>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Échéance Bologna (FICEDL, sept. 2026)</w:t>
            </w:r>
          </w:p>
        </w:tc>
        <w:tc>
          <w:tcPr>
            <w:tcW w:type="dxa" w:w="33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Présenter la spécification et la maquette, sans implémentation finie exigée.</w:t>
            </w:r>
          </w:p>
        </w:tc>
        <w:tc>
          <w:tcPr>
            <w:tcW w:type="dxa" w:w="33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Bologna devient une étape revendiquée — présentation d’un commun en construction — et non une date couperet.</w:t>
            </w:r>
          </w:p>
        </w:tc>
      </w:tr>
    </w:tbl>
    <w:p>
      <w:r>
        <w:br w:type="page"/>
      </w:r>
    </w:p>
    <w:p>
      <w:pPr>
        <w:pStyle w:val="Heading1"/>
      </w:pPr>
      <w:r>
        <w:t xml:space="preserve">2. État des lieux de la couche réseau existante</w:t>
      </w:r>
    </w:p>
    <w:p>
      <w:pPr>
        <w:spacing w:after="120" w:line="312"/>
      </w:pPr>
      <w:r>
        <w:t xml:space="preserve">Avant de concevoir, il faut nommer précisément l’existant — c’est la méthode constante du projet. La couche réseau d’AnarBib se compose aujourd’hui de trois ensembles.</w:t>
      </w:r>
    </w:p>
    <w:p>
      <w:pPr>
        <w:pStyle w:val="Heading2"/>
      </w:pPr>
      <w:r>
        <w:t xml:space="preserve">2.1 Le socle de droits</w:t>
      </w:r>
    </w:p>
    <w:p>
      <w:pPr>
        <w:spacing w:after="120" w:line="312"/>
      </w:pPr>
      <w:r>
        <w:t xml:space="preserve">Deux tables structurent l’administration réseau. La table des administrateur·rices réseau porte l’audit et la cooptation : entrée et sortie collectives, unanimité, délais absolus, motivations longues. La table du personnel réseau porte les droits effectifs : activité, consultation des métriques, gestion du personnel réseau. La distinction est propre et doit être préservée : l’une trace la légitimité, l’autre ouvre les accès.</w:t>
      </w:r>
    </w:p>
    <w:p>
      <w:pPr>
        <w:pStyle w:val="Heading2"/>
      </w:pPr>
      <w:r>
        <w:t xml:space="preserve">2.2 Le socle de reporting</w:t>
      </w:r>
    </w:p>
    <w:p>
      <w:pPr>
        <w:spacing w:after="120" w:line="312"/>
      </w:pPr>
      <w:r>
        <w:t xml:space="preserve">Deux fonctions de notification produisent déjà un flux d’information réseau : la synthèse hebdomadaire réseau multi-bibliothèques, et, en amont, le rapport hebdomadaire local de chaque bibliothèque. C’est la matière première directe d’un futur bulletin de réseau : la tuyauterie existe, il ne manque que la mise en forme et la destination collective.</w:t>
      </w:r>
    </w:p>
    <w:p>
      <w:pPr>
        <w:pStyle w:val="Heading2"/>
      </w:pPr>
      <w:r>
        <w:t xml:space="preserve">2.3 La page réseau elle-même</w:t>
      </w:r>
    </w:p>
    <w:p>
      <w:pPr>
        <w:spacing w:after="120" w:line="312"/>
      </w:pPr>
      <w:r>
        <w:t xml:space="preserve">La page actuelle comporte cinq onglets, tous tournés vers l’administration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80"/>
        <w:gridCol w:w="2780"/>
      </w:tblGrid>
      <w:tr>
        <w:trPr>
          <w:tblHeader/>
        </w:trPr>
        <w:tc>
          <w:tcPr>
            <w:tcW w:type="dxa" w:w="2200"/>
            <w:tcBorders>
              <w:top w:val="single" w:color="CCCCCC" w:sz="2"/>
              <w:left w:val="single" w:color="CCCCCC" w:sz="2"/>
              <w:bottom w:val="single" w:color="CCCCCC" w:sz="2"/>
              <w:right w:val="single" w:color="CCCCCC" w:sz="2"/>
            </w:tcBorders>
            <w:shd w:fill="B32025" w:val="clear"/>
            <w:tcMar>
              <w:top w:type="dxa" w:w="80"/>
              <w:left w:type="dxa" w:w="120"/>
              <w:bottom w:type="dxa" w:w="80"/>
              <w:right w:type="dxa" w:w="120"/>
            </w:tcMar>
          </w:tcPr>
          <w:p>
            <w:pPr>
              <w:spacing w:after="20" w:line="270"/>
            </w:pPr>
            <w:r>
              <w:rPr>
                <w:b/>
                <w:bCs/>
                <w:color w:val="FFFFFF"/>
                <w:sz w:val="20"/>
                <w:szCs w:val="20"/>
              </w:rPr>
              <w:t xml:space="preserve">Onglet</w:t>
            </w:r>
          </w:p>
        </w:tc>
        <w:tc>
          <w:tcPr>
            <w:tcW w:type="dxa" w:w="4380"/>
            <w:tcBorders>
              <w:top w:val="single" w:color="CCCCCC" w:sz="2"/>
              <w:left w:val="single" w:color="CCCCCC" w:sz="2"/>
              <w:bottom w:val="single" w:color="CCCCCC" w:sz="2"/>
              <w:right w:val="single" w:color="CCCCCC" w:sz="2"/>
            </w:tcBorders>
            <w:shd w:fill="B32025" w:val="clear"/>
            <w:tcMar>
              <w:top w:type="dxa" w:w="80"/>
              <w:left w:type="dxa" w:w="120"/>
              <w:bottom w:type="dxa" w:w="80"/>
              <w:right w:type="dxa" w:w="120"/>
            </w:tcMar>
          </w:tcPr>
          <w:p>
            <w:pPr>
              <w:spacing w:after="20" w:line="270"/>
            </w:pPr>
            <w:r>
              <w:rPr>
                <w:b/>
                <w:bCs/>
                <w:color w:val="FFFFFF"/>
                <w:sz w:val="20"/>
                <w:szCs w:val="20"/>
              </w:rPr>
              <w:t xml:space="preserve">Fonction actuelle</w:t>
            </w:r>
          </w:p>
        </w:tc>
        <w:tc>
          <w:tcPr>
            <w:tcW w:type="dxa" w:w="2780"/>
            <w:tcBorders>
              <w:top w:val="single" w:color="CCCCCC" w:sz="2"/>
              <w:left w:val="single" w:color="CCCCCC" w:sz="2"/>
              <w:bottom w:val="single" w:color="CCCCCC" w:sz="2"/>
              <w:right w:val="single" w:color="CCCCCC" w:sz="2"/>
            </w:tcBorders>
            <w:shd w:fill="B32025" w:val="clear"/>
            <w:tcMar>
              <w:top w:type="dxa" w:w="80"/>
              <w:left w:type="dxa" w:w="120"/>
              <w:bottom w:type="dxa" w:w="80"/>
              <w:right w:type="dxa" w:w="120"/>
            </w:tcMar>
          </w:tcPr>
          <w:p>
            <w:pPr>
              <w:spacing w:after="20" w:line="270"/>
            </w:pPr>
            <w:r>
              <w:rPr>
                <w:b/>
                <w:bCs/>
                <w:color w:val="FFFFFF"/>
                <w:sz w:val="20"/>
                <w:szCs w:val="20"/>
              </w:rPr>
              <w:t xml:space="preserve">Lecture pour le chantier</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Résumé</w:t>
            </w:r>
          </w:p>
        </w:tc>
        <w:tc>
          <w:tcPr>
            <w:tcW w:type="dxa" w:w="43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Compteurs agrégés du réseau et cartes par bibliothèque.</w:t>
            </w:r>
          </w:p>
        </w:tc>
        <w:tc>
          <w:tcPr>
            <w:tcW w:type="dxa" w:w="27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Reste en face administration. La face fédération aura sa propre vue d’accueil, non chiffrée.</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Demandes</w:t>
            </w:r>
          </w:p>
        </w:tc>
        <w:tc>
          <w:tcPr>
            <w:tcW w:type="dxa" w:w="43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Traitement des demandes d’adhésion de nouvelles bibliothèques.</w:t>
            </w:r>
          </w:p>
        </w:tc>
        <w:tc>
          <w:tcPr>
            <w:tcW w:type="dxa" w:w="27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Reste en face administration. Lien possible avec le parrainage par cercle (piste secondaire).</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Bibliothèques</w:t>
            </w:r>
          </w:p>
        </w:tc>
        <w:tc>
          <w:tcPr>
            <w:tcW w:type="dxa" w:w="43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Panorama tabulaire, activation / désactivation.</w:t>
            </w:r>
          </w:p>
        </w:tc>
        <w:tc>
          <w:tcPr>
            <w:tcW w:type="dxa" w:w="27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Reste en face administration.</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Membres</w:t>
            </w:r>
          </w:p>
        </w:tc>
        <w:tc>
          <w:tcPr>
            <w:tcW w:type="dxa" w:w="43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Liste du personnel réseau, en lecture seule.</w:t>
            </w:r>
          </w:p>
        </w:tc>
        <w:tc>
          <w:tcPr>
            <w:tcW w:type="dxa" w:w="27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Reste en face administration.</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Administrateur·rices</w:t>
            </w:r>
          </w:p>
        </w:tc>
        <w:tc>
          <w:tcPr>
            <w:tcW w:type="dxa" w:w="43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Cooptation et retrait collectif des admins réseau.</w:t>
            </w:r>
          </w:p>
        </w:tc>
        <w:tc>
          <w:tcPr>
            <w:tcW w:type="dxa" w:w="27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Reste en face administration — c’est le cœur de la gouvernance technique.</w:t>
            </w:r>
          </w:p>
        </w:tc>
      </w:tr>
    </w:tbl>
    <w:p>
      <w:pPr>
        <w:pStyle w:val="Heading2"/>
      </w:pPr>
      <w:r>
        <w:t xml:space="preserve">2.4 Un point de vigilance technique relevé d’emblée</w:t>
      </w:r>
    </w:p>
    <w:p>
      <w:pPr>
        <w:spacing w:after="120" w:line="312"/>
      </w:pPr>
      <w:r>
        <w:t xml:space="preserve">La page réseau actuelle effectue plusieurs lectures directes en base, ce que la doctrine RPC v3 du 21 mai 2026 tolère pour des lectures simples protégées par RLS. En revanche, elle réalise aussi deux écritures directes : la mise à jour du statut d’une demande d’adhésion, et l’activation / désactivation d’une bibliothèque. Or ces deux opérations sont précisément du type « écriture à effets de bord » — changement d’état, notification, audit — que la doctrine demande de confier à une RPC.</w:t>
      </w:r>
    </w:p>
    <w:p>
      <w:pPr>
        <w:spacing w:after="120" w:line="312"/>
      </w:pPr>
      <w:r>
        <w:rPr>
          <w:b/>
          <w:bCs/>
        </w:rPr>
        <w:t xml:space="preserve">Conséquence pour le chantier : </w:t>
      </w:r>
      <w:r>
        <w:t xml:space="preserve">tous les objets fédératifs nouveaux — adhésion à un cercle, convocation d’assemblée, dépôt et décompte d’une position, publication d’un article de gazette — sont des écritures à effets de bord. Ils devront être conçus RPC-first dès l’origine, sans reproduire le motif d’écriture directe de l’existant. La reprise des deux écritures directes héritées peut être inscrite en dette de chantier.</w:t>
      </w:r>
    </w:p>
    <w:p>
      <w:r>
        <w:br w:type="page"/>
      </w:r>
    </w:p>
    <w:p>
      <w:pPr>
        <w:pStyle w:val="Heading1"/>
      </w:pPr>
      <w:r>
        <w:t xml:space="preserve">3. La primitive fédérative : le cercle</w:t>
      </w:r>
    </w:p>
    <w:p>
      <w:pPr>
        <w:pStyle w:val="Heading2"/>
      </w:pPr>
      <w:r>
        <w:t xml:space="preserve">3.1 Le besoin et le piège</w:t>
      </w:r>
    </w:p>
    <w:p>
      <w:pPr>
        <w:spacing w:after="120" w:line="312"/>
      </w:pPr>
      <w:r>
        <w:t xml:space="preserve">Le besoin initial est clair : permettre aux bibliothèques de se regrouper, qu’il s’agisse de fédérations déjà constituées (FICEDL, RebAL), de proximités géographiques, de communautés linguistiques ou d’affinités politiques. Mais le mot « groupe » charrie un modèle d’arbre — réseau, puis sous-réseaux, puis bibliothèques — qui est exactement ce qu’une fédération anarchiste refuse. La FICEDL et RebAL ne sont pas des sous-ensembles d’AnarBib : ce sont des réalités autonomes, préexistantes, qui survivront à l’outil.</w:t>
      </w:r>
    </w:p>
    <w:p>
      <w:pPr>
        <w:pStyle w:val="Heading2"/>
      </w:pPr>
      <w:r>
        <w:t xml:space="preserve">3.2 Définition</w:t>
      </w:r>
    </w:p>
    <w:p>
      <w:pPr>
        <w:spacing w:after="120" w:line="312"/>
      </w:pPr>
      <w:r>
        <w:rPr>
          <w:b/>
          <w:bCs/>
        </w:rPr>
        <w:t xml:space="preserve">Le cercle </w:t>
      </w:r>
      <w:r>
        <w:t xml:space="preserve">(à arbitrer doctrinalement : círculo, collectif, affinité) est une primitive unique et plate. Une bibliothèque appartient à autant de cercles qu’elle le souhaite, simultanément, sans qu’aucun cercle soit « parent » d’un autre. La structure est un graphe, jamais un arbre.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2"/>
              <w:left w:val="single" w:color="CCCCCC" w:sz="2"/>
              <w:bottom w:val="single" w:color="CCCCCC" w:sz="2"/>
              <w:right w:val="single" w:color="CCCCCC" w:sz="2"/>
            </w:tcBorders>
            <w:shd w:fill="B32025" w:val="clear"/>
            <w:tcMar>
              <w:top w:type="dxa" w:w="80"/>
              <w:left w:type="dxa" w:w="120"/>
              <w:bottom w:type="dxa" w:w="80"/>
              <w:right w:type="dxa" w:w="120"/>
            </w:tcMar>
          </w:tcPr>
          <w:p>
            <w:pPr>
              <w:spacing w:after="20" w:line="270"/>
            </w:pPr>
            <w:r>
              <w:rPr>
                <w:b/>
                <w:bCs/>
                <w:color w:val="FFFFFF"/>
                <w:sz w:val="20"/>
                <w:szCs w:val="20"/>
              </w:rPr>
              <w:t xml:space="preserve">Propriété</w:t>
            </w:r>
          </w:p>
        </w:tc>
        <w:tc>
          <w:tcPr>
            <w:tcW w:type="dxa" w:w="6760"/>
            <w:tcBorders>
              <w:top w:val="single" w:color="CCCCCC" w:sz="2"/>
              <w:left w:val="single" w:color="CCCCCC" w:sz="2"/>
              <w:bottom w:val="single" w:color="CCCCCC" w:sz="2"/>
              <w:right w:val="single" w:color="CCCCCC" w:sz="2"/>
            </w:tcBorders>
            <w:shd w:fill="B32025" w:val="clear"/>
            <w:tcMar>
              <w:top w:type="dxa" w:w="80"/>
              <w:left w:type="dxa" w:w="120"/>
              <w:bottom w:type="dxa" w:w="80"/>
              <w:right w:type="dxa" w:w="120"/>
            </w:tcMar>
          </w:tcPr>
          <w:p>
            <w:pPr>
              <w:spacing w:after="20" w:line="270"/>
            </w:pPr>
            <w:r>
              <w:rPr>
                <w:b/>
                <w:bCs/>
                <w:color w:val="FFFFFF"/>
                <w:sz w:val="20"/>
                <w:szCs w:val="20"/>
              </w:rPr>
              <w:t xml:space="preserve">Définition retenue</w:t>
            </w:r>
          </w:p>
        </w:tc>
      </w:tr>
      <w:tr>
        <w:trPr>
          <w:tblHeader w:val="false"/>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Multi-appartenance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Une bibliothèque peut être membre de plusieurs cercles à la fois. Aucune hiérarchie entre cercles.</w:t>
            </w:r>
          </w:p>
        </w:tc>
      </w:tr>
      <w:tr>
        <w:trPr>
          <w:tblHeader w:val="false"/>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Nature déclarée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Chaque cercle porte une étiquette descriptive : affinitaire, géographique, linguistique, ou fédération constituée. Cette étiquette est purement informative et n’ouvre aucun droit différencié.</w:t>
            </w:r>
          </w:p>
        </w:tc>
      </w:tr>
      <w:tr>
        <w:trPr>
          <w:tblHeader w:val="false"/>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Adhésion mutuelle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Une bibliothèque ne peut être ajoutée à un cercle sans avoir consenti — pendant exact de la cooptation unanime des administrateur·rices réseau.</w:t>
            </w:r>
          </w:p>
        </w:tc>
      </w:tr>
      <w:tr>
        <w:trPr>
          <w:tblHeader w:val="false"/>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Autogestion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Un cercle s’administre lui-même. Le réseau AnarBib fournit l’espace ; il ne peut ni dissoudre un cercle ni en désigner l’animation.</w:t>
            </w:r>
          </w:p>
        </w:tc>
      </w:tr>
      <w:tr>
        <w:trPr>
          <w:tblHeader w:val="false"/>
        </w:trP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Cycle de vie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Un cercle naît, vit, peut entrer en sommeil et être archivé — sans jamais être supprimé unilatéralement par le réseau.</w:t>
            </w:r>
          </w:p>
        </w:tc>
      </w:tr>
    </w:tbl>
    <w:p>
      <w:pPr>
        <w:pStyle w:val="Heading2"/>
      </w:pPr>
      <w:r>
        <w:t xml:space="preserve">3.3 Le garde-fou central : un cercle n’est pas un périmètre de droits</w:t>
      </w:r>
    </w:p>
    <w:p>
      <w:pPr>
        <w:spacing w:after="120" w:line="312"/>
      </w:pPr>
      <w:r>
        <w:t xml:space="preserve">C’est le point doctrinal le plus important du chantier, et il doit figurer en toutes lettres dans la spécification. Si un cercle permettait à ses bibliothèques de « voir plus » que les bibliothèques hors cercle, on réintroduirait une hiérarchie de privilège par la porte de derrière. Le cercle est un objet social et documentaire ; il n’est pas un objet de permission RLS.</w:t>
      </w:r>
    </w:p>
    <w:p>
      <w:pPr>
        <w:pBdr>
          <w:left w:val="single" w:color="B32025" w:sz="18" w:space="12"/>
        </w:pBdr>
        <w:spacing w:after="160" w:before="120" w:line="312"/>
        <w:ind w:left="360"/>
      </w:pPr>
      <w:r>
        <w:rPr>
          <w:i/>
          <w:iCs/>
          <w:color w:val="595959"/>
        </w:rPr>
        <w:t xml:space="preserve">Règle : aucune politique de sécurité ne doit accorder un droit « parce que les deux bibliothèques partagent un cercle ». Le cercle organise la visibilité de la vie collective, jamais l’accès aux données.</w:t>
      </w:r>
    </w:p>
    <w:p>
      <w:pPr>
        <w:spacing w:after="120" w:line="312"/>
      </w:pPr>
      <w:r>
        <w:rPr>
          <w:b/>
          <w:bCs/>
        </w:rPr>
        <w:t xml:space="preserve">Exception unique et réfléchie : </w:t>
      </w:r>
      <w:r>
        <w:t xml:space="preserve">la mutualisation de catalogue (section 6.1). Le cercle peut servir de cran intermédiaire de visibilité documentaire entre « privé » et « tout le réseau » — mais ce choix appartient à chaque bibliothèque, pour son propre catalogue, et ne se déduit jamais automatiquement de l’appartenance au cercle.</w:t>
      </w:r>
    </w:p>
    <w:p>
      <w:pPr>
        <w:pStyle w:val="Heading2"/>
      </w:pPr>
      <w:r>
        <w:t xml:space="preserve">3.4 Ce que le cercle rend possible</w:t>
      </w:r>
    </w:p>
    <w:p>
      <w:pPr>
        <w:pStyle w:val="ListParagraph"/>
        <w:numPr>
          <w:ilvl w:val="0"/>
          <w:numId w:val="2"/>
        </w:numPr>
        <w:spacing w:after="60" w:line="300"/>
      </w:pPr>
      <w:r>
        <w:t xml:space="preserve">Se reconnaître : une bibliothèque voit avec qui elle fait fédération, et sur quelles bases.</w:t>
      </w:r>
    </w:p>
    <w:p>
      <w:pPr>
        <w:pStyle w:val="ListParagraph"/>
        <w:numPr>
          <w:ilvl w:val="0"/>
          <w:numId w:val="2"/>
        </w:numPr>
        <w:spacing w:after="60" w:line="300"/>
      </w:pPr>
      <w:r>
        <w:t xml:space="preserve">Adresser un bulletin ou une convocation à une échelle intermédiaire — un cercle — et non au réseau entier ou à une seule bibliothèque.</w:t>
      </w:r>
    </w:p>
    <w:p>
      <w:pPr>
        <w:pStyle w:val="ListParagraph"/>
        <w:numPr>
          <w:ilvl w:val="0"/>
          <w:numId w:val="2"/>
        </w:numPr>
        <w:spacing w:after="60" w:line="300"/>
      </w:pPr>
      <w:r>
        <w:t xml:space="preserve">Servir de cadre de confiance pour la circulation inter-bibliothèques et la mutualisation de catalogue (pistes secondaires).</w:t>
      </w:r>
    </w:p>
    <w:p>
      <w:pPr>
        <w:pStyle w:val="ListParagraph"/>
        <w:numPr>
          <w:ilvl w:val="0"/>
          <w:numId w:val="2"/>
        </w:numPr>
        <w:spacing w:after="60" w:line="300"/>
      </w:pPr>
      <w:r>
        <w:t xml:space="preserve">Accueillir une nouvelle bibliothèque par parrainage au sein de son cercle géographique ou linguistique.</w:t>
      </w:r>
    </w:p>
    <w:p>
      <w:r>
        <w:br w:type="page"/>
      </w:r>
    </w:p>
    <w:p>
      <w:pPr>
        <w:pStyle w:val="Heading1"/>
      </w:pPr>
      <w:r>
        <w:t xml:space="preserve">4. L’assemblée générale des bibliothèques</w:t>
      </w:r>
    </w:p>
    <w:p>
      <w:pPr>
        <w:pStyle w:val="Heading2"/>
      </w:pPr>
      <w:r>
        <w:t xml:space="preserve">4.1 Pourquoi c’est l’objet le plus structurant</w:t>
      </w:r>
    </w:p>
    <w:p>
      <w:pPr>
        <w:spacing w:after="120" w:line="312"/>
      </w:pPr>
      <w:r>
        <w:t xml:space="preserve">Une fédération sans organe délibératif n’est qu’un annuaire. L’assemblée générale est donc, de tous les objets de ce chantier, le plus important politiquement — et le plus délicat à concevoir, parce qu’une assemblée en ligne mal pensée se transforme vite soit en forum permanent illisible, soit en chambre d’enregistrement déserte.</w:t>
      </w:r>
    </w:p>
    <w:p>
      <w:pPr>
        <w:pStyle w:val="Heading2"/>
      </w:pPr>
      <w:r>
        <w:t xml:space="preserve">4.2 Un objet à cycle de vie, pas un forum</w:t>
      </w:r>
    </w:p>
    <w:p>
      <w:pPr>
        <w:spacing w:after="120" w:line="312"/>
      </w:pPr>
      <w:r>
        <w:t xml:space="preserve">L’assemblée générale n’est pas un espace de discussion permanent. C’est un objet à durée déterminée, avec un cycle de vie strict — directement inspiré de la grammaire de cooptation des administrateur·rices réseau (délais absolus, quorum, motivations obligatoires).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2"/>
              <w:left w:val="single" w:color="CCCCCC" w:sz="2"/>
              <w:bottom w:val="single" w:color="CCCCCC" w:sz="2"/>
              <w:right w:val="single" w:color="CCCCCC" w:sz="2"/>
            </w:tcBorders>
            <w:shd w:fill="B32025" w:val="clear"/>
            <w:tcMar>
              <w:top w:type="dxa" w:w="80"/>
              <w:left w:type="dxa" w:w="120"/>
              <w:bottom w:type="dxa" w:w="80"/>
              <w:right w:type="dxa" w:w="120"/>
            </w:tcMar>
          </w:tcPr>
          <w:p>
            <w:pPr>
              <w:spacing w:after="20" w:line="270"/>
            </w:pPr>
            <w:r>
              <w:rPr>
                <w:b/>
                <w:bCs/>
                <w:color w:val="FFFFFF"/>
                <w:sz w:val="20"/>
                <w:szCs w:val="20"/>
              </w:rPr>
              <w:t xml:space="preserve">Phase</w:t>
            </w:r>
          </w:p>
        </w:tc>
        <w:tc>
          <w:tcPr>
            <w:tcW w:type="dxa" w:w="7160"/>
            <w:tcBorders>
              <w:top w:val="single" w:color="CCCCCC" w:sz="2"/>
              <w:left w:val="single" w:color="CCCCCC" w:sz="2"/>
              <w:bottom w:val="single" w:color="CCCCCC" w:sz="2"/>
              <w:right w:val="single" w:color="CCCCCC" w:sz="2"/>
            </w:tcBorders>
            <w:shd w:fill="B32025" w:val="clear"/>
            <w:tcMar>
              <w:top w:type="dxa" w:w="80"/>
              <w:left w:type="dxa" w:w="120"/>
              <w:bottom w:type="dxa" w:w="80"/>
              <w:right w:type="dxa" w:w="120"/>
            </w:tcMar>
          </w:tcPr>
          <w:p>
            <w:pPr>
              <w:spacing w:after="20" w:line="270"/>
            </w:pPr>
            <w:r>
              <w:rPr>
                <w:b/>
                <w:bCs/>
                <w:color w:val="FFFFFF"/>
                <w:sz w:val="20"/>
                <w:szCs w:val="20"/>
              </w:rPr>
              <w:t xml:space="preserve">Description</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Convocation</w:t>
            </w:r>
          </w:p>
        </w:tc>
        <w:tc>
          <w:tcPr>
            <w:tcW w:type="dxa" w:w="7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Une assemblée est convoquée pour une échéance précise, avec un objet annoncé. La convocation est notifiée à toutes les bibliothèques concernées.</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Ordre du jour ouvert</w:t>
            </w:r>
          </w:p>
        </w:tc>
        <w:tc>
          <w:tcPr>
            <w:tcW w:type="dxa" w:w="7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Pendant une fenêtre déterminée, les bibliothèques peuvent amender l’ordre du jour : ajouter un point, joindre un document préparatoire.</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Délibération</w:t>
            </w:r>
          </w:p>
        </w:tc>
        <w:tc>
          <w:tcPr>
            <w:tcW w:type="dxa" w:w="7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Fenêtre d’échange sur chaque point. La discussion est bornée dans le temps et rattachée à un point précis, jamais libre et infinie.</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Décision</w:t>
            </w:r>
          </w:p>
        </w:tc>
        <w:tc>
          <w:tcPr>
            <w:tcW w:type="dxa" w:w="7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Fenêtre de prise de position des bibliothèques sur les points engageants. Le résultat est calculé selon le quorum retenu.</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Archivage</w:t>
            </w:r>
          </w:p>
        </w:tc>
        <w:tc>
          <w:tcPr>
            <w:tcW w:type="dxa" w:w="7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À la clôture, un compte rendu est figé et versé à la mémoire du réseau (section 6.6). L’assemblée close devient une archive consultable.</w:t>
            </w:r>
          </w:p>
        </w:tc>
      </w:tr>
    </w:tbl>
    <w:p>
      <w:pPr>
        <w:pStyle w:val="Heading2"/>
      </w:pPr>
      <w:r>
        <w:t xml:space="preserve">4.3 Trois questions politiques à trancher dans la spécification</w:t>
      </w:r>
    </w:p>
    <w:p>
      <w:pPr>
        <w:spacing w:after="120" w:line="312"/>
      </w:pPr>
      <w:r>
        <w:t xml:space="preserve">Le présent dossier identifie ces questions et propose une orientation par défaut, mais la décision finale relève de la spécification dédiée et, le cas échéant, d’une délibération du projet.</w:t>
      </w:r>
    </w:p>
    <w:p>
      <w:pPr>
        <w:pStyle w:val="Heading3"/>
      </w:pPr>
      <w:r>
        <w:t xml:space="preserve">4.3.1 Qui vote ?</w:t>
      </w:r>
    </w:p>
    <w:p>
      <w:pPr>
        <w:spacing w:after="120" w:line="312"/>
      </w:pPr>
      <w:r>
        <w:t xml:space="preserve">Le fédéralisme classique pose « une bibliothèque, une voix » : la fédération fédère des collectifs, pas des individus. Cela suppose toutefois que chaque bibliothèque ait délibéré en interne avant de porter sa voix. AnarBib peut soutenir ce double étage : un vote interne à la bibliothèque, réutilisant la grammaire de gouvernance d’équipe déjà en place, dont la synthèse remonte ensuite comme position de la bibliothèque à l’assemblée réseau.</w:t>
      </w:r>
    </w:p>
    <w:p>
      <w:pPr>
        <w:spacing w:after="120" w:line="312"/>
      </w:pPr>
      <w:r>
        <w:rPr>
          <w:b/>
          <w:bCs/>
        </w:rPr>
        <w:t xml:space="preserve">Orientation par défaut : </w:t>
      </w:r>
      <w:r>
        <w:t xml:space="preserve">une bibliothèque, une voix, avec étage interne optionnel selon l’organisation de chaque collectif.</w:t>
      </w:r>
    </w:p>
    <w:p>
      <w:pPr>
        <w:pStyle w:val="Heading3"/>
      </w:pPr>
      <w:r>
        <w:t xml:space="preserve">4.3.2 Quel quorum, et quelle place pour l’abstention ?</w:t>
      </w:r>
    </w:p>
    <w:p>
      <w:pPr>
        <w:spacing w:after="120" w:line="312"/>
      </w:pPr>
      <w:r>
        <w:t xml:space="preserve">Une fédération anarchiste préfère souvent le consentement — l’absence d’objection motivée — au vote majoritaire. Le projet dispose déjà d’un quorum nuancé dans la cooptation. L’assemblée mérite la même finesse, avec une distinction nette entre deux natures de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2"/>
              <w:left w:val="single" w:color="CCCCCC" w:sz="2"/>
              <w:bottom w:val="single" w:color="CCCCCC" w:sz="2"/>
              <w:right w:val="single" w:color="CCCCCC" w:sz="2"/>
            </w:tcBorders>
            <w:shd w:fill="B32025" w:val="clear"/>
            <w:tcMar>
              <w:top w:type="dxa" w:w="80"/>
              <w:left w:type="dxa" w:w="120"/>
              <w:bottom w:type="dxa" w:w="80"/>
              <w:right w:type="dxa" w:w="120"/>
            </w:tcMar>
          </w:tcPr>
          <w:p>
            <w:pPr>
              <w:spacing w:after="20" w:line="270"/>
            </w:pPr>
            <w:r>
              <w:rPr>
                <w:b/>
                <w:bCs/>
                <w:color w:val="FFFFFF"/>
                <w:sz w:val="20"/>
                <w:szCs w:val="20"/>
              </w:rPr>
              <w:t xml:space="preserve">Nature du point</w:t>
            </w:r>
          </w:p>
        </w:tc>
        <w:tc>
          <w:tcPr>
            <w:tcW w:type="dxa" w:w="6360"/>
            <w:tcBorders>
              <w:top w:val="single" w:color="CCCCCC" w:sz="2"/>
              <w:left w:val="single" w:color="CCCCCC" w:sz="2"/>
              <w:bottom w:val="single" w:color="CCCCCC" w:sz="2"/>
              <w:right w:val="single" w:color="CCCCCC" w:sz="2"/>
            </w:tcBorders>
            <w:shd w:fill="B32025" w:val="clear"/>
            <w:tcMar>
              <w:top w:type="dxa" w:w="80"/>
              <w:left w:type="dxa" w:w="120"/>
              <w:bottom w:type="dxa" w:w="80"/>
              <w:right w:type="dxa" w:w="120"/>
            </w:tcMar>
          </w:tcPr>
          <w:p>
            <w:pPr>
              <w:spacing w:after="20" w:line="270"/>
            </w:pPr>
            <w:r>
              <w:rPr>
                <w:b/>
                <w:bCs/>
                <w:color w:val="FFFFFF"/>
                <w:sz w:val="20"/>
                <w:szCs w:val="20"/>
              </w:rPr>
              <w:t xml:space="preserve">Régime proposé</w:t>
            </w:r>
          </w:p>
        </w:tc>
      </w:tr>
      <w:tr>
        <w:trPr>
          <w:tblHeader w:val="false"/>
        </w:trP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Point engageant</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Régime de consentement : la décision est adoptée sauf objection motivée. Toute objection ouvre une reprise de délibération.</w:t>
            </w:r>
          </w:p>
        </w:tc>
      </w:tr>
      <w:tr>
        <w:trPr>
          <w:tblHeader w:val="false"/>
        </w:trP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Point consultatif</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Simple sondage d’opinion : on recueille les positions sans qu’aucune n’emporte de décision.</w:t>
            </w:r>
          </w:p>
        </w:tc>
      </w:tr>
    </w:tbl>
    <w:p>
      <w:pPr>
        <w:pStyle w:val="Heading3"/>
      </w:pPr>
      <w:r>
        <w:t xml:space="preserve">4.3.3 Mandat impératif ou représentatif ?</w:t>
      </w:r>
    </w:p>
    <w:p>
      <w:pPr>
        <w:spacing w:after="120" w:line="312"/>
      </w:pPr>
      <w:r>
        <w:t xml:space="preserve">Si une bibliothèque délègue une personne à l’assemblée, cette personne porte-t-elle un mandat précis — mandat impératif — ou décide-t-elle au nom de sa bibliothèque selon son jugement — mandat représentatif ? Ce choix a des conséquences directes sur l’interface : un mandat impératif suppose que la position de la bibliothèque soit fixée avant l’assemblée et simplement transmise. Il doit être tranché explicitement dans la spécification.</w:t>
      </w:r>
    </w:p>
    <w:p>
      <w:pPr>
        <w:pStyle w:val="Heading2"/>
      </w:pPr>
      <w:r>
        <w:t xml:space="preserve">4.4 Le garde-fou : l’assemblée ne contraint jamais</w:t>
      </w:r>
    </w:p>
    <w:p>
      <w:pPr>
        <w:spacing w:after="120" w:line="312"/>
      </w:pPr>
      <w:r>
        <w:t xml:space="preserve">Une décision d’assemblée générale est une recommandation fédérale qu’une bibliothèque applique ou non. L’assemblée ne dispose d’aucun moyen de contraindre une bibliothèque : ni sanction, ni exclusion automatique, ni modification imposée d’un paramétrage local. L’interface doit rendre visible et lisible ce caractère non contraignant — sans quoi l’outil fabriquerait une autorité que la politique du projet rejette.</w:t>
      </w:r>
    </w:p>
    <w:p>
      <w:pPr>
        <w:pStyle w:val="Heading2"/>
      </w:pPr>
      <w:r>
        <w:t xml:space="preserve">4.5 Échelle de l’assemblée</w:t>
      </w:r>
    </w:p>
    <w:p>
      <w:pPr>
        <w:spacing w:after="120" w:line="312"/>
      </w:pPr>
      <w:r>
        <w:t xml:space="preserve">Le cercle (section 3) ouvre une possibilité utile : toutes les assemblées ne sont pas des assemblées du réseau entier. Un cercle peut tenir sa propre assemblée, à son échelle. La spécification distinguera donc l’assemblée réseau et l’assemblée de cercle, qui partagent le même cycle de vie mais diffèrent par leur périmètre de convocation.</w:t>
      </w:r>
    </w:p>
    <w:p>
      <w:r>
        <w:br w:type="page"/>
      </w:r>
    </w:p>
    <w:p>
      <w:pPr>
        <w:pStyle w:val="Heading1"/>
      </w:pPr>
      <w:r>
        <w:t xml:space="preserve">5. Le bulletin et la gazette : deux objets, pas un</w:t>
      </w:r>
    </w:p>
    <w:p>
      <w:pPr>
        <w:pStyle w:val="Heading2"/>
      </w:pPr>
      <w:r>
        <w:t xml:space="preserve">5.1 Pourquoi distinguer</w:t>
      </w:r>
    </w:p>
    <w:p>
      <w:pPr>
        <w:spacing w:after="120" w:line="312"/>
      </w:pPr>
      <w:r>
        <w:t xml:space="preserve">Construire une lettre d’information à partir des rapports hebdomadaires est une bonne idée de tuyauterie — la synthèse hebdomadaire réseau existe déjà. Mais une lettre purement automatique, simple agrégat de statistiques, risque d’être tiède et de n’être lue par personne. La proposition du dossier est donc de séparer nettement deux objets de nature différente.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2"/>
              <w:left w:val="single" w:color="CCCCCC" w:sz="2"/>
              <w:bottom w:val="single" w:color="CCCCCC" w:sz="2"/>
              <w:right w:val="single" w:color="CCCCCC" w:sz="2"/>
            </w:tcBorders>
            <w:shd w:fill="B32025" w:val="clear"/>
            <w:tcMar>
              <w:top w:type="dxa" w:w="80"/>
              <w:left w:type="dxa" w:w="120"/>
              <w:bottom w:type="dxa" w:w="80"/>
              <w:right w:type="dxa" w:w="120"/>
            </w:tcMar>
          </w:tcPr>
          <w:p>
            <w:pPr>
              <w:spacing w:after="20" w:line="270"/>
            </w:pPr>
            <w:r>
              <w:rPr>
                <w:b/>
                <w:bCs/>
                <w:color w:val="FFFFFF"/>
                <w:sz w:val="20"/>
                <w:szCs w:val="20"/>
              </w:rPr>
              <w:t xml:space="preserve"/>
            </w:r>
          </w:p>
        </w:tc>
        <w:tc>
          <w:tcPr>
            <w:tcW w:type="dxa" w:w="3580"/>
            <w:tcBorders>
              <w:top w:val="single" w:color="CCCCCC" w:sz="2"/>
              <w:left w:val="single" w:color="CCCCCC" w:sz="2"/>
              <w:bottom w:val="single" w:color="CCCCCC" w:sz="2"/>
              <w:right w:val="single" w:color="CCCCCC" w:sz="2"/>
            </w:tcBorders>
            <w:shd w:fill="B32025" w:val="clear"/>
            <w:tcMar>
              <w:top w:type="dxa" w:w="80"/>
              <w:left w:type="dxa" w:w="120"/>
              <w:bottom w:type="dxa" w:w="80"/>
              <w:right w:type="dxa" w:w="120"/>
            </w:tcMar>
          </w:tcPr>
          <w:p>
            <w:pPr>
              <w:spacing w:after="20" w:line="270"/>
            </w:pPr>
            <w:r>
              <w:rPr>
                <w:b/>
                <w:bCs/>
                <w:color w:val="FFFFFF"/>
                <w:sz w:val="20"/>
                <w:szCs w:val="20"/>
              </w:rPr>
              <w:t xml:space="preserve">Bulletin de vie du réseau</w:t>
            </w:r>
          </w:p>
        </w:tc>
        <w:tc>
          <w:tcPr>
            <w:tcW w:type="dxa" w:w="3580"/>
            <w:tcBorders>
              <w:top w:val="single" w:color="CCCCCC" w:sz="2"/>
              <w:left w:val="single" w:color="CCCCCC" w:sz="2"/>
              <w:bottom w:val="single" w:color="CCCCCC" w:sz="2"/>
              <w:right w:val="single" w:color="CCCCCC" w:sz="2"/>
            </w:tcBorders>
            <w:shd w:fill="B32025" w:val="clear"/>
            <w:tcMar>
              <w:top w:type="dxa" w:w="80"/>
              <w:left w:type="dxa" w:w="120"/>
              <w:bottom w:type="dxa" w:w="80"/>
              <w:right w:type="dxa" w:w="120"/>
            </w:tcMar>
          </w:tcPr>
          <w:p>
            <w:pPr>
              <w:spacing w:after="20" w:line="270"/>
            </w:pPr>
            <w:r>
              <w:rPr>
                <w:b/>
                <w:bCs/>
                <w:color w:val="FFFFFF"/>
                <w:sz w:val="20"/>
                <w:szCs w:val="20"/>
              </w:rPr>
              <w:t xml:space="preserve">Gazette militante</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Nature</w:t>
            </w:r>
          </w:p>
        </w:tc>
        <w:tc>
          <w:tcPr>
            <w:tcW w:type="dxa" w:w="35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Automatique et factuel.</w:t>
            </w:r>
          </w:p>
        </w:tc>
        <w:tc>
          <w:tcPr>
            <w:tcW w:type="dxa" w:w="35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Éditorialisé et écrit.</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Source</w:t>
            </w:r>
          </w:p>
        </w:tc>
        <w:tc>
          <w:tcPr>
            <w:tcW w:type="dxa" w:w="35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Dérivé des rapports hebdomadaires et des événements du réseau.</w:t>
            </w:r>
          </w:p>
        </w:tc>
        <w:tc>
          <w:tcPr>
            <w:tcW w:type="dxa" w:w="35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Contributions volontaires des bibliothèques.</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Contenu</w:t>
            </w:r>
          </w:p>
        </w:tc>
        <w:tc>
          <w:tcPr>
            <w:tcW w:type="dxa" w:w="35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Nouvelles bibliothèques, nouveaux cercles, assemblées à venir, grands chantiers de catalogage.</w:t>
            </w:r>
          </w:p>
        </w:tc>
        <w:tc>
          <w:tcPr>
            <w:tcW w:type="dxa" w:w="35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Recensions, comptes rendus d’événements, notes de lecture, textes de débat.</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Rythme</w:t>
            </w:r>
          </w:p>
        </w:tc>
        <w:tc>
          <w:tcPr>
            <w:tcW w:type="dxa" w:w="35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Hebdomadaire ou bimensuel, régulier et sans effort.</w:t>
            </w:r>
          </w:p>
        </w:tc>
        <w:tc>
          <w:tcPr>
            <w:tcW w:type="dxa" w:w="35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Mensuel ou au fil des contributions.</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Fonction</w:t>
            </w:r>
          </w:p>
        </w:tc>
        <w:tc>
          <w:tcPr>
            <w:tcW w:type="dxa" w:w="35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Informer et coordonner.</w:t>
            </w:r>
          </w:p>
        </w:tc>
        <w:tc>
          <w:tcPr>
            <w:tcW w:type="dxa" w:w="35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Constituer le réseau en sujet collectif, lui donner une voix.</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Effort de maintenance</w:t>
            </w:r>
          </w:p>
        </w:tc>
        <w:tc>
          <w:tcPr>
            <w:tcW w:type="dxa" w:w="35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Quasi nul une fois en place.</w:t>
            </w:r>
          </w:p>
        </w:tc>
        <w:tc>
          <w:tcPr>
            <w:tcW w:type="dxa" w:w="35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Réel : suppose un engagement militant régulier.</w:t>
            </w:r>
          </w:p>
        </w:tc>
      </w:tr>
    </w:tbl>
    <w:p>
      <w:pPr>
        <w:pStyle w:val="Heading2"/>
      </w:pPr>
      <w:r>
        <w:t xml:space="preserve">5.2 Le bulletin de vie du réseau</w:t>
      </w:r>
    </w:p>
    <w:p>
      <w:pPr>
        <w:spacing w:after="120" w:line="312"/>
      </w:pPr>
      <w:r>
        <w:t xml:space="preserve">Objet léger, à mettre en place en premier. Il agrège ce que le réseau produit déjà : arrivées de bibliothèques, créations de cercles, convocations d’assemblées, jalons de catalogage notables. Sa valeur est la régularité et la fiabilité, pas l’éclat. Techniquement, il prolonge la synthèse hebdomadaire réseau existante : il s’agit surtout de lui donner une mise en forme lisible et une destination — toutes les personnes rattachées aux bibliothèques membres, et non les seul·es administrateur·rices.</w:t>
      </w:r>
    </w:p>
    <w:p>
      <w:pPr>
        <w:pStyle w:val="Heading2"/>
      </w:pPr>
      <w:r>
        <w:t xml:space="preserve">5.3 La gazette militante</w:t>
      </w:r>
    </w:p>
    <w:p>
      <w:pPr>
        <w:spacing w:after="120" w:line="312"/>
      </w:pPr>
      <w:r>
        <w:t xml:space="preserve">Objet plus ambitieux, qui transforme le réseau en voix collective. La gazette n’est pas générée : elle est écrite par les bibliothèques. C’est, fonctionnellement, un petit module éditorial collaboratif, qui peut réutiliser la grammaire de flux éditorial déjà éprouvée du côté de la catalogação : proposition d’un article, relecture par une autre bibliothèque, publication. La distinction avec le bulletin est politique autant que technique : l’automatique informe, l’éditorialisé constitue un sujet.</w:t>
      </w:r>
    </w:p>
    <w:p>
      <w:pPr>
        <w:spacing w:after="120" w:line="312"/>
      </w:pPr>
      <w:r>
        <w:rPr>
          <w:b/>
          <w:bCs/>
        </w:rPr>
        <w:t xml:space="preserve">Garde-fou éditorial : </w:t>
      </w:r>
      <w:r>
        <w:t xml:space="preserve">la gazette ne doit pas devenir un organe de ligne. La relecture est une relecture de présentation et de tenue, pas un comité de validation politique. La pluralité des points de vue des bibliothèques doit pouvoir s’y exprimer, y compris le désaccord.</w:t>
      </w:r>
    </w:p>
    <w:p>
      <w:r>
        <w:br w:type="page"/>
      </w:r>
    </w:p>
    <w:p>
      <w:pPr>
        <w:pStyle w:val="Heading1"/>
      </w:pPr>
      <w:r>
        <w:t xml:space="preserve">6. Pistes secondaires, hiérarchisées par force fédérative</w:t>
      </w:r>
    </w:p>
    <w:p>
      <w:pPr>
        <w:spacing w:after="120" w:line="312"/>
      </w:pPr>
      <w:r>
        <w:t xml:space="preserve">Les objets ci-dessous complètent la vision. Ils sont présentés du plus structurant au plus « confort ». Chacun est aussi caractérisé par son effort de maintenance collective — critère décisif pour la séquence d’implémentation (section 8).</w:t>
      </w:r>
    </w:p>
    <w:p>
      <w:pPr>
        <w:pStyle w:val="Heading2"/>
      </w:pPr>
      <w:r>
        <w:t xml:space="preserve">6.1 La mutualisation de catalogue à l’échelle du cercle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Force fédérative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Élevée</w:t>
            </w:r>
          </w:p>
        </w:tc>
      </w:tr>
      <w:tr>
        <w:trPr>
          <w:tblHeader w:val="false"/>
        </w:trP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Effort de maintenance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Faible (paramétrage ponctuel par bibliothèque)</w:t>
            </w:r>
          </w:p>
        </w:tc>
      </w:tr>
    </w:tbl>
    <w:p>
      <w:pPr>
        <w:spacing w:after="80"/>
      </w:pPr>
      <w:r>
        <w:t xml:space="preserve"/>
      </w:r>
    </w:p>
    <w:p>
      <w:pPr>
        <w:spacing w:after="120" w:line="312"/>
      </w:pPr>
      <w:r>
        <w:t xml:space="preserve">C’est la seule exception légitime au principe « cercle ≠ périmètre de droits ». Une bibliothèque peut choisir d’exposer son catalogue aux bibliothèques d’un cercle donné — et pas au réseau entier. L’infrastructure existe déjà : helper de visibilité unifié, niveaux de visibilité, statut de mutualisation prévu par le chantier catalogação. Le cercle ajoute simplement un cran intermédiaire entre « privé » et « tout le réseau ». C’est profondément cohérent avec le fédéralisme : on partage d’abord avec ses affinités.</w:t>
      </w:r>
    </w:p>
    <w:p>
      <w:pPr>
        <w:pStyle w:val="Heading2"/>
      </w:pPr>
      <w:r>
        <w:t xml:space="preserve">6.2 La circulation inter-bibliothèques portée par le cercle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Force fédérative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Élevée</w:t>
            </w:r>
          </w:p>
        </w:tc>
      </w:tr>
      <w:tr>
        <w:trPr>
          <w:tblHeader w:val="false"/>
        </w:trP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Effort de maintenance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Élevé (chantier lourd, workflow complet)</w:t>
            </w:r>
          </w:p>
        </w:tc>
      </w:tr>
    </w:tbl>
    <w:p>
      <w:pPr>
        <w:spacing w:after="80"/>
      </w:pPr>
      <w:r>
        <w:t xml:space="preserve"/>
      </w:r>
    </w:p>
    <w:p>
      <w:pPr>
        <w:spacing w:after="120" w:line="312"/>
      </w:pPr>
      <w:r>
        <w:t xml:space="preserve">Le chantier catalogação prépare déjà les fondations documentaires : bibliothèque propriétaire et détentrice, mode d’entrée, caractère mutualisable. Le cercle leur donne leur maille naturelle : il devient le cadre de confiance dans lequel un prêt entre bibliothèques s’organise sans négociation bilatérale à chaque fois. Une bibliothèque accepte d’avance de prêter à son cercle. C’est un chantier à part entière, à ouvrir ultérieurement.</w:t>
      </w:r>
    </w:p>
    <w:p>
      <w:pPr>
        <w:pStyle w:val="Heading2"/>
      </w:pPr>
      <w:r>
        <w:t xml:space="preserve">6.3 La banque d’entraide et de compétences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Force fédérative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Élevée (symboliquement)</w:t>
            </w:r>
          </w:p>
        </w:tc>
      </w:tr>
      <w:tr>
        <w:trPr>
          <w:tblHeader w:val="false"/>
        </w:trP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Effort de maintenance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Moyen (animation légère mais réelle)</w:t>
            </w:r>
          </w:p>
        </w:tc>
      </w:tr>
    </w:tbl>
    <w:p>
      <w:pPr>
        <w:spacing w:after="80"/>
      </w:pPr>
      <w:r>
        <w:t xml:space="preserve"/>
      </w:r>
    </w:p>
    <w:p>
      <w:pPr>
        <w:spacing w:after="120" w:line="312"/>
      </w:pPr>
      <w:r>
        <w:t xml:space="preserve">Une fédération vit aussi de solidarité matérielle. Un répertoire d’offres et de besoins — qui sait réparer une reliure, qui dispose d’un scanner grand format, qui peut accueillir une caisse de doublons, qui cherche un savoir-faire — transforme le réseau en commun pratique. C’est léger techniquement et très fort symboliquement : la fédération devient un lieu d’entraide concrète, pas seulement de délibération.</w:t>
      </w:r>
    </w:p>
    <w:p>
      <w:pPr>
        <w:pStyle w:val="Heading2"/>
      </w:pPr>
      <w:r>
        <w:t xml:space="preserve">6.4 L’autorité d’indexation partagée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Force fédérative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Élevée</w:t>
            </w:r>
          </w:p>
        </w:tc>
      </w:tr>
      <w:tr>
        <w:trPr>
          <w:tblHeader w:val="false"/>
        </w:trP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Effort de maintenance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Moyen (co-construction continue)</w:t>
            </w:r>
          </w:p>
        </w:tc>
      </w:tr>
    </w:tbl>
    <w:p>
      <w:pPr>
        <w:spacing w:after="80"/>
      </w:pPr>
      <w:r>
        <w:t xml:space="preserve"/>
      </w:r>
    </w:p>
    <w:p>
      <w:pPr>
        <w:spacing w:after="120" w:line="312"/>
      </w:pPr>
      <w:r>
        <w:t xml:space="preserve">Les bibliothèques anarchistes emploient des vocabulaires de sujets spécifiques, et politiquement chargés. Un référentiel de sujets co-construit à l’échelle du réseau — une bibliothèque propose un descripteur, les autres l’adoptent ou non — éviterait que chacune réinvente sa taxonomie. C’est le pendant fédératif des autorités déjà évoquées dans le projet, et c’est doctrinalement très aligné : le langage est un commun.</w:t>
      </w:r>
    </w:p>
    <w:p>
      <w:pPr>
        <w:pStyle w:val="Heading2"/>
      </w:pPr>
      <w:r>
        <w:t xml:space="preserve">6.5 La carte du réseau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Force fédérative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Moyenne</w:t>
            </w:r>
          </w:p>
        </w:tc>
      </w:tr>
      <w:tr>
        <w:trPr>
          <w:tblHeader w:val="false"/>
        </w:trP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Effort de maintenance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Faible</w:t>
            </w:r>
          </w:p>
        </w:tc>
      </w:tr>
    </w:tbl>
    <w:p>
      <w:pPr>
        <w:spacing w:after="80"/>
      </w:pPr>
      <w:r>
        <w:t xml:space="preserve"/>
      </w:r>
    </w:p>
    <w:p>
      <w:pPr>
        <w:spacing w:after="120" w:line="312"/>
      </w:pPr>
      <w:r>
        <w:t xml:space="preserve">Une représentation cartographique, et/ou par cercles, des bibliothèques membres — dans l’application comme, à terme, sur le site public. Pour une fédération, se voir est déjà un acte politique. Réserve importante : certaines bibliothèques militantes peuvent vouloir rester non localisées, pour des raisons de sécurité. La carte doit donc respecter un niveau de visibilité choisi par chaque bibliothèque — ce que l’infrastructure de visibilité sait déjà faire.</w:t>
      </w:r>
    </w:p>
    <w:p>
      <w:pPr>
        <w:pStyle w:val="Heading2"/>
      </w:pPr>
      <w:r>
        <w:t xml:space="preserve">6.6 La mémoire du réseau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Force fédérative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Moyenne</w:t>
            </w:r>
          </w:p>
        </w:tc>
      </w:tr>
      <w:tr>
        <w:trPr>
          <w:tblHeader w:val="false"/>
        </w:trP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Effort de maintenance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Faible</w:t>
            </w:r>
          </w:p>
        </w:tc>
      </w:tr>
    </w:tbl>
    <w:p>
      <w:pPr>
        <w:spacing w:after="80"/>
      </w:pPr>
      <w:r>
        <w:t xml:space="preserve"/>
      </w:r>
    </w:p>
    <w:p>
      <w:pPr>
        <w:spacing w:after="120" w:line="312"/>
      </w:pPr>
      <w:r>
        <w:t xml:space="preserve">Au-delà de la gazette : un espace d’archivage des comptes rendus d’assemblées, des chartes de cercles, des textes de débat. Une fédération sans archive perd sa continuité et sa capacité à se transmettre. Module modeste, mais à fort effet de durée — et destination naturelle des comptes rendus d’assemblée (section 4.2).</w:t>
      </w:r>
    </w:p>
    <w:p>
      <w:pPr>
        <w:pStyle w:val="Heading2"/>
      </w:pPr>
      <w:r>
        <w:t xml:space="preserve">6.7 L’accueil mutualisé des nouvelles bibliothèques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Force fédérative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Moyenne</w:t>
            </w:r>
          </w:p>
        </w:tc>
      </w:tr>
      <w:tr>
        <w:trPr>
          <w:tblHeader w:val="false"/>
        </w:trP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Effort de maintenance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Moyen</w:t>
            </w:r>
          </w:p>
        </w:tc>
      </w:tr>
    </w:tbl>
    <w:p>
      <w:pPr>
        <w:spacing w:after="80"/>
      </w:pPr>
      <w:r>
        <w:t xml:space="preserve"/>
      </w:r>
    </w:p>
    <w:p>
      <w:pPr>
        <w:spacing w:after="120" w:line="312"/>
      </w:pPr>
      <w:r>
        <w:t xml:space="preserve">Le projet dispose déjà d’un parcours d’adhésion. Le cercle peut y ajouter un rôle de parrainage : une nouvelle bibliothèque est accompagnée par une bibliothèque existante de son cercle géographique ou linguistique. La fédération devient alors aussi un dispositif d’entraide à la prise en main de l’outil — ce qui sert directement la charte UX du projet, centrée sur des utilisateur·rices non spécialistes.</w:t>
      </w:r>
    </w:p>
    <w:p>
      <w:r>
        <w:br w:type="page"/>
      </w:r>
    </w:p>
    <w:p>
      <w:pPr>
        <w:pStyle w:val="Heading1"/>
      </w:pPr>
      <w:r>
        <w:t xml:space="preserve">7. Architecture fonctionnelle proposée</w:t>
      </w:r>
    </w:p>
    <w:p>
      <w:pPr>
        <w:pStyle w:val="Heading2"/>
      </w:pPr>
      <w:r>
        <w:t xml:space="preserve">7.1 Deux pages, deux périmètres</w:t>
      </w:r>
    </w:p>
    <w:p>
      <w:pPr>
        <w:spacing w:after="120" w:line="312"/>
      </w:pPr>
      <w:r>
        <w:t xml:space="preserve">La traduction de la section 1.2 dans l’interface est simple. La page réseau actuelle est conservée intégralement comme face administration. Une nouvelle page fédération est créée comme face fédération, avec son propre contrôle d’accès — l’appartenance à une bibliothèque membre — et sa propre organisation en onglets.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2"/>
              <w:left w:val="single" w:color="CCCCCC" w:sz="2"/>
              <w:bottom w:val="single" w:color="CCCCCC" w:sz="2"/>
              <w:right w:val="single" w:color="CCCCCC" w:sz="2"/>
            </w:tcBorders>
            <w:shd w:fill="B32025" w:val="clear"/>
            <w:tcMar>
              <w:top w:type="dxa" w:w="80"/>
              <w:left w:type="dxa" w:w="120"/>
              <w:bottom w:type="dxa" w:w="80"/>
              <w:right w:type="dxa" w:w="120"/>
            </w:tcMar>
          </w:tcPr>
          <w:p>
            <w:pPr>
              <w:spacing w:after="20" w:line="270"/>
            </w:pPr>
            <w:r>
              <w:rPr>
                <w:b/>
                <w:bCs/>
                <w:color w:val="FFFFFF"/>
                <w:sz w:val="20"/>
                <w:szCs w:val="20"/>
              </w:rPr>
              <w:t xml:space="preserve">Onglet de la face fédération</w:t>
            </w:r>
          </w:p>
        </w:tc>
        <w:tc>
          <w:tcPr>
            <w:tcW w:type="dxa" w:w="6360"/>
            <w:tcBorders>
              <w:top w:val="single" w:color="CCCCCC" w:sz="2"/>
              <w:left w:val="single" w:color="CCCCCC" w:sz="2"/>
              <w:bottom w:val="single" w:color="CCCCCC" w:sz="2"/>
              <w:right w:val="single" w:color="CCCCCC" w:sz="2"/>
            </w:tcBorders>
            <w:shd w:fill="B32025" w:val="clear"/>
            <w:tcMar>
              <w:top w:type="dxa" w:w="80"/>
              <w:left w:type="dxa" w:w="120"/>
              <w:bottom w:type="dxa" w:w="80"/>
              <w:right w:type="dxa" w:w="120"/>
            </w:tcMar>
          </w:tcPr>
          <w:p>
            <w:pPr>
              <w:spacing w:after="20" w:line="270"/>
            </w:pPr>
            <w:r>
              <w:rPr>
                <w:b/>
                <w:bCs/>
                <w:color w:val="FFFFFF"/>
                <w:sz w:val="20"/>
                <w:szCs w:val="20"/>
              </w:rPr>
              <w:t xml:space="preserve">Contenu</w:t>
            </w:r>
          </w:p>
        </w:tc>
      </w:tr>
      <w:tr>
        <w:trPr>
          <w:tblHeader w:val="false"/>
        </w:trP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Accueil</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Vue d’accueil non chiffrée : assemblées en cours ou à venir, dernier bulletin, derniers articles de gazette. Une porte d’entrée chaleureuse, pas un tableau de bord.</w:t>
            </w:r>
          </w:p>
        </w:tc>
      </w:tr>
      <w:tr>
        <w:trPr>
          <w:tblHeader w:val="false"/>
        </w:trP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Cercles</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Les cercles dont la bibliothèque est membre, et l’annuaire des cercles ouverts à de nouvelles adhésions.</w:t>
            </w:r>
          </w:p>
        </w:tc>
      </w:tr>
      <w:tr>
        <w:trPr>
          <w:tblHeader w:val="false"/>
        </w:trP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Assemblées</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Assemblées en cours, à venir, et archivées — réseau et cercles confondus, filtrables.</w:t>
            </w:r>
          </w:p>
        </w:tc>
      </w:tr>
      <w:tr>
        <w:trPr>
          <w:tblHeader w:val="false"/>
        </w:trP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Gazette</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Le bulletin de vie du réseau et les articles de la gazette militante.</w:t>
            </w:r>
          </w:p>
        </w:tc>
      </w:tr>
      <w:tr>
        <w:trPr>
          <w:tblHeader w:val="false"/>
        </w:trP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Carte</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Représentation cartographique et/ou par cercles, respectant la visibilité choisie par chaque bibliothèque.</w:t>
            </w:r>
          </w:p>
        </w:tc>
      </w:tr>
      <w:tr>
        <w:trPr>
          <w:tblHeader w:val="false"/>
        </w:trP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Entraide &amp; mémoire</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La banque d’entraide et l’espace d’archives — regroupés tant qu’ils restent légers.</w:t>
            </w:r>
          </w:p>
        </w:tc>
      </w:tr>
    </w:tbl>
    <w:p>
      <w:pPr>
        <w:pStyle w:val="Heading2"/>
      </w:pPr>
      <w:r>
        <w:t xml:space="preserve">7.2 Doctrine technique du chantier</w:t>
      </w:r>
    </w:p>
    <w:p>
      <w:pPr>
        <w:pStyle w:val="ListParagraph"/>
        <w:numPr>
          <w:ilvl w:val="0"/>
          <w:numId w:val="2"/>
        </w:numPr>
        <w:spacing w:after="60" w:line="300"/>
      </w:pPr>
      <w:r>
        <w:rPr>
          <w:b/>
          <w:bCs/>
        </w:rPr>
        <w:t xml:space="preserve">RPC-first pour toute écriture. </w:t>
      </w:r>
      <w:r>
        <w:t xml:space="preserve">Adhésion à un cercle, convocation et clôture d’assemblée, dépôt d’une position, publication d’un article : autant d’écritures à effets de bord, donc des RPC dédiées. Aucune écriture directe depuis le frontend.</w:t>
      </w:r>
    </w:p>
    <w:p>
      <w:pPr>
        <w:pStyle w:val="ListParagraph"/>
        <w:numPr>
          <w:ilvl w:val="0"/>
          <w:numId w:val="2"/>
        </w:numPr>
        <w:spacing w:after="60" w:line="300"/>
      </w:pPr>
      <w:r>
        <w:rPr>
          <w:b/>
          <w:bCs/>
        </w:rPr>
        <w:t xml:space="preserve">Lectures simples sous RLS autorisées. </w:t>
      </w:r>
      <w:r>
        <w:t xml:space="preserve">Conformément à la doctrine RPC v3, l’affichage des cercles, assemblées et articles peut reposer sur des lectures directes protégées par RLS, sans alourdir le code de RPC de lecture triviales.</w:t>
      </w:r>
    </w:p>
    <w:p>
      <w:pPr>
        <w:pStyle w:val="ListParagraph"/>
        <w:numPr>
          <w:ilvl w:val="0"/>
          <w:numId w:val="2"/>
        </w:numPr>
        <w:spacing w:after="60" w:line="300"/>
      </w:pPr>
      <w:r>
        <w:rPr>
          <w:b/>
          <w:bCs/>
        </w:rPr>
        <w:t xml:space="preserve">Le cercle hors du périmètre RLS. </w:t>
      </w:r>
      <w:r>
        <w:t xml:space="preserve">Aucune politique de sécurité ne s’appuie sur le partage d’un cercle, à l’unique exception maîtrisée de la mutualisation de catalogue.</w:t>
      </w:r>
    </w:p>
    <w:p>
      <w:pPr>
        <w:pStyle w:val="ListParagraph"/>
        <w:numPr>
          <w:ilvl w:val="0"/>
          <w:numId w:val="2"/>
        </w:numPr>
        <w:spacing w:after="60" w:line="300"/>
      </w:pPr>
      <w:r>
        <w:rPr>
          <w:b/>
          <w:bCs/>
        </w:rPr>
        <w:t xml:space="preserve">Réemploi des grammaires existantes. </w:t>
      </w:r>
      <w:r>
        <w:t xml:space="preserve">Cooptation pour les cycles de décision, flux éditorial de la catalogação pour la gazette, synthèse hebdomadaire pour le bulletin, infrastructure mail internationalisée pour toutes les notifications. Le chantier assemble des briques connues plutôt que d’en inventer.</w:t>
      </w:r>
    </w:p>
    <w:p>
      <w:pPr>
        <w:pStyle w:val="ListParagraph"/>
        <w:numPr>
          <w:ilvl w:val="0"/>
          <w:numId w:val="2"/>
        </w:numPr>
        <w:spacing w:after="60" w:line="300"/>
      </w:pPr>
      <w:r>
        <w:rPr>
          <w:b/>
          <w:bCs/>
        </w:rPr>
        <w:t xml:space="preserve">Internationalisation dès l’origine. </w:t>
      </w:r>
      <w:r>
        <w:t xml:space="preserve">Tous les libellés des nouveaux objets sont internationalisés sur les six langues cibles dès leur création, langage inclusif compris — jamais en rattrapage.</w:t>
      </w:r>
    </w:p>
    <w:p>
      <w:pPr>
        <w:pStyle w:val="Heading2"/>
      </w:pPr>
      <w:r>
        <w:t xml:space="preserve">7.3 Notifications militantes du réseau</w:t>
      </w:r>
    </w:p>
    <w:p>
      <w:pPr>
        <w:spacing w:after="120" w:line="312"/>
      </w:pPr>
      <w:r>
        <w:t xml:space="preserve">Le chantier d’administration réseau a déjà identifié le besoin d’événements de notification propres au réseau pour les courriers militants. Le présent chantier en élargit la liste : convocation d’assemblée, ouverture de l’ordre du jour, ouverture du vote, résultat, invitation à rejoindre un cercle, parution du bulletin. Tous passent par l’infrastructure de notification existante, avec des courriers désactivables individuellement, selon la doctrine déjà en vigueur pour la gouvernance d’équipe.</w:t>
      </w:r>
    </w:p>
    <w:p>
      <w:r>
        <w:br w:type="page"/>
      </w:r>
    </w:p>
    <w:p>
      <w:pPr>
        <w:pStyle w:val="Heading1"/>
      </w:pPr>
      <w:r>
        <w:t xml:space="preserve">8. Séquence d’implémentation proposée</w:t>
      </w:r>
    </w:p>
    <w:p>
      <w:pPr>
        <w:spacing w:after="120" w:line="312"/>
      </w:pPr>
      <w:r>
        <w:t xml:space="preserve">La séquence applique le principe « lancer peu, mais que cela vive » : on commence par ce qui demande le moins d’animation militante et fournit le plus de socle. Chaque étape se clôt par un livrable testable, dans la discipline habituelle du projet — construction validée avant publication, fermeture d’un fil avant ouverture du suivant.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tcBorders>
              <w:top w:val="single" w:color="CCCCCC" w:sz="2"/>
              <w:left w:val="single" w:color="CCCCCC" w:sz="2"/>
              <w:bottom w:val="single" w:color="CCCCCC" w:sz="2"/>
              <w:right w:val="single" w:color="CCCCCC" w:sz="2"/>
            </w:tcBorders>
            <w:shd w:fill="B32025" w:val="clear"/>
            <w:tcMar>
              <w:top w:type="dxa" w:w="80"/>
              <w:left w:type="dxa" w:w="120"/>
              <w:bottom w:type="dxa" w:w="80"/>
              <w:right w:type="dxa" w:w="120"/>
            </w:tcMar>
          </w:tcPr>
          <w:p>
            <w:pPr>
              <w:spacing w:after="20" w:line="270"/>
            </w:pPr>
            <w:r>
              <w:rPr>
                <w:b/>
                <w:bCs/>
                <w:color w:val="FFFFFF"/>
                <w:sz w:val="20"/>
                <w:szCs w:val="20"/>
              </w:rPr>
              <w:t xml:space="preserve">Étape</w:t>
            </w:r>
          </w:p>
        </w:tc>
        <w:tc>
          <w:tcPr>
            <w:tcW w:type="dxa" w:w="3000"/>
            <w:tcBorders>
              <w:top w:val="single" w:color="CCCCCC" w:sz="2"/>
              <w:left w:val="single" w:color="CCCCCC" w:sz="2"/>
              <w:bottom w:val="single" w:color="CCCCCC" w:sz="2"/>
              <w:right w:val="single" w:color="CCCCCC" w:sz="2"/>
            </w:tcBorders>
            <w:shd w:fill="B32025" w:val="clear"/>
            <w:tcMar>
              <w:top w:type="dxa" w:w="80"/>
              <w:left w:type="dxa" w:w="120"/>
              <w:bottom w:type="dxa" w:w="80"/>
              <w:right w:type="dxa" w:w="120"/>
            </w:tcMar>
          </w:tcPr>
          <w:p>
            <w:pPr>
              <w:spacing w:after="20" w:line="270"/>
            </w:pPr>
            <w:r>
              <w:rPr>
                <w:b/>
                <w:bCs/>
                <w:color w:val="FFFFFF"/>
                <w:sz w:val="20"/>
                <w:szCs w:val="20"/>
              </w:rPr>
              <w:t xml:space="preserve">Objet</w:t>
            </w:r>
          </w:p>
        </w:tc>
        <w:tc>
          <w:tcPr>
            <w:tcW w:type="dxa" w:w="5460"/>
            <w:tcBorders>
              <w:top w:val="single" w:color="CCCCCC" w:sz="2"/>
              <w:left w:val="single" w:color="CCCCCC" w:sz="2"/>
              <w:bottom w:val="single" w:color="CCCCCC" w:sz="2"/>
              <w:right w:val="single" w:color="CCCCCC" w:sz="2"/>
            </w:tcBorders>
            <w:shd w:fill="B32025" w:val="clear"/>
            <w:tcMar>
              <w:top w:type="dxa" w:w="80"/>
              <w:left w:type="dxa" w:w="120"/>
              <w:bottom w:type="dxa" w:w="80"/>
              <w:right w:type="dxa" w:w="120"/>
            </w:tcMar>
          </w:tcPr>
          <w:p>
            <w:pPr>
              <w:spacing w:after="20" w:line="270"/>
            </w:pPr>
            <w:r>
              <w:rPr>
                <w:b/>
                <w:bCs/>
                <w:color w:val="FFFFFF"/>
                <w:sz w:val="20"/>
                <w:szCs w:val="20"/>
              </w:rPr>
              <w:t xml:space="preserve">Justification de l’ordre</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1</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Face fédération : page, contrôle d’accès, onglet d’accueil.</w:t>
            </w:r>
          </w:p>
        </w:tc>
        <w:tc>
          <w:tcPr>
            <w:tcW w:type="dxa" w:w="54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Sans la seconde page, aucun autre objet n’a de lieu où vivre. Étape de socle, peu d’animation requise.</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2</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Primitive cercle : création, adhésion mutuelle, annuaire.</w:t>
            </w:r>
          </w:p>
        </w:tc>
        <w:tc>
          <w:tcPr>
            <w:tcW w:type="dxa" w:w="54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Le cercle est la maille de tout le reste — assemblées de cercle, bulletins ciblés, mutualisation.</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3</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Bulletin de vie du réseau.</w:t>
            </w:r>
          </w:p>
        </w:tc>
        <w:tc>
          <w:tcPr>
            <w:tcW w:type="dxa" w:w="54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Effort de maintenance quasi nul, valeur immédiate, prolonge une tuyauterie existante. Fait vivre la face fédération dès tôt.</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4</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Carte du réseau et mémoire du réseau.</w:t>
            </w:r>
          </w:p>
        </w:tc>
        <w:tc>
          <w:tcPr>
            <w:tcW w:type="dxa" w:w="54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Deux objets légers qui densifient la page sans exiger d’animation. La mémoire prépare l’archivage des assemblées.</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5</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Assemblée générale : cycle de vie complet, réseau et cercle.</w:t>
            </w:r>
          </w:p>
        </w:tc>
        <w:tc>
          <w:tcPr>
            <w:tcW w:type="dxa" w:w="54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L’objet le plus structurant, mais aussi le plus exigeant. Il arrive une fois le lieu, la maille et la mémoire en place.</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6</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Gazette militante.</w:t>
            </w:r>
          </w:p>
        </w:tc>
        <w:tc>
          <w:tcPr>
            <w:tcW w:type="dxa" w:w="54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Demande un engagement éditorial régulier ; à lancer quand la face fédération est déjà fréquentée.</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7</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Pistes lourdes : mutualisation de catalogue, entraide, autorité d’indexation, circulation inter-bibliothèques.</w:t>
            </w:r>
          </w:p>
        </w:tc>
        <w:tc>
          <w:tcPr>
            <w:tcW w:type="dxa" w:w="54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line="270"/>
            </w:pPr>
            <w:r>
              <w:rPr>
                <w:b w:val="false"/>
                <w:bCs w:val="false"/>
                <w:color w:val="1A1A1A"/>
                <w:sz w:val="20"/>
                <w:szCs w:val="20"/>
              </w:rPr>
              <w:t xml:space="preserve">Chantiers à part entière, ouverts séquentiellement après stabilisation du socle fédératif.</w:t>
            </w:r>
          </w:p>
        </w:tc>
      </w:tr>
    </w:tbl>
    <w:p>
      <w:pPr>
        <w:pStyle w:val="Heading2"/>
      </w:pPr>
      <w:r>
        <w:t xml:space="preserve">8.1 Cible pour Bologna (FICEDL, septembre 2026)</w:t>
      </w:r>
    </w:p>
    <w:p>
      <w:pPr>
        <w:spacing w:after="120" w:line="312"/>
      </w:pPr>
      <w:r>
        <w:t xml:space="preserve">Conformément à l’arbitrage de cadrage, Bologna n’est pas une date couperet. La cible raisonnable pour l’échéance est la présentation de ce dossier, de la spécification dédiée et d’une maquette navigable de la face fédération — idéalement adossées aux étapes 1 à 3 effectivement livrées, qui suffisent à montrer un organe fédératif en train de naître. Présenter la méthode et la spécification d’un organe fédératif est un acte politique aussi fort qu’une démonstration complète, et fidèle à la posture assumée du projet : un commun en construction.</w:t>
      </w:r>
    </w:p>
    <w:p>
      <w:pPr>
        <w:pStyle w:val="Heading2"/>
      </w:pPr>
      <w:r>
        <w:t xml:space="preserve">8.2 Ce que ce dossier ne tranche pas</w:t>
      </w:r>
    </w:p>
    <w:p>
      <w:pPr>
        <w:spacing w:after="120" w:line="312"/>
      </w:pPr>
      <w:r>
        <w:t xml:space="preserve">Les points suivants relèvent de la spécification dédiée, ou d’une délibération du projet :</w:t>
      </w:r>
    </w:p>
    <w:p>
      <w:pPr>
        <w:pStyle w:val="ListParagraph"/>
        <w:numPr>
          <w:ilvl w:val="0"/>
          <w:numId w:val="2"/>
        </w:numPr>
        <w:spacing w:after="60" w:line="300"/>
      </w:pPr>
      <w:r>
        <w:t xml:space="preserve">Le terme retenu pour la primitive (cercle, círculo, collectif, affinité) et son rendu dans les six langues.</w:t>
      </w:r>
    </w:p>
    <w:p>
      <w:pPr>
        <w:pStyle w:val="ListParagraph"/>
        <w:numPr>
          <w:ilvl w:val="0"/>
          <w:numId w:val="2"/>
        </w:numPr>
        <w:spacing w:after="60" w:line="300"/>
      </w:pPr>
      <w:r>
        <w:t xml:space="preserve">Le régime de vote précis des assemblées : modalités du consentement, seuils, gestion de l’objection.</w:t>
      </w:r>
    </w:p>
    <w:p>
      <w:pPr>
        <w:pStyle w:val="ListParagraph"/>
        <w:numPr>
          <w:ilvl w:val="0"/>
          <w:numId w:val="2"/>
        </w:numPr>
        <w:spacing w:after="60" w:line="300"/>
      </w:pPr>
      <w:r>
        <w:t xml:space="preserve">Le choix entre mandat impératif et mandat représentatif pour la délégation en assemblée.</w:t>
      </w:r>
    </w:p>
    <w:p>
      <w:pPr>
        <w:pStyle w:val="ListParagraph"/>
        <w:numPr>
          <w:ilvl w:val="0"/>
          <w:numId w:val="2"/>
        </w:numPr>
        <w:spacing w:after="60" w:line="300"/>
      </w:pPr>
      <w:r>
        <w:t xml:space="preserve">Le rythme exact du bulletin et de la gazette, et l’organisation concrète de la relecture éditoriale.</w:t>
      </w:r>
    </w:p>
    <w:p>
      <w:pPr>
        <w:pStyle w:val="ListParagraph"/>
        <w:numPr>
          <w:ilvl w:val="0"/>
          <w:numId w:val="2"/>
        </w:numPr>
        <w:spacing w:after="60" w:line="300"/>
      </w:pPr>
      <w:r>
        <w:t xml:space="preserve">La reprise en RPC des deux écritures directes héritées de la page réseau actuelle (dette de chantier).</w:t>
      </w:r>
    </w:p>
    <w:p>
      <w:pPr>
        <w:spacing w:after="80"/>
      </w:pPr>
      <w:r>
        <w:t xml:space="preserve"/>
      </w:r>
    </w:p>
    <w:p>
      <w:pPr>
        <w:pStyle w:val="Heading2"/>
      </w:pPr>
      <w:r>
        <w:t xml:space="preserve">8.3 Prochaine étape</w:t>
      </w:r>
    </w:p>
    <w:p>
      <w:pPr>
        <w:spacing w:after="120" w:line="312"/>
      </w:pPr>
      <w:r>
        <w:t xml:space="preserve">La suite logique de ce dossier est la rédaction d’une spécification dédiée — sur le modèle des spécifications existantes du projet — qui transformera ces orientations en décisions arrêtées, puis en surfaces de données, écrans et contrats. Le présent document en constitue le cadre politique et fonctionnel ; il est conçu pour être recopié tel quel comme point de départ de ce travail de spécification.</w:t>
      </w:r>
    </w:p>
    <w:p>
      <w:pPr>
        <w:spacing w:after="80"/>
      </w:pPr>
      <w:r>
        <w:t xml:space="preserve"/>
      </w:r>
    </w:p>
    <w:p>
      <w:pPr>
        <w:pBdr>
          <w:top w:val="single" w:color="B32025" w:sz="6" w:space="8"/>
        </w:pBdr>
        <w:spacing w:before="200"/>
      </w:pPr>
      <w:r>
        <w:rPr>
          <w:i/>
          <w:iCs/>
          <w:color w:val="595959"/>
          <w:sz w:val="18"/>
          <w:szCs w:val="18"/>
        </w:rPr>
        <w:t xml:space="preserve">Document de travail — version 1 — 25 mai 2026. Aucun code. Préalable à spécification.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b/>
        <w:bCs/>
        <w:color w:val="B32025"/>
        <w:sz w:val="16"/>
        <w:szCs w:val="16"/>
      </w:rPr>
      <w:t xml:space="preserve">AnarBib</w:t>
    </w:r>
    <w:r>
      <w:rPr>
        <w:color w:val="595959"/>
        <w:sz w:val="16"/>
        <w:szCs w:val="16"/>
      </w:rPr>
      <w:t xml:space="preserve">	Chantier — réseau fédératif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0C4C4" w:sz="6" w:space="6"/>
      </w:pBdr>
      <w:spacing w:after="200" w:before="320"/>
      <w:outlineLvl w:val="0"/>
    </w:pPr>
    <w:rPr>
      <w:rFonts w:ascii="Arial" w:cs="Arial" w:eastAsia="Arial" w:hAnsi="Arial"/>
      <w:b/>
      <w:bCs/>
      <w:color w:val="B32025"/>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d’ouverture de chantier — Approfondissement de la page réseau</dc:title>
  <dc:creator>Xavier — AnarBib</dc:creator>
  <cp:lastModifiedBy>Un-named</cp:lastModifiedBy>
  <cp:revision>1</cp:revision>
  <dcterms:created xsi:type="dcterms:W3CDTF">2026-05-25T20:34:35.461Z</dcterms:created>
  <dcterms:modified xsi:type="dcterms:W3CDTF">2026-05-25T20:34:35.462Z</dcterms:modified>
</cp:coreProperties>
</file>

<file path=docProps/custom.xml><?xml version="1.0" encoding="utf-8"?>
<Properties xmlns="http://schemas.openxmlformats.org/officeDocument/2006/custom-properties" xmlns:vt="http://schemas.openxmlformats.org/officeDocument/2006/docPropsVTypes"/>
</file>