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F6F54"/>
          <w:sz w:val="56"/>
          <w:szCs w:val="56"/>
        </w:rPr>
        <w:t xml:space="preserve">AnarBib</w:t>
      </w:r>
    </w:p>
    <w:p>
      <w:pPr>
        <w:spacing w:after="500"/>
        <w:jc w:val="center"/>
      </w:pPr>
      <w:r>
        <w:rPr>
          <w:i/>
          <w:iCs/>
          <w:color w:val="5A5A5A"/>
          <w:sz w:val="22"/>
          <w:szCs w:val="22"/>
        </w:rPr>
        <w:t xml:space="preserve">Système intégré de gestion de bibliothèque militante</w:t>
      </w:r>
    </w:p>
    <w:p>
      <w:pPr>
        <w:spacing w:after="120"/>
        <w:jc w:val="center"/>
      </w:pPr>
      <w:r>
        <w:rPr>
          <w:b/>
          <w:bCs/>
          <w:color w:val="1A1A1A"/>
          <w:sz w:val="34"/>
          <w:szCs w:val="34"/>
        </w:rPr>
        <w:t xml:space="preserve">CHANTIER — Audit systématique de la page Painel</w:t>
      </w:r>
    </w:p>
    <w:p>
      <w:pPr>
        <w:spacing w:after="500"/>
        <w:jc w:val="center"/>
      </w:pPr>
      <w:r>
        <w:rPr>
          <w:color w:val="5A5A5A"/>
          <w:sz w:val="22"/>
          <w:szCs w:val="22"/>
        </w:rPr>
        <w:t xml:space="preserve">Profondeur fonctionnelle et UX — neuf onglets, grille à sept critères</w:t>
      </w:r>
    </w:p>
    <w:p>
      <w:pPr>
        <w:spacing w:after="60"/>
        <w:jc w:val="center"/>
      </w:pPr>
      <w:r>
        <w:rPr>
          <w:color w:val="5A5A5A"/>
          <w:sz w:val="20"/>
          <w:szCs w:val="20"/>
        </w:rPr>
        <w:t xml:space="preserve">Document de cadrage — docs/decisions/</w:t>
      </w:r>
    </w:p>
    <w:p>
      <w:pPr>
        <w:spacing w:after="60"/>
        <w:jc w:val="center"/>
      </w:pPr>
      <w:r>
        <w:rPr>
          <w:color w:val="5A5A5A"/>
          <w:sz w:val="20"/>
          <w:szCs w:val="20"/>
        </w:rPr>
        <w:t xml:space="preserve">Version 1.0 — 26 mai 2026</w:t>
      </w:r>
    </w:p>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0. Résumé exécutif</w:t>
      </w:r>
    </w:p>
    <w:p>
      <w:pPr>
        <w:spacing w:after="120"/>
      </w:pPr>
      <w:r>
        <w:t xml:space="preserve">Ce document audite la page Painel d'AnarBib — le poste de travail quotidien du personnel de bibliothèque — onglet par onglet, selon une grille de sept critères appliquée uniformément. Il fait suite à un premier audit ciblé (engorgement des onglets opérationnels, livré le 25 mai) dont les correctifs ont, en se déployant, révélé deux bugs de fond. Cet audit-ci prend le pas de recul que le premier n'avait pas pris : non plus « cet onglet est-il encombré », mais « cet outil est-il juste pour la personne qui s'en sert tous les jours ».</w:t>
      </w:r>
    </w:p>
    <w:p>
      <w:pPr>
        <w:pStyle w:val="Heading3"/>
      </w:pPr>
      <w:r>
        <w:t xml:space="preserve">Le fil rouge</w:t>
      </w:r>
    </w:p>
    <w:p>
      <w:pPr>
        <w:spacing w:after="120"/>
      </w:pPr>
      <w:r>
        <w:rPr>
          <w:b/>
          <w:bCs/>
        </w:rPr>
        <w:t xml:space="preserve">Le Painel est organisé par objets de base de données, pas par tâches. </w:t>
      </w:r>
      <w:r>
        <w:t xml:space="preserve">Il y a un onglet par table — Réservations, Consultations, Emprunts, Emprunts groupés — et un seul onglet, Trabalho do dia, qui pense en termes de « ce que la personne a à faire aujourd'hui ». Cet onglet-là prouve que l'équipe sait concevoir un outil tâche-centré. La question structurante de l'audit est : pourquoi le reste du Painel ne l'est pas, et faut-il l'y amener.</w:t>
      </w:r>
    </w:p>
    <w:p>
      <w:pPr>
        <w:pStyle w:val="Heading3"/>
      </w:pPr>
      <w:r>
        <w:t xml:space="preserve">Constats majeurs</w:t>
      </w:r>
    </w:p>
    <w:p>
      <w:pPr>
        <w:pStyle w:val="ListParagraph"/>
        <w:numPr>
          <w:ilvl w:val="0"/>
          <w:numId w:val="2"/>
        </w:numPr>
        <w:spacing w:after="60"/>
      </w:pPr>
      <w:r>
        <w:rPr>
          <w:b/>
          <w:bCs/>
        </w:rPr>
        <w:t xml:space="preserve">Logique objet vs tâche : </w:t>
      </w:r>
      <w:r>
        <w:t xml:space="preserve">huit onglets sur neuf demandent à la personne de savoir, avant de cliquer, si ce qu'elle cherche est une « réservation » ou une « consultation » au sens du SIGB. C'est un vocabulaire de spécialiste imposé à des non-spécialistes.</w:t>
      </w:r>
    </w:p>
    <w:p>
      <w:pPr>
        <w:pStyle w:val="ListParagraph"/>
        <w:numPr>
          <w:ilvl w:val="0"/>
          <w:numId w:val="2"/>
        </w:numPr>
        <w:spacing w:after="60"/>
      </w:pPr>
      <w:r>
        <w:rPr>
          <w:b/>
          <w:bCs/>
        </w:rPr>
        <w:t xml:space="preserve">Confusion item_status / workflow_stage : </w:t>
      </w:r>
      <w:r>
        <w:t xml:space="preserve">les deux bugs de cette session viennent tous deux d'une confusion entre ces deux dimensions. C'est un risque structurel, pas deux accidents.</w:t>
      </w:r>
    </w:p>
    <w:p>
      <w:pPr>
        <w:pStyle w:val="ListParagraph"/>
        <w:numPr>
          <w:ilvl w:val="0"/>
          <w:numId w:val="2"/>
        </w:numPr>
        <w:spacing w:after="60"/>
      </w:pPr>
      <w:r>
        <w:rPr>
          <w:b/>
          <w:bCs/>
        </w:rPr>
        <w:t xml:space="preserve">Feedback d'erreur : </w:t>
      </w:r>
      <w:r>
        <w:t xml:space="preserve">six points du code affichent les erreurs via une boîte alert() brute du navigateur, souvent avec le message technique non traduit. Un message SQL jeté à l'écran a été observé en production.</w:t>
      </w:r>
    </w:p>
    <w:p>
      <w:pPr>
        <w:pStyle w:val="ListParagraph"/>
        <w:numPr>
          <w:ilvl w:val="0"/>
          <w:numId w:val="2"/>
        </w:numPr>
        <w:spacing w:after="60"/>
      </w:pPr>
      <w:r>
        <w:rPr>
          <w:b/>
          <w:bCs/>
        </w:rPr>
        <w:t xml:space="preserve">Travail collectif : </w:t>
      </w:r>
      <w:r>
        <w:t xml:space="preserve">le Painel ne montre presque jamais qui a fait quoi, alors que la spec gouvernance pose l'horizontalité informationnelle comme principe politique.</w:t>
      </w:r>
    </w:p>
    <w:p>
      <w:pPr>
        <w:spacing w:after="120"/>
      </w:pPr>
      <w:r>
        <w:t xml:space="preserve">L'audit recense 14 écarts (EA-01 à EA-14), chacun arbitré et gradué (majeur / mineur / cosmétique), plus quatre observations transverses. Il se conclut par une séquence de chantiers proposée. Aucune décision n'est imposée : ce document est un support d'arbitrage collectif.</w:t>
      </w:r>
    </w:p>
    <w:p>
      <w:r>
        <w:br w:type="page"/>
      </w:r>
    </w:p>
    <w:p>
      <w:pPr>
        <w:pStyle w:val="Heading1"/>
      </w:pPr>
      <w:r>
        <w:t xml:space="preserve">1. Méthode</w:t>
      </w:r>
    </w:p>
    <w:p>
      <w:pPr>
        <w:pStyle w:val="Heading2"/>
      </w:pPr>
      <w:r>
        <w:t xml:space="preserve">1.1 Sources</w:t>
      </w:r>
    </w:p>
    <w:p>
      <w:pPr>
        <w:spacing w:after="120"/>
      </w:pPr>
      <w:r>
        <w:t xml:space="preserve">Audit fondé sur la lecture intégrale de PanelPage.jsx dans son état post-correctifs du 26 mai (2932 lignes), de PanelPage.css, et sur le croisement avec six specs : workflow réservation (v1 et v2 négociation), flux consultations v2.2, flux emprunts, gouvernance des rôles, profils de bibliothèque v0.7. Les définitions de vues et de fonctions proviennent des dumps SQL des schémas public et api.</w:t>
      </w:r>
    </w:p>
    <w:p>
      <w:pPr>
        <w:pStyle w:val="Heading2"/>
      </w:pPr>
      <w:r>
        <w:t xml:space="preserve">1.2 La grille à sept critères</w:t>
      </w:r>
    </w:p>
    <w:p>
      <w:pPr>
        <w:spacing w:after="120"/>
      </w:pPr>
      <w:r>
        <w:t xml:space="preserve">Chaque onglet est passé au crible des mêmes sept questions :</w:t>
      </w:r>
    </w:p>
    <w:p>
      <w:pPr>
        <w:pStyle w:val="ListParagraph"/>
        <w:numPr>
          <w:ilvl w:val="0"/>
          <w:numId w:val="2"/>
        </w:numPr>
        <w:spacing w:after="60"/>
      </w:pPr>
      <w:r>
        <w:rPr>
          <w:b/>
          <w:bCs/>
        </w:rPr>
        <w:t xml:space="preserve">1. Logique objet vs tâche : </w:t>
      </w:r>
      <w:r>
        <w:t xml:space="preserve">l'onglet est-il structuré comme une table de base de données, ou comme une étape du travail réel ?</w:t>
      </w:r>
    </w:p>
    <w:p>
      <w:pPr>
        <w:pStyle w:val="ListParagraph"/>
        <w:numPr>
          <w:ilvl w:val="0"/>
          <w:numId w:val="2"/>
        </w:numPr>
        <w:spacing w:after="60"/>
      </w:pPr>
      <w:r>
        <w:rPr>
          <w:b/>
          <w:bCs/>
        </w:rPr>
        <w:t xml:space="preserve">2. Vocabulaire : </w:t>
      </w:r>
      <w:r>
        <w:t xml:space="preserve">combien de termes affichés sont du jargon de bibliothéconomie ou de la nomenclature technique ?</w:t>
      </w:r>
    </w:p>
    <w:p>
      <w:pPr>
        <w:pStyle w:val="ListParagraph"/>
        <w:numPr>
          <w:ilvl w:val="0"/>
          <w:numId w:val="2"/>
        </w:numPr>
        <w:spacing w:after="60"/>
      </w:pPr>
      <w:r>
        <w:rPr>
          <w:b/>
          <w:bCs/>
        </w:rPr>
        <w:t xml:space="preserve">3. item_status / workflow_stage : </w:t>
      </w:r>
      <w:r>
        <w:t xml:space="preserve">l'onglet confond-il ou suppose-t-il à tort la synchronisation de ces deux dimensions distinctes ?</w:t>
      </w:r>
    </w:p>
    <w:p>
      <w:pPr>
        <w:pStyle w:val="ListParagraph"/>
        <w:numPr>
          <w:ilvl w:val="0"/>
          <w:numId w:val="2"/>
        </w:numPr>
        <w:spacing w:after="60"/>
      </w:pPr>
      <w:r>
        <w:rPr>
          <w:b/>
          <w:bCs/>
        </w:rPr>
        <w:t xml:space="preserve">4. Réversibilité : </w:t>
      </w:r>
      <w:r>
        <w:t xml:space="preserve">quelles actions sont destructrices ou irréversibles, et sont-elles signalées comme telles ?</w:t>
      </w:r>
    </w:p>
    <w:p>
      <w:pPr>
        <w:pStyle w:val="ListParagraph"/>
        <w:numPr>
          <w:ilvl w:val="0"/>
          <w:numId w:val="2"/>
        </w:numPr>
        <w:spacing w:after="60"/>
      </w:pPr>
      <w:r>
        <w:rPr>
          <w:b/>
          <w:bCs/>
        </w:rPr>
        <w:t xml:space="preserve">5. Feedback d'erreur : </w:t>
      </w:r>
      <w:r>
        <w:t xml:space="preserve">les messages d'erreur sont-ils compréhensibles par une personne non informaticienne ?</w:t>
      </w:r>
    </w:p>
    <w:p>
      <w:pPr>
        <w:pStyle w:val="ListParagraph"/>
        <w:numPr>
          <w:ilvl w:val="0"/>
          <w:numId w:val="2"/>
        </w:numPr>
        <w:spacing w:after="60"/>
      </w:pPr>
      <w:r>
        <w:rPr>
          <w:b/>
          <w:bCs/>
        </w:rPr>
        <w:t xml:space="preserve">6. Travail collectif : </w:t>
      </w:r>
      <w:r>
        <w:t xml:space="preserve">l'onglet montre-t-il qui a fait quoi, et gère-t-il deux bénévoles travaillant en même temps ?</w:t>
      </w:r>
    </w:p>
    <w:p>
      <w:pPr>
        <w:pStyle w:val="ListParagraph"/>
        <w:numPr>
          <w:ilvl w:val="0"/>
          <w:numId w:val="2"/>
        </w:numPr>
        <w:spacing w:after="60"/>
      </w:pPr>
      <w:r>
        <w:rPr>
          <w:b/>
          <w:bCs/>
        </w:rPr>
        <w:t xml:space="preserve">7. Conformité spec : </w:t>
      </w:r>
      <w:r>
        <w:t xml:space="preserve">écart entre ce que l'onglet fait et ce que la spec correspondante prévoit.</w:t>
      </w:r>
    </w:p>
    <w:p>
      <w:pPr>
        <w:spacing w:after="120"/>
      </w:pPr>
      <w:r>
        <w:t xml:space="preserve">Le critère 3 est né des deux bugs de la session : il ne « mord » que sur les onglets manipulant des objets de circulation, et reste hors-sujet pour Cotisations ou Historique. C'est normal : la grille est uniforme, sa pertinence par critère varie selon la nature de l'onglet.</w:t>
      </w:r>
    </w:p>
    <w:p>
      <w:pPr>
        <w:pStyle w:val="Heading2"/>
      </w:pPr>
      <w:r>
        <w:t xml:space="preserve">1.3 Les quatre natures d'onglet</w:t>
      </w:r>
    </w:p>
    <w:p>
      <w:pPr>
        <w:spacing w:after="120"/>
      </w:pPr>
      <w:r>
        <w:t xml:space="preserve">Les neuf onglets ne sont pas homogènes. Les distinguer évite de leur appliquer les mêmes attentes :</w:t>
      </w:r>
    </w:p>
    <w:p>
      <w:pPr>
        <w:pStyle w:val="ListParagraph"/>
        <w:numPr>
          <w:ilvl w:val="0"/>
          <w:numId w:val="2"/>
        </w:numPr>
        <w:spacing w:after="60"/>
      </w:pPr>
      <w:r>
        <w:rPr>
          <w:b/>
          <w:bCs/>
        </w:rPr>
        <w:t xml:space="preserve">Tâche : </w:t>
      </w:r>
      <w:r>
        <w:t xml:space="preserve">Trabalho do dia. Pensé autour de l'action à mener. Sert de référence positive.</w:t>
      </w:r>
    </w:p>
    <w:p>
      <w:pPr>
        <w:pStyle w:val="ListParagraph"/>
        <w:numPr>
          <w:ilvl w:val="0"/>
          <w:numId w:val="2"/>
        </w:numPr>
        <w:spacing w:after="60"/>
      </w:pPr>
      <w:r>
        <w:rPr>
          <w:b/>
          <w:bCs/>
        </w:rPr>
        <w:t xml:space="preserve">Objet : </w:t>
      </w:r>
      <w:r>
        <w:t xml:space="preserve">Actions, Réservations, Consultations sur place, Emprunts par livre, Emprunts groupés. Le cœur dense de l'audit.</w:t>
      </w:r>
    </w:p>
    <w:p>
      <w:pPr>
        <w:pStyle w:val="ListParagraph"/>
        <w:numPr>
          <w:ilvl w:val="0"/>
          <w:numId w:val="2"/>
        </w:numPr>
        <w:spacing w:after="60"/>
      </w:pPr>
      <w:r>
        <w:rPr>
          <w:b/>
          <w:bCs/>
        </w:rPr>
        <w:t xml:space="preserve">Personne : </w:t>
      </w:r>
      <w:r>
        <w:t xml:space="preserve">Gérer lecteur·rice. Logique de fiche individuelle.</w:t>
      </w:r>
    </w:p>
    <w:p>
      <w:pPr>
        <w:pStyle w:val="ListParagraph"/>
        <w:numPr>
          <w:ilvl w:val="0"/>
          <w:numId w:val="2"/>
        </w:numPr>
        <w:spacing w:after="60"/>
      </w:pPr>
      <w:r>
        <w:rPr>
          <w:b/>
          <w:bCs/>
        </w:rPr>
        <w:t xml:space="preserve">Archive / flux : </w:t>
      </w:r>
      <w:r>
        <w:t xml:space="preserve">Historique (archive, déjà bien construit) et Cotisations (flux financier).</w:t>
      </w:r>
    </w:p>
    <w:p>
      <w:r>
        <w:br w:type="page"/>
      </w:r>
    </w:p>
    <w:p>
      <w:pPr>
        <w:pStyle w:val="Heading1"/>
      </w:pPr>
      <w:r>
        <w:t xml:space="preserve">2. Audit onglet par onglet</w:t>
      </w:r>
    </w:p>
    <w:p>
      <w:pPr>
        <w:spacing w:after="120"/>
      </w:pPr>
      <w:r>
        <w:t xml:space="preserve">Chaque onglet est traité dans le même ordre : rôle, puis lecture par les sept critères, puis écarts relevés. Les écarts sont numérotés EA-01 à EA-14 en continu et gradués.</w:t>
      </w:r>
    </w:p>
    <w:p>
      <w:pPr>
        <w:pStyle w:val="Heading2"/>
      </w:pPr>
      <w:r>
        <w:t xml:space="preserve">2.1 Trabalho do dia — l'onglet de référence</w:t>
      </w:r>
    </w:p>
    <w:p>
      <w:pPr>
        <w:spacing w:after="120"/>
      </w:pPr>
      <w:r>
        <w:rPr>
          <w:b/>
          <w:bCs/>
        </w:rPr>
        <w:t xml:space="preserve">Rôle : </w:t>
      </w:r>
      <w:r>
        <w:t xml:space="preserve">synthèse opérationnelle. Agrège les items qui demandent une action et les range en trois paniers (aujourd'hui, attention, suivi), plus un bloc de tâches internes. C'est le seul onglet tâche-centré.</w:t>
      </w:r>
    </w:p>
    <w:p>
      <w:pPr>
        <w:spacing w:after="120"/>
      </w:pPr>
      <w:r>
        <w:t xml:space="preserve">Lecture par la grille :</w:t>
      </w:r>
    </w:p>
    <w:p>
      <w:pPr>
        <w:pStyle w:val="ListParagraph"/>
        <w:numPr>
          <w:ilvl w:val="0"/>
          <w:numId w:val="2"/>
        </w:numPr>
        <w:spacing w:after="60"/>
      </w:pPr>
      <w:r>
        <w:rPr>
          <w:b/>
          <w:bCs/>
        </w:rPr>
        <w:t xml:space="preserve">Critère 1 — </w:t>
      </w:r>
      <w:r>
        <w:t xml:space="preserve">exemplaire. L'onglet ne demande pas à la personne de choisir un type d'objet : il lui montre ce qu'il y a à faire. C'est le modèle que les autres onglets devraient suivre.</w:t>
      </w:r>
    </w:p>
    <w:p>
      <w:pPr>
        <w:pStyle w:val="ListParagraph"/>
        <w:numPr>
          <w:ilvl w:val="0"/>
          <w:numId w:val="2"/>
        </w:numPr>
        <w:spacing w:after="60"/>
      </w:pPr>
      <w:r>
        <w:rPr>
          <w:b/>
          <w:bCs/>
        </w:rPr>
        <w:t xml:space="preserve">Critère 2 — </w:t>
      </w:r>
      <w:r>
        <w:t xml:space="preserve">globalement bon : « aujourd'hui », « attention », « à suivre » sont des mots de travail, pas de SIGB.</w:t>
      </w:r>
    </w:p>
    <w:p>
      <w:pPr>
        <w:pStyle w:val="ListParagraph"/>
        <w:numPr>
          <w:ilvl w:val="0"/>
          <w:numId w:val="2"/>
        </w:numPr>
        <w:spacing w:after="60"/>
      </w:pPr>
      <w:r>
        <w:rPr>
          <w:b/>
          <w:bCs/>
        </w:rPr>
        <w:t xml:space="preserve">Critère 5 — </w:t>
      </w:r>
      <w:r>
        <w:t xml:space="preserve">faible. Le changement de statut d'une tâche interne, en cas d'échec, déclenche une boîte alert() brute du navigateur avec le message technique. Voir EA-09.</w:t>
      </w:r>
    </w:p>
    <w:p>
      <w:pPr>
        <w:pStyle w:val="ListParagraph"/>
        <w:numPr>
          <w:ilvl w:val="0"/>
          <w:numId w:val="2"/>
        </w:numPr>
        <w:spacing w:after="60"/>
      </w:pPr>
      <w:r>
        <w:rPr>
          <w:b/>
          <w:bCs/>
        </w:rPr>
        <w:t xml:space="preserve">Critère 6 — </w:t>
      </w:r>
      <w:r>
        <w:t xml:space="preserve">partiel. Le bloc tâches internes affiche un propriétaire (owner) ; le reste de l'onglet, non.</w:t>
      </w:r>
    </w:p>
    <w:p>
      <w:pPr>
        <w:spacing w:after="60" w:before="160"/>
      </w:pPr>
      <w:r>
        <w:rPr>
          <w:b/>
          <w:bCs/>
          <w:color w:val="1F6F54"/>
          <w:sz w:val="22"/>
          <w:szCs w:val="22"/>
        </w:rPr>
        <w:t xml:space="preserve">EA-01 — </w:t>
      </w:r>
      <w:r>
        <w:rPr>
          <w:b/>
          <w:bCs/>
          <w:color w:val="1A1A1A"/>
          <w:sz w:val="22"/>
          <w:szCs w:val="22"/>
        </w:rPr>
        <w:t xml:space="preserve">Le bon modèle n'est pas généralisé</w:t>
      </w:r>
      <w:r>
        <w:rPr>
          <w:b/>
          <w:bCs/>
          <w:color w:val="B23A2E"/>
          <w:sz w:val="18"/>
          <w:szCs w:val="18"/>
        </w:rPr>
        <w:t xml:space="preserve">   [majeur]</w:t>
      </w:r>
    </w:p>
    <w:p>
      <w:pPr>
        <w:spacing w:after="120"/>
      </w:pPr>
      <w:r>
        <w:t xml:space="preserve">Ce n'est pas un défaut de l'onglet, mais un constat structurant : Trabalho do dia démontre que l'équipe sait concevoir tâche-centré, et pourtant huit autres onglets restent objet-centrés. L'écart à arbitrer est stratégique : fait-on de Trabalho do dia la porte d'entrée par défaut du Painel, les onglets-objet devenant des vues de détail consultées au besoin ? Arbitrage proposé : oui, à moyen terme — voir le chantier 2 en section 4.</w:t>
      </w:r>
    </w:p>
    <w:p>
      <w:pPr>
        <w:pStyle w:val="Heading2"/>
      </w:pPr>
      <w:r>
        <w:t xml:space="preserve">2.2 Actions — saisie d'emprunts et de retours</w:t>
      </w:r>
    </w:p>
    <w:p>
      <w:pPr>
        <w:spacing w:after="120"/>
      </w:pPr>
      <w:r>
        <w:rPr>
          <w:b/>
          <w:bCs/>
        </w:rPr>
        <w:t xml:space="preserve">Rôle : </w:t>
      </w:r>
      <w:r>
        <w:t xml:space="preserve">enregistrer une sortie d'emprunt et enregistrer un retour, total ou partiel. Quatre champs de saisie texte libre.</w:t>
      </w:r>
    </w:p>
    <w:p>
      <w:pPr>
        <w:pStyle w:val="ListParagraph"/>
        <w:numPr>
          <w:ilvl w:val="0"/>
          <w:numId w:val="2"/>
        </w:numPr>
        <w:spacing w:after="60"/>
      </w:pPr>
      <w:r>
        <w:rPr>
          <w:b/>
          <w:bCs/>
        </w:rPr>
        <w:t xml:space="preserve">Critère 1 — </w:t>
      </w:r>
      <w:r>
        <w:t xml:space="preserve">objet pur : la personne doit saisir des identifiants, pas décrire une intention.</w:t>
      </w:r>
    </w:p>
    <w:p>
      <w:pPr>
        <w:pStyle w:val="ListParagraph"/>
        <w:numPr>
          <w:ilvl w:val="0"/>
          <w:numId w:val="2"/>
        </w:numPr>
        <w:spacing w:after="60"/>
      </w:pPr>
      <w:r>
        <w:rPr>
          <w:b/>
          <w:bCs/>
        </w:rPr>
        <w:t xml:space="preserve">Critère 2 — </w:t>
      </w:r>
      <w:r>
        <w:t xml:space="preserve">moyen. « Sortie », « retour total / partiel » sont compréhensibles, mais la saisie attend des références (bib_ref, public_id) que la personne doit connaître et recopier.</w:t>
      </w:r>
    </w:p>
    <w:p>
      <w:pPr>
        <w:pStyle w:val="ListParagraph"/>
        <w:numPr>
          <w:ilvl w:val="0"/>
          <w:numId w:val="2"/>
        </w:numPr>
        <w:spacing w:after="60"/>
      </w:pPr>
      <w:r>
        <w:rPr>
          <w:b/>
          <w:bCs/>
        </w:rPr>
        <w:t xml:space="preserve">Critère 4 — </w:t>
      </w:r>
      <w:r>
        <w:t xml:space="preserve">un mécanisme de prévisualisation existe pour la sortie d'emprunt (loanPreview) — bon point, l'action n'est pas immédiate. Le retour, lui, est direct, sans confirmation.</w:t>
      </w:r>
    </w:p>
    <w:p>
      <w:pPr>
        <w:pStyle w:val="ListParagraph"/>
        <w:numPr>
          <w:ilvl w:val="0"/>
          <w:numId w:val="2"/>
        </w:numPr>
        <w:spacing w:after="60"/>
      </w:pPr>
      <w:r>
        <w:rPr>
          <w:b/>
          <w:bCs/>
        </w:rPr>
        <w:t xml:space="preserve">Critère 5 — </w:t>
      </w:r>
      <w:r>
        <w:t xml:space="preserve">feedback par message texte dans l'onglet (loanMsg, returnMsg) — mieux qu'un alert(), mais le contenu du message reste à vérifier (technique ou humain ?).</w:t>
      </w:r>
    </w:p>
    <w:p>
      <w:pPr>
        <w:spacing w:after="60" w:before="160"/>
      </w:pPr>
      <w:r>
        <w:rPr>
          <w:b/>
          <w:bCs/>
          <w:color w:val="1F6F54"/>
          <w:sz w:val="22"/>
          <w:szCs w:val="22"/>
        </w:rPr>
        <w:t xml:space="preserve">EA-02 — </w:t>
      </w:r>
      <w:r>
        <w:rPr>
          <w:b/>
          <w:bCs/>
          <w:color w:val="1A1A1A"/>
          <w:sz w:val="22"/>
          <w:szCs w:val="22"/>
        </w:rPr>
        <w:t xml:space="preserve">Saisie d'identifiants entièrement manuelle</w:t>
      </w:r>
      <w:r>
        <w:rPr>
          <w:b/>
          <w:bCs/>
          <w:color w:val="B23A2E"/>
          <w:sz w:val="18"/>
          <w:szCs w:val="18"/>
        </w:rPr>
        <w:t xml:space="preserve">   [majeur]</w:t>
      </w:r>
    </w:p>
    <w:p>
      <w:pPr>
        <w:spacing w:after="120"/>
      </w:pPr>
      <w:r>
        <w:t xml:space="preserve">Identifier un emprunteur ou un ouvrage passe par la frappe d'un identifiant (public_id type U0000030, bib_ref type 0000067) dans un champ texte. Au comptoir, avec une file d'attente, c'est lent et source d'erreur de saisie. C'est le point de friction quotidien le plus net de tout le Painel.</w:t>
      </w:r>
    </w:p>
    <w:p>
      <w:pPr>
        <w:spacing w:after="120"/>
      </w:pPr>
      <w:r>
        <w:rPr>
          <w:b/>
          <w:bCs/>
        </w:rPr>
        <w:t xml:space="preserve">Arbitrage proposé : </w:t>
      </w:r>
      <w:r>
        <w:t xml:space="preserve">introduire la saisie par scan de code-barres / QR, en option de bibliothèque activable (cf. observation transverse OT-3 et le sous-chantier déjà cadré). Le public_id existe déjà ; il suffit de le rendre scannable et d'ajouter un champ de scan. Aucun matériel propriétaire : la caméra du téléphone de permanence suffit.</w:t>
      </w:r>
    </w:p>
    <w:p>
      <w:pPr>
        <w:spacing w:after="60" w:before="160"/>
      </w:pPr>
      <w:r>
        <w:rPr>
          <w:b/>
          <w:bCs/>
          <w:color w:val="1F6F54"/>
          <w:sz w:val="22"/>
          <w:szCs w:val="22"/>
        </w:rPr>
        <w:t xml:space="preserve">EA-03 — </w:t>
      </w:r>
      <w:r>
        <w:rPr>
          <w:b/>
          <w:bCs/>
          <w:color w:val="1A1A1A"/>
          <w:sz w:val="22"/>
          <w:szCs w:val="22"/>
        </w:rPr>
        <w:t xml:space="preserve">Le retour ne prévisualise pas</w:t>
      </w:r>
      <w:r>
        <w:rPr>
          <w:b/>
          <w:bCs/>
          <w:color w:val="B47A18"/>
          <w:sz w:val="18"/>
          <w:szCs w:val="18"/>
        </w:rPr>
        <w:t xml:space="preserve">   [mineur]</w:t>
      </w:r>
    </w:p>
    <w:p>
      <w:pPr>
        <w:spacing w:after="120"/>
      </w:pPr>
      <w:r>
        <w:t xml:space="preserve">La sortie d'emprunt a une prévisualisation avant confirmation ; le retour total et le retour partiel s'exécutent directement au clic. Une asymétrie : un retour saisi sur la mauvaise référence est appliqué sans filet. Arbitrage proposé : aligner le retour sur le modèle de prévisualisation de la sortie.</w:t>
      </w:r>
    </w:p>
    <w:p>
      <w:pPr>
        <w:pStyle w:val="Heading2"/>
      </w:pPr>
      <w:r>
        <w:t xml:space="preserve">2.3 Réservations</w:t>
      </w:r>
    </w:p>
    <w:p>
      <w:pPr>
        <w:spacing w:after="120"/>
      </w:pPr>
      <w:r>
        <w:rPr>
          <w:b/>
          <w:bCs/>
        </w:rPr>
        <w:t xml:space="preserve">Rôle : </w:t>
      </w:r>
      <w:r>
        <w:t xml:space="preserve">réservations en cours et file d'attente. Tableau triable, filtre par étape de workflow (ajouté par l'audit précédent), sélection multiple pour action en lot.</w:t>
      </w:r>
    </w:p>
    <w:p>
      <w:pPr>
        <w:pStyle w:val="ListParagraph"/>
        <w:numPr>
          <w:ilvl w:val="0"/>
          <w:numId w:val="2"/>
        </w:numPr>
        <w:spacing w:after="60"/>
      </w:pPr>
      <w:r>
        <w:rPr>
          <w:b/>
          <w:bCs/>
        </w:rPr>
        <w:t xml:space="preserve">Critère 1 — </w:t>
      </w:r>
      <w:r>
        <w:t xml:space="preserve">objet, mais atténué : le filtre par étape introduit par le chantier précédent rapproche l'onglet d'une logique de tâche (« montre-moi les réservations prêtes pour retrait »).</w:t>
      </w:r>
    </w:p>
    <w:p>
      <w:pPr>
        <w:pStyle w:val="ListParagraph"/>
        <w:numPr>
          <w:ilvl w:val="0"/>
          <w:numId w:val="2"/>
        </w:numPr>
        <w:spacing w:after="60"/>
      </w:pPr>
      <w:r>
        <w:rPr>
          <w:b/>
          <w:bCs/>
        </w:rPr>
        <w:t xml:space="preserve">Critère 3 — </w:t>
      </w:r>
      <w:r>
        <w:t xml:space="preserve">point sensible. C'est ici qu'est né le premier bug : une réservation à l'état terminal liberada_para_circulacao restait classée active parce que item_status n'avait pas été propagé. Corrigé côté trigger le 26 mai, mais le filtre frontend fait toujours confiance à item_status seul.</w:t>
      </w:r>
    </w:p>
    <w:p>
      <w:pPr>
        <w:pStyle w:val="ListParagraph"/>
        <w:numPr>
          <w:ilvl w:val="0"/>
          <w:numId w:val="2"/>
        </w:numPr>
        <w:spacing w:after="60"/>
      </w:pPr>
      <w:r>
        <w:rPr>
          <w:b/>
          <w:bCs/>
        </w:rPr>
        <w:t xml:space="preserve">Critère 2 — </w:t>
      </w:r>
      <w:r>
        <w:t xml:space="preserve">le sélecteur d'étape affiche des libellés traduits — bon — mais les valeurs sous-jacentes (solicitada, liberada_para_circulacao) affleurent dans les messages d'erreur.</w:t>
      </w:r>
    </w:p>
    <w:p>
      <w:pPr>
        <w:spacing w:after="60" w:before="160"/>
      </w:pPr>
      <w:r>
        <w:rPr>
          <w:b/>
          <w:bCs/>
          <w:color w:val="1F6F54"/>
          <w:sz w:val="22"/>
          <w:szCs w:val="22"/>
        </w:rPr>
        <w:t xml:space="preserve">EA-04 — </w:t>
      </w:r>
      <w:r>
        <w:rPr>
          <w:b/>
          <w:bCs/>
          <w:color w:val="1A1A1A"/>
          <w:sz w:val="22"/>
          <w:szCs w:val="22"/>
        </w:rPr>
        <w:t xml:space="preserve">Le filtre actif repose sur une seule colonne faillible</w:t>
      </w:r>
      <w:r>
        <w:rPr>
          <w:b/>
          <w:bCs/>
          <w:color w:val="B23A2E"/>
          <w:sz w:val="18"/>
          <w:szCs w:val="18"/>
        </w:rPr>
        <w:t xml:space="preserve">   [majeur]</w:t>
      </w:r>
    </w:p>
    <w:p>
      <w:pPr>
        <w:spacing w:after="120"/>
      </w:pPr>
      <w:r>
        <w:t xml:space="preserve">Le filtre qui décide qu'une réservation est « active » teste item_status === 'ativa'. Les deux bugs de la session ont montré que cette colonne peut mentir : soit parce qu'un trigger ne l'a pas mise à jour, soit — côté consultations — parce que le code la confondait avec workflow_stage. Tant que la fiabilité de item_status dépend de la bonne propagation par chaque trigger, le frontend est exposé.</w:t>
      </w:r>
    </w:p>
    <w:p>
      <w:pPr>
        <w:spacing w:after="120"/>
      </w:pPr>
      <w:r>
        <w:rPr>
          <w:b/>
          <w:bCs/>
        </w:rPr>
        <w:t xml:space="preserve">Arbitrage proposé : </w:t>
      </w:r>
      <w:r>
        <w:t xml:space="preserve">défense en profondeur — le filtre actif devrait croiser item_status ET workflow_stage_effective, et exclure une ligne dès que l'une des deux dimensions est terminale. Cela ne corrige pas la donnée (c'est le rôle des triggers) mais rend le Painel robuste à une future incohérence. À décider : l'applique-t-on, ou considère-t-on que la correction des triggers suffit ?</w:t>
      </w:r>
    </w:p>
    <w:p>
      <w:pPr>
        <w:spacing w:after="60" w:before="160"/>
      </w:pPr>
      <w:r>
        <w:rPr>
          <w:b/>
          <w:bCs/>
          <w:color w:val="1F6F54"/>
          <w:sz w:val="22"/>
          <w:szCs w:val="22"/>
        </w:rPr>
        <w:t xml:space="preserve">EA-05 — </w:t>
      </w:r>
      <w:r>
        <w:rPr>
          <w:b/>
          <w:bCs/>
          <w:color w:val="1A1A1A"/>
          <w:sz w:val="22"/>
          <w:szCs w:val="22"/>
        </w:rPr>
        <w:t xml:space="preserve">Message d'erreur de transition illisible</w:t>
      </w:r>
      <w:r>
        <w:rPr>
          <w:b/>
          <w:bCs/>
          <w:color w:val="B23A2E"/>
          <w:sz w:val="18"/>
          <w:szCs w:val="18"/>
        </w:rPr>
        <w:t xml:space="preserve">   [majeur]</w:t>
      </w:r>
    </w:p>
    <w:p>
      <w:pPr>
        <w:spacing w:after="120"/>
      </w:pPr>
      <w:r>
        <w:t xml:space="preserve">Tenter une action interdite produit un message du type « cancelada_biblioteca refusée depuis liberada_para_circulacao pour rôle coordenador ». Trois termes techniques bruts dans une phrase destinée à une bénévole. Le refus est correct ; sa formulation ne l'est pas.</w:t>
      </w:r>
    </w:p>
    <w:p>
      <w:pPr>
        <w:spacing w:after="120"/>
      </w:pPr>
      <w:r>
        <w:rPr>
          <w:b/>
          <w:bCs/>
        </w:rPr>
        <w:t xml:space="preserve">Arbitrage proposé : </w:t>
      </w:r>
      <w:r>
        <w:t xml:space="preserve">traduire les messages de refus de transition en langage humain (« Cette réservation est déjà clôturée, elle ne peut plus être annulée »), via une table de correspondance étape → libellé. Lié à EA-10.</w:t>
      </w:r>
    </w:p>
    <w:p>
      <w:pPr>
        <w:pStyle w:val="Heading2"/>
      </w:pPr>
      <w:r>
        <w:t xml:space="preserve">2.4 Consultations sur place</w:t>
      </w:r>
    </w:p>
    <w:p>
      <w:pPr>
        <w:spacing w:after="120"/>
      </w:pPr>
      <w:r>
        <w:rPr>
          <w:b/>
          <w:bCs/>
        </w:rPr>
        <w:t xml:space="preserve">Rôle : </w:t>
      </w:r>
      <w:r>
        <w:t xml:space="preserve">items en consultation sur place — pedidos de consultation locale. Tableau triable, filtre par étape.</w:t>
      </w:r>
    </w:p>
    <w:p>
      <w:pPr>
        <w:pStyle w:val="ListParagraph"/>
        <w:numPr>
          <w:ilvl w:val="0"/>
          <w:numId w:val="2"/>
        </w:numPr>
        <w:spacing w:after="60"/>
      </w:pPr>
      <w:r>
        <w:rPr>
          <w:b/>
          <w:bCs/>
        </w:rPr>
        <w:t xml:space="preserve">Critère 3 — </w:t>
      </w:r>
      <w:r>
        <w:t xml:space="preserve">c'est ici qu'est né le second bug. Le filtre testait item_status contre une liste qui contenait des valeurs de workflow_stage (consulta_realizada) au lieu de valeurs de item_status (consultada). Les consultations terminées passaient pour actives. Corrigé le 26 mai.</w:t>
      </w:r>
    </w:p>
    <w:p>
      <w:pPr>
        <w:pStyle w:val="ListParagraph"/>
        <w:numPr>
          <w:ilvl w:val="0"/>
          <w:numId w:val="2"/>
        </w:numPr>
        <w:spacing w:after="60"/>
      </w:pPr>
      <w:r>
        <w:rPr>
          <w:b/>
          <w:bCs/>
        </w:rPr>
        <w:t xml:space="preserve">Critère 2 — </w:t>
      </w:r>
      <w:r>
        <w:t xml:space="preserve">la nomenclature consultation a deux registres parallèles — item_status (consultada) et workflow_stage (consulta_realizada) — pour dire la même chose. Source de confusion pour qui lit le code comme pour qui lit l'écran.</w:t>
      </w:r>
    </w:p>
    <w:p>
      <w:pPr>
        <w:spacing w:after="60" w:before="160"/>
      </w:pPr>
      <w:r>
        <w:rPr>
          <w:b/>
          <w:bCs/>
          <w:color w:val="1F6F54"/>
          <w:sz w:val="22"/>
          <w:szCs w:val="22"/>
        </w:rPr>
        <w:t xml:space="preserve">EA-06 — </w:t>
      </w:r>
      <w:r>
        <w:rPr>
          <w:b/>
          <w:bCs/>
          <w:color w:val="1A1A1A"/>
          <w:sz w:val="22"/>
          <w:szCs w:val="22"/>
        </w:rPr>
        <w:t xml:space="preserve">Double nomenclature statut / étape pour les consultations</w:t>
      </w:r>
      <w:r>
        <w:rPr>
          <w:b/>
          <w:bCs/>
          <w:color w:val="B47A18"/>
          <w:sz w:val="18"/>
          <w:szCs w:val="18"/>
        </w:rPr>
        <w:t xml:space="preserve">   [mineur]</w:t>
      </w:r>
    </w:p>
    <w:p>
      <w:pPr>
        <w:spacing w:after="120"/>
      </w:pPr>
      <w:r>
        <w:t xml:space="preserve">Une consultation faite s'exprime comme item_status = 'consultada' ET workflow_stage = 'consulta_realizada'. Deux mots pour un même fait. Le bug du 26 mai est une conséquence directe de cette dualité. Ce n'est pas propre aux consultations (les réservations ont le même schéma) mais c'est ici que la divergence des libellés est la plus trompeuse — ailleurs les deux registres partagent au moins le mot.</w:t>
      </w:r>
    </w:p>
    <w:p>
      <w:pPr>
        <w:spacing w:after="120"/>
      </w:pPr>
      <w:r>
        <w:rPr>
          <w:b/>
          <w:bCs/>
        </w:rPr>
        <w:t xml:space="preserve">Arbitrage proposé : </w:t>
      </w:r>
      <w:r>
        <w:t xml:space="preserve">documenter explicitement, dans une spec ou le Grand Livre Blanc, la règle « item_status = issue de la demande / workflow_stage = état d'avancement », avec le tableau de correspondance des deux nomenclatures. Ne pas refondre le schéma — trop coûteux — mais rendre la dualité lisible pour éviter le prochain bug du même type.</w:t>
      </w:r>
    </w:p>
    <w:p>
      <w:pPr>
        <w:pStyle w:val="Heading2"/>
      </w:pPr>
      <w:r>
        <w:t xml:space="preserve">2.5 Emprunts par livre et Emprunts groupés</w:t>
      </w:r>
    </w:p>
    <w:p>
      <w:pPr>
        <w:spacing w:after="120"/>
      </w:pPr>
      <w:r>
        <w:rPr>
          <w:b/>
          <w:bCs/>
        </w:rPr>
        <w:t xml:space="preserve">Rôle : </w:t>
      </w:r>
      <w:r>
        <w:t xml:space="preserve">Emprunts par livre affiche les emprunts individuels, un item par ligne. Emprunts groupés affiche les emprunts multi-items d'une même transaction, regroupés en cartes.</w:t>
      </w:r>
    </w:p>
    <w:p>
      <w:pPr>
        <w:pStyle w:val="ListParagraph"/>
        <w:numPr>
          <w:ilvl w:val="0"/>
          <w:numId w:val="2"/>
        </w:numPr>
        <w:spacing w:after="60"/>
      </w:pPr>
      <w:r>
        <w:rPr>
          <w:b/>
          <w:bCs/>
        </w:rPr>
        <w:t xml:space="preserve">Critère 1 — </w:t>
      </w:r>
      <w:r>
        <w:t xml:space="preserve">deux onglets pour le même objet métier — un emprunt — selon qu'il est simple ou groupé. La distinction est une distinction de structure de données (une ou plusieurs lignes), pas une distinction de tâche : la personne qui veut « voir les emprunts en cours » doit regarder à deux endroits.</w:t>
      </w:r>
    </w:p>
    <w:p>
      <w:pPr>
        <w:pStyle w:val="ListParagraph"/>
        <w:numPr>
          <w:ilvl w:val="0"/>
          <w:numId w:val="2"/>
        </w:numPr>
        <w:spacing w:after="60"/>
      </w:pPr>
      <w:r>
        <w:rPr>
          <w:b/>
          <w:bCs/>
        </w:rPr>
        <w:t xml:space="preserve">Critère 3 — </w:t>
      </w:r>
      <w:r>
        <w:t xml:space="preserve">Emprunts groupés a été corrigé par l'audit précédent pour ne grouper que les emprunts actifs. À surveiller au même titre que les autres onglets-objet.</w:t>
      </w:r>
    </w:p>
    <w:p>
      <w:pPr>
        <w:spacing w:after="60" w:before="160"/>
      </w:pPr>
      <w:r>
        <w:rPr>
          <w:b/>
          <w:bCs/>
          <w:color w:val="1F6F54"/>
          <w:sz w:val="22"/>
          <w:szCs w:val="22"/>
        </w:rPr>
        <w:t xml:space="preserve">EA-07 — </w:t>
      </w:r>
      <w:r>
        <w:rPr>
          <w:b/>
          <w:bCs/>
          <w:color w:val="1A1A1A"/>
          <w:sz w:val="22"/>
          <w:szCs w:val="22"/>
        </w:rPr>
        <w:t xml:space="preserve">Deux onglets pour un seul objet métier</w:t>
      </w:r>
      <w:r>
        <w:rPr>
          <w:b/>
          <w:bCs/>
          <w:color w:val="B23A2E"/>
          <w:sz w:val="18"/>
          <w:szCs w:val="18"/>
        </w:rPr>
        <w:t xml:space="preserve">   [majeur]</w:t>
      </w:r>
    </w:p>
    <w:p>
      <w:pPr>
        <w:spacing w:after="120"/>
      </w:pPr>
      <w:r>
        <w:t xml:space="preserve">Séparer « emprunts par livre » et « emprunts groupés » fait porter à la personne une distinction qui relève de l'implémentation. Du point de vue du travail, il n'y a qu'une question : quels emprunts sont en cours, et lesquels sont en retard. La forme simple ou groupée de la transaction est un détail d'affichage, pas un critère d'onglet.</w:t>
      </w:r>
    </w:p>
    <w:p>
      <w:pPr>
        <w:spacing w:after="120"/>
      </w:pPr>
      <w:r>
        <w:rPr>
          <w:b/>
          <w:bCs/>
        </w:rPr>
        <w:t xml:space="preserve">Arbitrage proposé : </w:t>
      </w:r>
      <w:r>
        <w:t xml:space="preserve">fusionner les deux en un seul onglet Emprunts, où un emprunt groupé s'affiche comme une ligne dépliable. À discuter : certains collectifs tiennent peut-être à la vue groupée séparée — à trancher collectivement.</w:t>
      </w:r>
    </w:p>
    <w:p>
      <w:pPr>
        <w:spacing w:after="60" w:before="160"/>
      </w:pPr>
      <w:r>
        <w:rPr>
          <w:b/>
          <w:bCs/>
          <w:color w:val="1F6F54"/>
          <w:sz w:val="22"/>
          <w:szCs w:val="22"/>
        </w:rPr>
        <w:t xml:space="preserve">EA-08 — </w:t>
      </w:r>
      <w:r>
        <w:rPr>
          <w:b/>
          <w:bCs/>
          <w:color w:val="1A1A1A"/>
          <w:sz w:val="22"/>
          <w:szCs w:val="22"/>
        </w:rPr>
        <w:t xml:space="preserve">Emprunts groupés n'a ni tri ni filtre par étape</w:t>
      </w:r>
      <w:r>
        <w:rPr>
          <w:b/>
          <w:bCs/>
          <w:color w:val="B47A18"/>
          <w:sz w:val="18"/>
          <w:szCs w:val="18"/>
        </w:rPr>
        <w:t xml:space="preserve">   [mineur]</w:t>
      </w:r>
    </w:p>
    <w:p>
      <w:pPr>
        <w:spacing w:after="120"/>
      </w:pPr>
      <w:r>
        <w:t xml:space="preserve">Contrairement aux trois autres onglets-objet, Emprunts groupés itère sur un objet construit à la volée et n'a pas été câblé au tri par colonnes ni au filtre par étape. Incohérence d'expérience d'un onglet à l'autre. Si EA-07 (fusion) est retenu, cet écart disparaît mécaniquement ; sinon, il faut aligner l'onglet sur les autres.</w:t>
      </w:r>
    </w:p>
    <w:p>
      <w:pPr>
        <w:pStyle w:val="Heading2"/>
      </w:pPr>
      <w:r>
        <w:t xml:space="preserve">2.6 Gérer lecteur·rice</w:t>
      </w:r>
    </w:p>
    <w:p>
      <w:pPr>
        <w:spacing w:after="120"/>
      </w:pPr>
      <w:r>
        <w:rPr>
          <w:b/>
          <w:bCs/>
        </w:rPr>
        <w:t xml:space="preserve">Rôle : </w:t>
      </w:r>
      <w:r>
        <w:t xml:space="preserve">rechercher une personne lectrice, consulter et éditer sa fiche, voir son statut de restriction, son historique.</w:t>
      </w:r>
    </w:p>
    <w:p>
      <w:pPr>
        <w:pStyle w:val="ListParagraph"/>
        <w:numPr>
          <w:ilvl w:val="0"/>
          <w:numId w:val="2"/>
        </w:numPr>
        <w:spacing w:after="60"/>
      </w:pPr>
      <w:r>
        <w:rPr>
          <w:b/>
          <w:bCs/>
        </w:rPr>
        <w:t xml:space="preserve">Critère 1 — </w:t>
      </w:r>
      <w:r>
        <w:t xml:space="preserve">onglet personne, cohérent dans sa nature. La recherche se fait par saisie texte (nom, identifiant).</w:t>
      </w:r>
    </w:p>
    <w:p>
      <w:pPr>
        <w:pStyle w:val="ListParagraph"/>
        <w:numPr>
          <w:ilvl w:val="0"/>
          <w:numId w:val="2"/>
        </w:numPr>
        <w:spacing w:after="60"/>
      </w:pPr>
      <w:r>
        <w:rPr>
          <w:b/>
          <w:bCs/>
        </w:rPr>
        <w:t xml:space="preserve">Critère 4 — </w:t>
      </w:r>
      <w:r>
        <w:t xml:space="preserve">l'édition de fiche modifie l'état local au fil de la frappe (setReaderProfile) ; à vérifier en test : un changement non sauvegardé est-il clairement signalé, ou peut-il être perdu silencieusement en changeant d'onglet ?</w:t>
      </w:r>
    </w:p>
    <w:p>
      <w:pPr>
        <w:pStyle w:val="ListParagraph"/>
        <w:numPr>
          <w:ilvl w:val="0"/>
          <w:numId w:val="2"/>
        </w:numPr>
        <w:spacing w:after="60"/>
      </w:pPr>
      <w:r>
        <w:rPr>
          <w:b/>
          <w:bCs/>
        </w:rPr>
        <w:t xml:space="preserve">Critère 6 — </w:t>
      </w:r>
      <w:r>
        <w:t xml:space="preserve">la fiche montre le statut de restriction et sa raison, mais pas qui a posé la restriction ni quand. Or restreindre une personne lectrice est une décision sensible dans une biblio militante.</w:t>
      </w:r>
    </w:p>
    <w:p>
      <w:pPr>
        <w:spacing w:after="60" w:before="160"/>
      </w:pPr>
      <w:r>
        <w:rPr>
          <w:b/>
          <w:bCs/>
          <w:color w:val="1F6F54"/>
          <w:sz w:val="22"/>
          <w:szCs w:val="22"/>
        </w:rPr>
        <w:t xml:space="preserve">EA-09 — </w:t>
      </w:r>
      <w:r>
        <w:rPr>
          <w:b/>
          <w:bCs/>
          <w:color w:val="1A1A1A"/>
          <w:sz w:val="22"/>
          <w:szCs w:val="22"/>
        </w:rPr>
        <w:t xml:space="preserve">alert() brut comme feedback d'erreur</w:t>
      </w:r>
      <w:r>
        <w:rPr>
          <w:b/>
          <w:bCs/>
          <w:color w:val="B23A2E"/>
          <w:sz w:val="18"/>
          <w:szCs w:val="18"/>
        </w:rPr>
        <w:t xml:space="preserve">   [majeur]</w:t>
      </w:r>
    </w:p>
    <w:p>
      <w:pPr>
        <w:spacing w:after="120"/>
      </w:pPr>
      <w:r>
        <w:t xml:space="preserve">Six endroits du Painel — dont le changement de statut de tâche et des actions de l'onglet lecteur — signalent une erreur via la boîte alert() native du navigateur, souvent en y injectant le message technique brut renvoyé par la base. C'est abrupt, hors charte visuelle, et souvent incompréhensible pour une personne non informaticienne.</w:t>
      </w:r>
    </w:p>
    <w:p>
      <w:pPr>
        <w:spacing w:after="120"/>
      </w:pPr>
      <w:r>
        <w:rPr>
          <w:b/>
          <w:bCs/>
        </w:rPr>
        <w:t xml:space="preserve">Arbitrage proposé : </w:t>
      </w:r>
      <w:r>
        <w:t xml:space="preserve">remplacer les alert() par le mécanisme de message intégré déjà utilisé ailleurs dans le Painel (zones de message en contexte), et ne jamais afficher un message technique brut sans le traduire. Chantier transverse, peu risqué.</w:t>
      </w:r>
    </w:p>
    <w:p>
      <w:pPr>
        <w:spacing w:after="60" w:before="160"/>
      </w:pPr>
      <w:r>
        <w:rPr>
          <w:b/>
          <w:bCs/>
          <w:color w:val="1F6F54"/>
          <w:sz w:val="22"/>
          <w:szCs w:val="22"/>
        </w:rPr>
        <w:t xml:space="preserve">EA-10 — </w:t>
      </w:r>
      <w:r>
        <w:rPr>
          <w:b/>
          <w:bCs/>
          <w:color w:val="1A1A1A"/>
          <w:sz w:val="22"/>
          <w:szCs w:val="22"/>
        </w:rPr>
        <w:t xml:space="preserve">La restriction d'une personne n'est pas tracée à l'écran</w:t>
      </w:r>
      <w:r>
        <w:rPr>
          <w:b/>
          <w:bCs/>
          <w:color w:val="B23A2E"/>
          <w:sz w:val="18"/>
          <w:szCs w:val="18"/>
        </w:rPr>
        <w:t xml:space="preserve">   [majeur]</w:t>
      </w:r>
    </w:p>
    <w:p>
      <w:pPr>
        <w:spacing w:after="120"/>
      </w:pPr>
      <w:r>
        <w:t xml:space="preserve">Restreindre l'accès d'une personne lectrice est une mesure lourde, politiquement sensible dans le contexte d'une bibliothèque militante. La fiche affiche l'état (restreint ou non) et la raison libre, mais ni l'autrice de la décision, ni sa date. La spec gouvernance pose pourtant l'horizontalité informationnelle — l'audit log public au staff — comme principe.</w:t>
      </w:r>
    </w:p>
    <w:p>
      <w:pPr>
        <w:spacing w:after="120"/>
      </w:pPr>
      <w:r>
        <w:rPr>
          <w:b/>
          <w:bCs/>
        </w:rPr>
        <w:t xml:space="preserve">Arbitrage proposé : </w:t>
      </w:r>
      <w:r>
        <w:t xml:space="preserve">afficher, à côté du statut de restriction, qui l'a posée et quand. Si la donnée n'est pas capturée en base, c'est un petit chantier backend ; si elle l'est déjà, c'est un simple ajout d'affichage. À vérifier sur le schéma.</w:t>
      </w:r>
    </w:p>
    <w:p>
      <w:pPr>
        <w:pStyle w:val="Heading2"/>
      </w:pPr>
      <w:r>
        <w:t xml:space="preserve">2.7 Historique</w:t>
      </w:r>
    </w:p>
    <w:p>
      <w:pPr>
        <w:spacing w:after="120"/>
      </w:pPr>
      <w:r>
        <w:rPr>
          <w:b/>
          <w:bCs/>
        </w:rPr>
        <w:t xml:space="preserve">Rôle : </w:t>
      </w:r>
      <w:r>
        <w:t xml:space="preserve">items archivés — réservations, consultations et emprunts clôturés. Pagination côté base, filtres par type, chargement incrémental.</w:t>
      </w:r>
    </w:p>
    <w:p>
      <w:pPr>
        <w:spacing w:after="120"/>
      </w:pPr>
      <w:r>
        <w:t xml:space="preserve">Onglet de nature archive. L'audit précédent l'avait déjà jugé bien construit, et cet examen le confirme : pagination réelle, filtres cochables, sélection par défaut intelligente. Les critères 3, 4, 6 ne « mordent » quasiment pas — un historique est en lecture seule.</w:t>
      </w:r>
    </w:p>
    <w:p>
      <w:pPr>
        <w:pStyle w:val="ListParagraph"/>
        <w:numPr>
          <w:ilvl w:val="0"/>
          <w:numId w:val="2"/>
        </w:numPr>
        <w:spacing w:after="60"/>
      </w:pPr>
      <w:r>
        <w:rPr>
          <w:b/>
          <w:bCs/>
        </w:rPr>
        <w:t xml:space="preserve">Critère 2 — </w:t>
      </w:r>
      <w:r>
        <w:t xml:space="preserve">seul bémol : la taille de page est figée à 50, sans sélecteur. Mineur.</w:t>
      </w:r>
    </w:p>
    <w:p>
      <w:pPr>
        <w:spacing w:after="60" w:before="160"/>
      </w:pPr>
      <w:r>
        <w:rPr>
          <w:b/>
          <w:bCs/>
          <w:color w:val="1F6F54"/>
          <w:sz w:val="22"/>
          <w:szCs w:val="22"/>
        </w:rPr>
        <w:t xml:space="preserve">EA-11 — </w:t>
      </w:r>
      <w:r>
        <w:rPr>
          <w:b/>
          <w:bCs/>
          <w:color w:val="1A1A1A"/>
          <w:sz w:val="22"/>
          <w:szCs w:val="22"/>
        </w:rPr>
        <w:t xml:space="preserve">Taille de page d'historique non réglable</w:t>
      </w:r>
      <w:r>
        <w:rPr>
          <w:b/>
          <w:bCs/>
          <w:color w:val="5A5A5A"/>
          <w:sz w:val="18"/>
          <w:szCs w:val="18"/>
        </w:rPr>
        <w:t xml:space="preserve">   [cosmétique]</w:t>
      </w:r>
    </w:p>
    <w:p>
      <w:pPr>
        <w:spacing w:after="120"/>
      </w:pPr>
      <w:r>
        <w:t xml:space="preserve">L'historique pagine par tranches de 50, valeur en dur. Un sélecteur 25 / 50 / 100 — la suggestion initiale du tout premier audit — aurait ici, et ici seulement, sa pertinence. Écart cosmétique, listé pour mémoire, non prioritaire.</w:t>
      </w:r>
    </w:p>
    <w:p>
      <w:pPr>
        <w:pStyle w:val="Heading2"/>
      </w:pPr>
      <w:r>
        <w:t xml:space="preserve">2.8 Cotisations</w:t>
      </w:r>
    </w:p>
    <w:p>
      <w:pPr>
        <w:spacing w:after="120"/>
      </w:pPr>
      <w:r>
        <w:rPr>
          <w:b/>
          <w:bCs/>
        </w:rPr>
        <w:t xml:space="preserve">Rôle : </w:t>
      </w:r>
      <w:r>
        <w:t xml:space="preserve">cotisations et paiements. Onglet réservé aux rôles de coordination et d'administration réseau. Filtre par statut d'adhésion.</w:t>
      </w:r>
    </w:p>
    <w:p>
      <w:pPr>
        <w:spacing w:after="120"/>
      </w:pPr>
      <w:r>
        <w:t xml:space="preserve">Onglet de nature flux financier. Les critères 3 (item_status / workflow_stage) et largement 4 ne s'appliquent pas. L'onglet a un filtre par statut — bon point de cohérence avec le reste.</w:t>
      </w:r>
    </w:p>
    <w:p>
      <w:pPr>
        <w:pStyle w:val="ListParagraph"/>
        <w:numPr>
          <w:ilvl w:val="0"/>
          <w:numId w:val="2"/>
        </w:numPr>
        <w:spacing w:after="60"/>
      </w:pPr>
      <w:r>
        <w:rPr>
          <w:b/>
          <w:bCs/>
        </w:rPr>
        <w:t xml:space="preserve">Critère 6 — </w:t>
      </w:r>
      <w:r>
        <w:t xml:space="preserve">un paiement enregistré devrait porter trace de qui l'a saisi. À vérifier : la donnée est-elle capturée et affichée ?</w:t>
      </w:r>
    </w:p>
    <w:p>
      <w:pPr>
        <w:pStyle w:val="ListParagraph"/>
        <w:numPr>
          <w:ilvl w:val="0"/>
          <w:numId w:val="2"/>
        </w:numPr>
        <w:spacing w:after="60"/>
      </w:pPr>
      <w:r>
        <w:rPr>
          <w:b/>
          <w:bCs/>
        </w:rPr>
        <w:t xml:space="preserve">Critère 7 — </w:t>
      </w:r>
      <w:r>
        <w:t xml:space="preserve">l'accès restreint aux coordinations est cohérent avec la spec gouvernance. À confirmer : le périmètre exact correspond-il au governance_mode de la biblio (en mode informal, l'onglet doit-il seulement exister) ?</w:t>
      </w:r>
    </w:p>
    <w:p>
      <w:pPr>
        <w:spacing w:after="60" w:before="160"/>
      </w:pPr>
      <w:r>
        <w:rPr>
          <w:b/>
          <w:bCs/>
          <w:color w:val="1F6F54"/>
          <w:sz w:val="22"/>
          <w:szCs w:val="22"/>
        </w:rPr>
        <w:t xml:space="preserve">EA-12 — </w:t>
      </w:r>
      <w:r>
        <w:rPr>
          <w:b/>
          <w:bCs/>
          <w:color w:val="1A1A1A"/>
          <w:sz w:val="22"/>
          <w:szCs w:val="22"/>
        </w:rPr>
        <w:t xml:space="preserve">Traçabilité de la saisie des paiements à vérifier</w:t>
      </w:r>
      <w:r>
        <w:rPr>
          <w:b/>
          <w:bCs/>
          <w:color w:val="B47A18"/>
          <w:sz w:val="18"/>
          <w:szCs w:val="18"/>
        </w:rPr>
        <w:t xml:space="preserve">   [mineur]</w:t>
      </w:r>
    </w:p>
    <w:p>
      <w:pPr>
        <w:spacing w:after="120"/>
      </w:pPr>
      <w:r>
        <w:t xml:space="preserve">Un paiement de cotisation est un acte qui engage la confiance collective. L'audit n'a pas pu confirmer, sans le schéma des tables de cotisation, si l'identité de la personne qui saisit un paiement est enregistrée et affichée. À vérifier en ouverture de chantier ; si la traçabilité manque, l'ajouter, au nom du même principe d'horizontalité que EA-10.</w:t>
      </w:r>
    </w:p>
    <w:p>
      <w:pPr>
        <w:pStyle w:val="Heading2"/>
      </w:pPr>
      <w:r>
        <w:t xml:space="preserve">2.9 Écarts transverses à plusieurs onglets</w:t>
      </w:r>
    </w:p>
    <w:p>
      <w:pPr>
        <w:spacing w:after="60" w:before="160"/>
      </w:pPr>
      <w:r>
        <w:rPr>
          <w:b/>
          <w:bCs/>
          <w:color w:val="1F6F54"/>
          <w:sz w:val="22"/>
          <w:szCs w:val="22"/>
        </w:rPr>
        <w:t xml:space="preserve">EA-13 — </w:t>
      </w:r>
      <w:r>
        <w:rPr>
          <w:b/>
          <w:bCs/>
          <w:color w:val="1A1A1A"/>
          <w:sz w:val="22"/>
          <w:szCs w:val="22"/>
        </w:rPr>
        <w:t xml:space="preserve">Vocabulaire technique affleurant à l'écran</w:t>
      </w:r>
      <w:r>
        <w:rPr>
          <w:b/>
          <w:bCs/>
          <w:color w:val="B23A2E"/>
          <w:sz w:val="18"/>
          <w:szCs w:val="18"/>
        </w:rPr>
        <w:t xml:space="preserve">   [majeur]</w:t>
      </w:r>
    </w:p>
    <w:p>
      <w:pPr>
        <w:spacing w:after="120"/>
      </w:pPr>
      <w:r>
        <w:t xml:space="preserve">Au-delà des messages d'erreur (EA-05), des termes de nomenclature interne apparaissent dans l'interface : noms d'étapes de workflow, statuts, parfois identifiants bruts. Pour un public de non-spécialistes — la cible explicite d'AnarBib — chaque terme technique est une micro-friction et une petite exclusion. L'audit ne dresse pas ici la liste exhaustive : c'est l'objet de la première étape du chantier (un balayage systématique des chaînes affichées).</w:t>
      </w:r>
    </w:p>
    <w:p>
      <w:pPr>
        <w:spacing w:after="120"/>
      </w:pPr>
      <w:r>
        <w:rPr>
          <w:b/>
          <w:bCs/>
        </w:rPr>
        <w:t xml:space="preserve">Arbitrage proposé : </w:t>
      </w:r>
      <w:r>
        <w:t xml:space="preserve">passer chaque chaîne visible au crible « est-ce un mot de bibliothéconomie ou d'informatique ? » et, si oui, la remplacer par un mot de tous les jours. Travail d'i18n, à mener sur les six locales.</w:t>
      </w:r>
    </w:p>
    <w:p>
      <w:pPr>
        <w:spacing w:after="60" w:before="160"/>
      </w:pPr>
      <w:r>
        <w:rPr>
          <w:b/>
          <w:bCs/>
          <w:color w:val="1F6F54"/>
          <w:sz w:val="22"/>
          <w:szCs w:val="22"/>
        </w:rPr>
        <w:t xml:space="preserve">EA-14 — </w:t>
      </w:r>
      <w:r>
        <w:rPr>
          <w:b/>
          <w:bCs/>
          <w:color w:val="1A1A1A"/>
          <w:sz w:val="22"/>
          <w:szCs w:val="22"/>
        </w:rPr>
        <w:t xml:space="preserve">Rechargement global à chaque action</w:t>
      </w:r>
      <w:r>
        <w:rPr>
          <w:b/>
          <w:bCs/>
          <w:color w:val="B47A18"/>
          <w:sz w:val="18"/>
          <w:szCs w:val="18"/>
        </w:rPr>
        <w:t xml:space="preserve">   [mineur]</w:t>
      </w:r>
    </w:p>
    <w:p>
      <w:pPr>
        <w:spacing w:after="120"/>
      </w:pPr>
      <w:r>
        <w:t xml:space="preserve">La quasi-totalité des actions du Painel rappelle une fonction de rechargement unique qui recharge les trois vues opérationnelles complètes. C'est lourd, et cela grossit avec l'ancienneté de la biblio. L'observation transverse OT-1 (refresh par onglet) en est le pendant côté UX ; la correction de fond est de ne recharger que ce qui a changé.</w:t>
      </w:r>
    </w:p>
    <w:p>
      <w:r>
        <w:br w:type="page"/>
      </w:r>
    </w:p>
    <w:p>
      <w:pPr>
        <w:pStyle w:val="Heading1"/>
      </w:pPr>
      <w:r>
        <w:t xml:space="preserve">3. Observations transverses</w:t>
      </w:r>
    </w:p>
    <w:p>
      <w:pPr>
        <w:spacing w:after="120"/>
      </w:pPr>
      <w:r>
        <w:t xml:space="preserve">Quatre observations ne se rattachent pas à un onglet précis mais à la page entière.</w:t>
      </w:r>
    </w:p>
    <w:p>
      <w:pPr>
        <w:pStyle w:val="Heading3"/>
      </w:pPr>
      <w:r>
        <w:t xml:space="preserve">OT-1 — Bouton de refresh par onglet</w:t>
      </w:r>
    </w:p>
    <w:p>
      <w:pPr>
        <w:spacing w:after="120"/>
      </w:pPr>
      <w:r>
        <w:t xml:space="preserve">Le Painel n'a aujourd'hui qu'un bouton de rafraîchissement global, dans l'en-tête, qui recharge tout. Sur le modèle de ce qui existe déjà dans la page Biblioteca, ajouter un bouton de refresh propre à chaque onglet, à côté du titre. Bénéfice double : la personne rafraîchit ce qu'elle regarde, et — couplé à EA-14 — on ne recharge que la vue concernée. Demande explicite formulée lors du cadrage.</w:t>
      </w:r>
    </w:p>
    <w:p>
      <w:pPr>
        <w:pStyle w:val="Heading3"/>
      </w:pPr>
      <w:r>
        <w:t xml:space="preserve">OT-2 — Styles inline massifs</w:t>
      </w:r>
    </w:p>
    <w:p>
      <w:pPr>
        <w:spacing w:after="120"/>
      </w:pPr>
      <w:r>
        <w:t xml:space="preserve">Le composant contient de l'ordre de cent cinquante blocs de style écrits directement dans le JSX. Ce n'est pas un défaut visible par la personne utilisatrice, mais une dette de maintenabilité : la charte visuelle n'est pas centralisée, une retouche d'apparence oblige à chasser dans le code. À traiter comme nettoyage technique, sans urgence UX.</w:t>
      </w:r>
    </w:p>
    <w:p>
      <w:pPr>
        <w:pStyle w:val="Heading3"/>
      </w:pPr>
      <w:r>
        <w:t xml:space="preserve">OT-3 — Saisie par scan de code-barres</w:t>
      </w:r>
    </w:p>
    <w:p>
      <w:pPr>
        <w:spacing w:after="120"/>
      </w:pPr>
      <w:r>
        <w:t xml:space="preserve">Déjà cadré comme sous-chantier. Le principe arbitré : la carte à code-barres n'est pas une fonctionnalité imposée mais une option de bibliothèque, désactivée par défaut, qu'un collectif active via une case à cocher dans la page Biblioteca. Le SIGB permet la carte, il ne la prescrit pas — c'est l'éthique « chaque collectif décide » inscrite dans l'architecture. Techniquement : le public_id existe déjà, il suffit de le rendre scannable (code-barres ou QR affiché côté espace lecteur) et d'ajouter un champ de scan côté Painel, lu par la caméra du téléphone de permanence. Aucun matériel propriétaire, aucun onglet d'édition de cartes à construire. Répond directement à EA-02.</w:t>
      </w:r>
    </w:p>
    <w:p>
      <w:pPr>
        <w:pStyle w:val="Heading3"/>
      </w:pPr>
      <w:r>
        <w:t xml:space="preserve">OT-4 — Une page, un fichier de 2932 lignes</w:t>
      </w:r>
    </w:p>
    <w:p>
      <w:pPr>
        <w:spacing w:after="120"/>
      </w:pPr>
      <w:r>
        <w:t xml:space="preserve">Tout le Painel — neuf onglets, leur logique, leurs sous-composants — tient dans un seul fichier. C'est gérable aujourd'hui mais fragile : on l'a vu cette session, un fichier de cette taille se relit mal et se patche avec prudence. Découper chaque onglet en son propre composant est un chantier de structure, sans effet UX direct, mais qui sécuriserait toute évolution future. À planifier à froid.</w:t>
      </w:r>
    </w:p>
    <w:p>
      <w:r>
        <w:br w:type="page"/>
      </w:r>
    </w:p>
    <w:p>
      <w:pPr>
        <w:pStyle w:val="Heading1"/>
      </w:pPr>
      <w:r>
        <w:t xml:space="preserve">4. Synthèse et séquence de chantiers proposée</w:t>
      </w:r>
    </w:p>
    <w:p>
      <w:pPr>
        <w:pStyle w:val="Heading2"/>
      </w:pPr>
      <w:r>
        <w:t xml:space="preserve">4.1 Tableau récapitulatif des écarts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1500"/>
        <w:gridCol w:w="2260"/>
      </w:tblGrid>
      <w:tr>
        <w:trPr>
          <w:tblHeader/>
        </w:trPr>
        <w:tc>
          <w:tcPr>
            <w:tcW w:type="dxa" w:w="900"/>
            <w:tcBorders>
              <w:top w:val="single" w:color="CCCCCC" w:sz="1"/>
              <w:left w:val="single" w:color="CCCCCC" w:sz="1"/>
              <w:bottom w:val="single" w:color="CCCCCC" w:sz="1"/>
              <w:right w:val="single" w:color="CCCCCC" w:sz="1"/>
            </w:tcBorders>
            <w:shd w:fill="1F6F54" w:val="clear"/>
            <w:tcMar>
              <w:top w:type="dxa" w:w="70"/>
              <w:left w:type="dxa" w:w="110"/>
              <w:bottom w:type="dxa" w:w="70"/>
              <w:right w:type="dxa" w:w="110"/>
            </w:tcMar>
          </w:tcPr>
          <w:p>
            <w:r>
              <w:rPr>
                <w:b/>
                <w:bCs/>
                <w:color w:val="FFFFFF"/>
                <w:sz w:val="18"/>
                <w:szCs w:val="18"/>
              </w:rPr>
              <w:t xml:space="preserve">Code</w:t>
            </w:r>
          </w:p>
        </w:tc>
        <w:tc>
          <w:tcPr>
            <w:tcW w:type="dxa" w:w="4700"/>
            <w:tcBorders>
              <w:top w:val="single" w:color="CCCCCC" w:sz="1"/>
              <w:left w:val="single" w:color="CCCCCC" w:sz="1"/>
              <w:bottom w:val="single" w:color="CCCCCC" w:sz="1"/>
              <w:right w:val="single" w:color="CCCCCC" w:sz="1"/>
            </w:tcBorders>
            <w:shd w:fill="1F6F54" w:val="clear"/>
            <w:tcMar>
              <w:top w:type="dxa" w:w="70"/>
              <w:left w:type="dxa" w:w="110"/>
              <w:bottom w:type="dxa" w:w="70"/>
              <w:right w:type="dxa" w:w="110"/>
            </w:tcMar>
          </w:tcPr>
          <w:p>
            <w:r>
              <w:rPr>
                <w:b/>
                <w:bCs/>
                <w:color w:val="FFFFFF"/>
                <w:sz w:val="18"/>
                <w:szCs w:val="18"/>
              </w:rPr>
              <w:t xml:space="preserve">Écart</w:t>
            </w:r>
          </w:p>
        </w:tc>
        <w:tc>
          <w:tcPr>
            <w:tcW w:type="dxa" w:w="1500"/>
            <w:tcBorders>
              <w:top w:val="single" w:color="CCCCCC" w:sz="1"/>
              <w:left w:val="single" w:color="CCCCCC" w:sz="1"/>
              <w:bottom w:val="single" w:color="CCCCCC" w:sz="1"/>
              <w:right w:val="single" w:color="CCCCCC" w:sz="1"/>
            </w:tcBorders>
            <w:shd w:fill="1F6F54" w:val="clear"/>
            <w:tcMar>
              <w:top w:type="dxa" w:w="70"/>
              <w:left w:type="dxa" w:w="110"/>
              <w:bottom w:type="dxa" w:w="70"/>
              <w:right w:type="dxa" w:w="110"/>
            </w:tcMar>
          </w:tcPr>
          <w:p>
            <w:r>
              <w:rPr>
                <w:b/>
                <w:bCs/>
                <w:color w:val="FFFFFF"/>
                <w:sz w:val="18"/>
                <w:szCs w:val="18"/>
              </w:rPr>
              <w:t xml:space="preserve">Gravité</w:t>
            </w:r>
          </w:p>
        </w:tc>
        <w:tc>
          <w:tcPr>
            <w:tcW w:type="dxa" w:w="2260"/>
            <w:tcBorders>
              <w:top w:val="single" w:color="CCCCCC" w:sz="1"/>
              <w:left w:val="single" w:color="CCCCCC" w:sz="1"/>
              <w:bottom w:val="single" w:color="CCCCCC" w:sz="1"/>
              <w:right w:val="single" w:color="CCCCCC" w:sz="1"/>
            </w:tcBorders>
            <w:shd w:fill="1F6F54" w:val="clear"/>
            <w:tcMar>
              <w:top w:type="dxa" w:w="70"/>
              <w:left w:type="dxa" w:w="110"/>
              <w:bottom w:type="dxa" w:w="70"/>
              <w:right w:type="dxa" w:w="110"/>
            </w:tcMar>
          </w:tcPr>
          <w:p>
            <w:r>
              <w:rPr>
                <w:b/>
                <w:bCs/>
                <w:color w:val="FFFFFF"/>
                <w:sz w:val="18"/>
                <w:szCs w:val="18"/>
              </w:rPr>
              <w:t xml:space="preserve">Nature</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bCs/>
                <w:color w:val="1A1A1A"/>
                <w:sz w:val="18"/>
                <w:szCs w:val="18"/>
              </w:rPr>
              <w:t xml:space="preserve">EA-01</w:t>
            </w:r>
          </w:p>
        </w:tc>
        <w:tc>
          <w:tcPr>
            <w:tcW w:type="dxa" w:w="4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1A1A1A"/>
                <w:sz w:val="18"/>
                <w:szCs w:val="18"/>
              </w:rPr>
              <w:t xml:space="preserve">Modèle tâche-centré non généralisé</w:t>
            </w:r>
          </w:p>
        </w:tc>
        <w:tc>
          <w:tcPr>
            <w:tcW w:type="dxa" w:w="1500"/>
            <w:tcBorders>
              <w:top w:val="single" w:color="CCCCCC" w:sz="1"/>
              <w:left w:val="single" w:color="CCCCCC" w:sz="1"/>
              <w:bottom w:val="single" w:color="CCCCCC" w:sz="1"/>
              <w:right w:val="single" w:color="CCCCCC" w:sz="1"/>
            </w:tcBorders>
            <w:shd w:fill="F6E4E2" w:val="clear"/>
            <w:tcMar>
              <w:top w:type="dxa" w:w="70"/>
              <w:left w:type="dxa" w:w="110"/>
              <w:bottom w:type="dxa" w:w="70"/>
              <w:right w:type="dxa" w:w="110"/>
            </w:tcMar>
          </w:tcPr>
          <w:p>
            <w:r>
              <w:rPr>
                <w:b w:val="false"/>
                <w:bCs w:val="false"/>
                <w:color w:val="1A1A1A"/>
                <w:sz w:val="18"/>
                <w:szCs w:val="18"/>
              </w:rPr>
              <w:t xml:space="preserve">majeur</w:t>
            </w:r>
          </w:p>
        </w:tc>
        <w:tc>
          <w:tcPr>
            <w:tcW w:type="dxa" w:w="2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1A1A1A"/>
                <w:sz w:val="18"/>
                <w:szCs w:val="18"/>
              </w:rPr>
              <w:t xml:space="preserve">Stratégique</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bCs/>
                <w:color w:val="1A1A1A"/>
                <w:sz w:val="18"/>
                <w:szCs w:val="18"/>
              </w:rPr>
              <w:t xml:space="preserve">EA-02</w:t>
            </w:r>
          </w:p>
        </w:tc>
        <w:tc>
          <w:tcPr>
            <w:tcW w:type="dxa" w:w="4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1A1A1A"/>
                <w:sz w:val="18"/>
                <w:szCs w:val="18"/>
              </w:rPr>
              <w:t xml:space="preserve">Saisie d'identifiants manuelle</w:t>
            </w:r>
          </w:p>
        </w:tc>
        <w:tc>
          <w:tcPr>
            <w:tcW w:type="dxa" w:w="1500"/>
            <w:tcBorders>
              <w:top w:val="single" w:color="CCCCCC" w:sz="1"/>
              <w:left w:val="single" w:color="CCCCCC" w:sz="1"/>
              <w:bottom w:val="single" w:color="CCCCCC" w:sz="1"/>
              <w:right w:val="single" w:color="CCCCCC" w:sz="1"/>
            </w:tcBorders>
            <w:shd w:fill="F6E4E2" w:val="clear"/>
            <w:tcMar>
              <w:top w:type="dxa" w:w="70"/>
              <w:left w:type="dxa" w:w="110"/>
              <w:bottom w:type="dxa" w:w="70"/>
              <w:right w:type="dxa" w:w="110"/>
            </w:tcMar>
          </w:tcPr>
          <w:p>
            <w:r>
              <w:rPr>
                <w:b w:val="false"/>
                <w:bCs w:val="false"/>
                <w:color w:val="1A1A1A"/>
                <w:sz w:val="18"/>
                <w:szCs w:val="18"/>
              </w:rPr>
              <w:t xml:space="preserve">majeur</w:t>
            </w:r>
          </w:p>
        </w:tc>
        <w:tc>
          <w:tcPr>
            <w:tcW w:type="dxa" w:w="2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1A1A1A"/>
                <w:sz w:val="18"/>
                <w:szCs w:val="18"/>
              </w:rPr>
              <w:t xml:space="preserve">Frontend + option</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bCs/>
                <w:color w:val="1A1A1A"/>
                <w:sz w:val="18"/>
                <w:szCs w:val="18"/>
              </w:rPr>
              <w:t xml:space="preserve">EA-03</w:t>
            </w:r>
          </w:p>
        </w:tc>
        <w:tc>
          <w:tcPr>
            <w:tcW w:type="dxa" w:w="4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1A1A1A"/>
                <w:sz w:val="18"/>
                <w:szCs w:val="18"/>
              </w:rPr>
              <w:t xml:space="preserve">Retour sans prévisualisation</w:t>
            </w:r>
          </w:p>
        </w:tc>
        <w:tc>
          <w:tcPr>
            <w:tcW w:type="dxa" w:w="1500"/>
            <w:tcBorders>
              <w:top w:val="single" w:color="CCCCCC" w:sz="1"/>
              <w:left w:val="single" w:color="CCCCCC" w:sz="1"/>
              <w:bottom w:val="single" w:color="CCCCCC" w:sz="1"/>
              <w:right w:val="single" w:color="CCCCCC" w:sz="1"/>
            </w:tcBorders>
            <w:shd w:fill="F6EFE0" w:val="clear"/>
            <w:tcMar>
              <w:top w:type="dxa" w:w="70"/>
              <w:left w:type="dxa" w:w="110"/>
              <w:bottom w:type="dxa" w:w="70"/>
              <w:right w:type="dxa" w:w="110"/>
            </w:tcMar>
          </w:tcPr>
          <w:p>
            <w:r>
              <w:rPr>
                <w:b w:val="false"/>
                <w:bCs w:val="false"/>
                <w:color w:val="1A1A1A"/>
                <w:sz w:val="18"/>
                <w:szCs w:val="18"/>
              </w:rPr>
              <w:t xml:space="preserve">mineur</w:t>
            </w:r>
          </w:p>
        </w:tc>
        <w:tc>
          <w:tcPr>
            <w:tcW w:type="dxa" w:w="2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1A1A1A"/>
                <w:sz w:val="18"/>
                <w:szCs w:val="18"/>
              </w:rPr>
              <w:t xml:space="preserve">Frontend</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bCs/>
                <w:color w:val="1A1A1A"/>
                <w:sz w:val="18"/>
                <w:szCs w:val="18"/>
              </w:rPr>
              <w:t xml:space="preserve">EA-04</w:t>
            </w:r>
          </w:p>
        </w:tc>
        <w:tc>
          <w:tcPr>
            <w:tcW w:type="dxa" w:w="4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1A1A1A"/>
                <w:sz w:val="18"/>
                <w:szCs w:val="18"/>
              </w:rPr>
              <w:t xml:space="preserve">Filtre actif sur une colonne faillible</w:t>
            </w:r>
          </w:p>
        </w:tc>
        <w:tc>
          <w:tcPr>
            <w:tcW w:type="dxa" w:w="1500"/>
            <w:tcBorders>
              <w:top w:val="single" w:color="CCCCCC" w:sz="1"/>
              <w:left w:val="single" w:color="CCCCCC" w:sz="1"/>
              <w:bottom w:val="single" w:color="CCCCCC" w:sz="1"/>
              <w:right w:val="single" w:color="CCCCCC" w:sz="1"/>
            </w:tcBorders>
            <w:shd w:fill="F6E4E2" w:val="clear"/>
            <w:tcMar>
              <w:top w:type="dxa" w:w="70"/>
              <w:left w:type="dxa" w:w="110"/>
              <w:bottom w:type="dxa" w:w="70"/>
              <w:right w:type="dxa" w:w="110"/>
            </w:tcMar>
          </w:tcPr>
          <w:p>
            <w:r>
              <w:rPr>
                <w:b w:val="false"/>
                <w:bCs w:val="false"/>
                <w:color w:val="1A1A1A"/>
                <w:sz w:val="18"/>
                <w:szCs w:val="18"/>
              </w:rPr>
              <w:t xml:space="preserve">majeur</w:t>
            </w:r>
          </w:p>
        </w:tc>
        <w:tc>
          <w:tcPr>
            <w:tcW w:type="dxa" w:w="2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1A1A1A"/>
                <w:sz w:val="18"/>
                <w:szCs w:val="18"/>
              </w:rPr>
              <w:t xml:space="preserve">Frontend</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bCs/>
                <w:color w:val="1A1A1A"/>
                <w:sz w:val="18"/>
                <w:szCs w:val="18"/>
              </w:rPr>
              <w:t xml:space="preserve">EA-05</w:t>
            </w:r>
          </w:p>
        </w:tc>
        <w:tc>
          <w:tcPr>
            <w:tcW w:type="dxa" w:w="4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1A1A1A"/>
                <w:sz w:val="18"/>
                <w:szCs w:val="18"/>
              </w:rPr>
              <w:t xml:space="preserve">Message d'erreur de transition illisible</w:t>
            </w:r>
          </w:p>
        </w:tc>
        <w:tc>
          <w:tcPr>
            <w:tcW w:type="dxa" w:w="1500"/>
            <w:tcBorders>
              <w:top w:val="single" w:color="CCCCCC" w:sz="1"/>
              <w:left w:val="single" w:color="CCCCCC" w:sz="1"/>
              <w:bottom w:val="single" w:color="CCCCCC" w:sz="1"/>
              <w:right w:val="single" w:color="CCCCCC" w:sz="1"/>
            </w:tcBorders>
            <w:shd w:fill="F6E4E2" w:val="clear"/>
            <w:tcMar>
              <w:top w:type="dxa" w:w="70"/>
              <w:left w:type="dxa" w:w="110"/>
              <w:bottom w:type="dxa" w:w="70"/>
              <w:right w:type="dxa" w:w="110"/>
            </w:tcMar>
          </w:tcPr>
          <w:p>
            <w:r>
              <w:rPr>
                <w:b w:val="false"/>
                <w:bCs w:val="false"/>
                <w:color w:val="1A1A1A"/>
                <w:sz w:val="18"/>
                <w:szCs w:val="18"/>
              </w:rPr>
              <w:t xml:space="preserve">majeur</w:t>
            </w:r>
          </w:p>
        </w:tc>
        <w:tc>
          <w:tcPr>
            <w:tcW w:type="dxa" w:w="2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1A1A1A"/>
                <w:sz w:val="18"/>
                <w:szCs w:val="18"/>
              </w:rPr>
              <w:t xml:space="preserve">Frontend + i18n</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bCs/>
                <w:color w:val="1A1A1A"/>
                <w:sz w:val="18"/>
                <w:szCs w:val="18"/>
              </w:rPr>
              <w:t xml:space="preserve">EA-06</w:t>
            </w:r>
          </w:p>
        </w:tc>
        <w:tc>
          <w:tcPr>
            <w:tcW w:type="dxa" w:w="4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1A1A1A"/>
                <w:sz w:val="18"/>
                <w:szCs w:val="18"/>
              </w:rPr>
              <w:t xml:space="preserve">Double nomenclature statut / étape</w:t>
            </w:r>
          </w:p>
        </w:tc>
        <w:tc>
          <w:tcPr>
            <w:tcW w:type="dxa" w:w="1500"/>
            <w:tcBorders>
              <w:top w:val="single" w:color="CCCCCC" w:sz="1"/>
              <w:left w:val="single" w:color="CCCCCC" w:sz="1"/>
              <w:bottom w:val="single" w:color="CCCCCC" w:sz="1"/>
              <w:right w:val="single" w:color="CCCCCC" w:sz="1"/>
            </w:tcBorders>
            <w:shd w:fill="F6EFE0" w:val="clear"/>
            <w:tcMar>
              <w:top w:type="dxa" w:w="70"/>
              <w:left w:type="dxa" w:w="110"/>
              <w:bottom w:type="dxa" w:w="70"/>
              <w:right w:type="dxa" w:w="110"/>
            </w:tcMar>
          </w:tcPr>
          <w:p>
            <w:r>
              <w:rPr>
                <w:b w:val="false"/>
                <w:bCs w:val="false"/>
                <w:color w:val="1A1A1A"/>
                <w:sz w:val="18"/>
                <w:szCs w:val="18"/>
              </w:rPr>
              <w:t xml:space="preserve">mineur</w:t>
            </w:r>
          </w:p>
        </w:tc>
        <w:tc>
          <w:tcPr>
            <w:tcW w:type="dxa" w:w="2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1A1A1A"/>
                <w:sz w:val="18"/>
                <w:szCs w:val="18"/>
              </w:rPr>
              <w:t xml:space="preserve">Documentation</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bCs/>
                <w:color w:val="1A1A1A"/>
                <w:sz w:val="18"/>
                <w:szCs w:val="18"/>
              </w:rPr>
              <w:t xml:space="preserve">EA-07</w:t>
            </w:r>
          </w:p>
        </w:tc>
        <w:tc>
          <w:tcPr>
            <w:tcW w:type="dxa" w:w="4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1A1A1A"/>
                <w:sz w:val="18"/>
                <w:szCs w:val="18"/>
              </w:rPr>
              <w:t xml:space="preserve">Deux onglets pour un objet métier</w:t>
            </w:r>
          </w:p>
        </w:tc>
        <w:tc>
          <w:tcPr>
            <w:tcW w:type="dxa" w:w="1500"/>
            <w:tcBorders>
              <w:top w:val="single" w:color="CCCCCC" w:sz="1"/>
              <w:left w:val="single" w:color="CCCCCC" w:sz="1"/>
              <w:bottom w:val="single" w:color="CCCCCC" w:sz="1"/>
              <w:right w:val="single" w:color="CCCCCC" w:sz="1"/>
            </w:tcBorders>
            <w:shd w:fill="F6E4E2" w:val="clear"/>
            <w:tcMar>
              <w:top w:type="dxa" w:w="70"/>
              <w:left w:type="dxa" w:w="110"/>
              <w:bottom w:type="dxa" w:w="70"/>
              <w:right w:type="dxa" w:w="110"/>
            </w:tcMar>
          </w:tcPr>
          <w:p>
            <w:r>
              <w:rPr>
                <w:b w:val="false"/>
                <w:bCs w:val="false"/>
                <w:color w:val="1A1A1A"/>
                <w:sz w:val="18"/>
                <w:szCs w:val="18"/>
              </w:rPr>
              <w:t xml:space="preserve">majeur</w:t>
            </w:r>
          </w:p>
        </w:tc>
        <w:tc>
          <w:tcPr>
            <w:tcW w:type="dxa" w:w="2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1A1A1A"/>
                <w:sz w:val="18"/>
                <w:szCs w:val="18"/>
              </w:rPr>
              <w:t xml:space="preserve">Frontend</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bCs/>
                <w:color w:val="1A1A1A"/>
                <w:sz w:val="18"/>
                <w:szCs w:val="18"/>
              </w:rPr>
              <w:t xml:space="preserve">EA-08</w:t>
            </w:r>
          </w:p>
        </w:tc>
        <w:tc>
          <w:tcPr>
            <w:tcW w:type="dxa" w:w="4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1A1A1A"/>
                <w:sz w:val="18"/>
                <w:szCs w:val="18"/>
              </w:rPr>
              <w:t xml:space="preserve">Emprunts groupés sans tri ni filtre</w:t>
            </w:r>
          </w:p>
        </w:tc>
        <w:tc>
          <w:tcPr>
            <w:tcW w:type="dxa" w:w="1500"/>
            <w:tcBorders>
              <w:top w:val="single" w:color="CCCCCC" w:sz="1"/>
              <w:left w:val="single" w:color="CCCCCC" w:sz="1"/>
              <w:bottom w:val="single" w:color="CCCCCC" w:sz="1"/>
              <w:right w:val="single" w:color="CCCCCC" w:sz="1"/>
            </w:tcBorders>
            <w:shd w:fill="F6EFE0" w:val="clear"/>
            <w:tcMar>
              <w:top w:type="dxa" w:w="70"/>
              <w:left w:type="dxa" w:w="110"/>
              <w:bottom w:type="dxa" w:w="70"/>
              <w:right w:type="dxa" w:w="110"/>
            </w:tcMar>
          </w:tcPr>
          <w:p>
            <w:r>
              <w:rPr>
                <w:b w:val="false"/>
                <w:bCs w:val="false"/>
                <w:color w:val="1A1A1A"/>
                <w:sz w:val="18"/>
                <w:szCs w:val="18"/>
              </w:rPr>
              <w:t xml:space="preserve">mineur</w:t>
            </w:r>
          </w:p>
        </w:tc>
        <w:tc>
          <w:tcPr>
            <w:tcW w:type="dxa" w:w="2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1A1A1A"/>
                <w:sz w:val="18"/>
                <w:szCs w:val="18"/>
              </w:rPr>
              <w:t xml:space="preserve">Frontend</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bCs/>
                <w:color w:val="1A1A1A"/>
                <w:sz w:val="18"/>
                <w:szCs w:val="18"/>
              </w:rPr>
              <w:t xml:space="preserve">EA-09</w:t>
            </w:r>
          </w:p>
        </w:tc>
        <w:tc>
          <w:tcPr>
            <w:tcW w:type="dxa" w:w="4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1A1A1A"/>
                <w:sz w:val="18"/>
                <w:szCs w:val="18"/>
              </w:rPr>
              <w:t xml:space="preserve">alert() brut comme feedback</w:t>
            </w:r>
          </w:p>
        </w:tc>
        <w:tc>
          <w:tcPr>
            <w:tcW w:type="dxa" w:w="1500"/>
            <w:tcBorders>
              <w:top w:val="single" w:color="CCCCCC" w:sz="1"/>
              <w:left w:val="single" w:color="CCCCCC" w:sz="1"/>
              <w:bottom w:val="single" w:color="CCCCCC" w:sz="1"/>
              <w:right w:val="single" w:color="CCCCCC" w:sz="1"/>
            </w:tcBorders>
            <w:shd w:fill="F6E4E2" w:val="clear"/>
            <w:tcMar>
              <w:top w:type="dxa" w:w="70"/>
              <w:left w:type="dxa" w:w="110"/>
              <w:bottom w:type="dxa" w:w="70"/>
              <w:right w:type="dxa" w:w="110"/>
            </w:tcMar>
          </w:tcPr>
          <w:p>
            <w:r>
              <w:rPr>
                <w:b w:val="false"/>
                <w:bCs w:val="false"/>
                <w:color w:val="1A1A1A"/>
                <w:sz w:val="18"/>
                <w:szCs w:val="18"/>
              </w:rPr>
              <w:t xml:space="preserve">majeur</w:t>
            </w:r>
          </w:p>
        </w:tc>
        <w:tc>
          <w:tcPr>
            <w:tcW w:type="dxa" w:w="2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1A1A1A"/>
                <w:sz w:val="18"/>
                <w:szCs w:val="18"/>
              </w:rPr>
              <w:t xml:space="preserve">Frontend</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bCs/>
                <w:color w:val="1A1A1A"/>
                <w:sz w:val="18"/>
                <w:szCs w:val="18"/>
              </w:rPr>
              <w:t xml:space="preserve">EA-10</w:t>
            </w:r>
          </w:p>
        </w:tc>
        <w:tc>
          <w:tcPr>
            <w:tcW w:type="dxa" w:w="4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1A1A1A"/>
                <w:sz w:val="18"/>
                <w:szCs w:val="18"/>
              </w:rPr>
              <w:t xml:space="preserve">Restriction non tracée à l'écran</w:t>
            </w:r>
          </w:p>
        </w:tc>
        <w:tc>
          <w:tcPr>
            <w:tcW w:type="dxa" w:w="1500"/>
            <w:tcBorders>
              <w:top w:val="single" w:color="CCCCCC" w:sz="1"/>
              <w:left w:val="single" w:color="CCCCCC" w:sz="1"/>
              <w:bottom w:val="single" w:color="CCCCCC" w:sz="1"/>
              <w:right w:val="single" w:color="CCCCCC" w:sz="1"/>
            </w:tcBorders>
            <w:shd w:fill="F6E4E2" w:val="clear"/>
            <w:tcMar>
              <w:top w:type="dxa" w:w="70"/>
              <w:left w:type="dxa" w:w="110"/>
              <w:bottom w:type="dxa" w:w="70"/>
              <w:right w:type="dxa" w:w="110"/>
            </w:tcMar>
          </w:tcPr>
          <w:p>
            <w:r>
              <w:rPr>
                <w:b w:val="false"/>
                <w:bCs w:val="false"/>
                <w:color w:val="1A1A1A"/>
                <w:sz w:val="18"/>
                <w:szCs w:val="18"/>
              </w:rPr>
              <w:t xml:space="preserve">majeur</w:t>
            </w:r>
          </w:p>
        </w:tc>
        <w:tc>
          <w:tcPr>
            <w:tcW w:type="dxa" w:w="2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1A1A1A"/>
                <w:sz w:val="18"/>
                <w:szCs w:val="18"/>
              </w:rPr>
              <w:t xml:space="preserve">Frontend + backend ?</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bCs/>
                <w:color w:val="1A1A1A"/>
                <w:sz w:val="18"/>
                <w:szCs w:val="18"/>
              </w:rPr>
              <w:t xml:space="preserve">EA-11</w:t>
            </w:r>
          </w:p>
        </w:tc>
        <w:tc>
          <w:tcPr>
            <w:tcW w:type="dxa" w:w="4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1A1A1A"/>
                <w:sz w:val="18"/>
                <w:szCs w:val="18"/>
              </w:rPr>
              <w:t xml:space="preserve">Taille de page d'historique figée</w:t>
            </w:r>
          </w:p>
        </w:tc>
        <w:tc>
          <w:tcPr>
            <w:tcW w:type="dxa" w:w="1500"/>
            <w:tcBorders>
              <w:top w:val="single" w:color="CCCCCC" w:sz="1"/>
              <w:left w:val="single" w:color="CCCCCC" w:sz="1"/>
              <w:bottom w:val="single" w:color="CCCCCC" w:sz="1"/>
              <w:right w:val="single" w:color="CCCCCC" w:sz="1"/>
            </w:tcBorders>
            <w:shd w:fill="F0F0F0" w:val="clear"/>
            <w:tcMar>
              <w:top w:type="dxa" w:w="70"/>
              <w:left w:type="dxa" w:w="110"/>
              <w:bottom w:type="dxa" w:w="70"/>
              <w:right w:type="dxa" w:w="110"/>
            </w:tcMar>
          </w:tcPr>
          <w:p>
            <w:r>
              <w:rPr>
                <w:b w:val="false"/>
                <w:bCs w:val="false"/>
                <w:color w:val="1A1A1A"/>
                <w:sz w:val="18"/>
                <w:szCs w:val="18"/>
              </w:rPr>
              <w:t xml:space="preserve">cosmétique</w:t>
            </w:r>
          </w:p>
        </w:tc>
        <w:tc>
          <w:tcPr>
            <w:tcW w:type="dxa" w:w="2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1A1A1A"/>
                <w:sz w:val="18"/>
                <w:szCs w:val="18"/>
              </w:rPr>
              <w:t xml:space="preserve">Frontend</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bCs/>
                <w:color w:val="1A1A1A"/>
                <w:sz w:val="18"/>
                <w:szCs w:val="18"/>
              </w:rPr>
              <w:t xml:space="preserve">EA-12</w:t>
            </w:r>
          </w:p>
        </w:tc>
        <w:tc>
          <w:tcPr>
            <w:tcW w:type="dxa" w:w="4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1A1A1A"/>
                <w:sz w:val="18"/>
                <w:szCs w:val="18"/>
              </w:rPr>
              <w:t xml:space="preserve">Traçabilité paiements à vérifier</w:t>
            </w:r>
          </w:p>
        </w:tc>
        <w:tc>
          <w:tcPr>
            <w:tcW w:type="dxa" w:w="1500"/>
            <w:tcBorders>
              <w:top w:val="single" w:color="CCCCCC" w:sz="1"/>
              <w:left w:val="single" w:color="CCCCCC" w:sz="1"/>
              <w:bottom w:val="single" w:color="CCCCCC" w:sz="1"/>
              <w:right w:val="single" w:color="CCCCCC" w:sz="1"/>
            </w:tcBorders>
            <w:shd w:fill="F6EFE0" w:val="clear"/>
            <w:tcMar>
              <w:top w:type="dxa" w:w="70"/>
              <w:left w:type="dxa" w:w="110"/>
              <w:bottom w:type="dxa" w:w="70"/>
              <w:right w:type="dxa" w:w="110"/>
            </w:tcMar>
          </w:tcPr>
          <w:p>
            <w:r>
              <w:rPr>
                <w:b w:val="false"/>
                <w:bCs w:val="false"/>
                <w:color w:val="1A1A1A"/>
                <w:sz w:val="18"/>
                <w:szCs w:val="18"/>
              </w:rPr>
              <w:t xml:space="preserve">mineur</w:t>
            </w:r>
          </w:p>
        </w:tc>
        <w:tc>
          <w:tcPr>
            <w:tcW w:type="dxa" w:w="2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1A1A1A"/>
                <w:sz w:val="18"/>
                <w:szCs w:val="18"/>
              </w:rPr>
              <w:t xml:space="preserve">À investiguer</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bCs/>
                <w:color w:val="1A1A1A"/>
                <w:sz w:val="18"/>
                <w:szCs w:val="18"/>
              </w:rPr>
              <w:t xml:space="preserve">EA-13</w:t>
            </w:r>
          </w:p>
        </w:tc>
        <w:tc>
          <w:tcPr>
            <w:tcW w:type="dxa" w:w="4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1A1A1A"/>
                <w:sz w:val="18"/>
                <w:szCs w:val="18"/>
              </w:rPr>
              <w:t xml:space="preserve">Vocabulaire technique à l'écran</w:t>
            </w:r>
          </w:p>
        </w:tc>
        <w:tc>
          <w:tcPr>
            <w:tcW w:type="dxa" w:w="1500"/>
            <w:tcBorders>
              <w:top w:val="single" w:color="CCCCCC" w:sz="1"/>
              <w:left w:val="single" w:color="CCCCCC" w:sz="1"/>
              <w:bottom w:val="single" w:color="CCCCCC" w:sz="1"/>
              <w:right w:val="single" w:color="CCCCCC" w:sz="1"/>
            </w:tcBorders>
            <w:shd w:fill="F6E4E2" w:val="clear"/>
            <w:tcMar>
              <w:top w:type="dxa" w:w="70"/>
              <w:left w:type="dxa" w:w="110"/>
              <w:bottom w:type="dxa" w:w="70"/>
              <w:right w:type="dxa" w:w="110"/>
            </w:tcMar>
          </w:tcPr>
          <w:p>
            <w:r>
              <w:rPr>
                <w:b w:val="false"/>
                <w:bCs w:val="false"/>
                <w:color w:val="1A1A1A"/>
                <w:sz w:val="18"/>
                <w:szCs w:val="18"/>
              </w:rPr>
              <w:t xml:space="preserve">majeur</w:t>
            </w:r>
          </w:p>
        </w:tc>
        <w:tc>
          <w:tcPr>
            <w:tcW w:type="dxa" w:w="2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1A1A1A"/>
                <w:sz w:val="18"/>
                <w:szCs w:val="18"/>
              </w:rPr>
              <w:t xml:space="preserve">i18n</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bCs/>
                <w:color w:val="1A1A1A"/>
                <w:sz w:val="18"/>
                <w:szCs w:val="18"/>
              </w:rPr>
              <w:t xml:space="preserve">EA-14</w:t>
            </w:r>
          </w:p>
        </w:tc>
        <w:tc>
          <w:tcPr>
            <w:tcW w:type="dxa" w:w="4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1A1A1A"/>
                <w:sz w:val="18"/>
                <w:szCs w:val="18"/>
              </w:rPr>
              <w:t xml:space="preserve">Rechargement global à chaque action</w:t>
            </w:r>
          </w:p>
        </w:tc>
        <w:tc>
          <w:tcPr>
            <w:tcW w:type="dxa" w:w="1500"/>
            <w:tcBorders>
              <w:top w:val="single" w:color="CCCCCC" w:sz="1"/>
              <w:left w:val="single" w:color="CCCCCC" w:sz="1"/>
              <w:bottom w:val="single" w:color="CCCCCC" w:sz="1"/>
              <w:right w:val="single" w:color="CCCCCC" w:sz="1"/>
            </w:tcBorders>
            <w:shd w:fill="F6EFE0" w:val="clear"/>
            <w:tcMar>
              <w:top w:type="dxa" w:w="70"/>
              <w:left w:type="dxa" w:w="110"/>
              <w:bottom w:type="dxa" w:w="70"/>
              <w:right w:type="dxa" w:w="110"/>
            </w:tcMar>
          </w:tcPr>
          <w:p>
            <w:r>
              <w:rPr>
                <w:b w:val="false"/>
                <w:bCs w:val="false"/>
                <w:color w:val="1A1A1A"/>
                <w:sz w:val="18"/>
                <w:szCs w:val="18"/>
              </w:rPr>
              <w:t xml:space="preserve">mineur</w:t>
            </w:r>
          </w:p>
        </w:tc>
        <w:tc>
          <w:tcPr>
            <w:tcW w:type="dxa" w:w="2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1A1A1A"/>
                <w:sz w:val="18"/>
                <w:szCs w:val="18"/>
              </w:rPr>
              <w:t xml:space="preserve">Frontend + backend</w:t>
            </w:r>
          </w:p>
        </w:tc>
      </w:tr>
    </w:tbl>
    <w:p>
      <w:pPr>
        <w:spacing w:after="140"/>
      </w:pPr>
    </w:p>
    <w:p>
      <w:pPr>
        <w:spacing w:after="120"/>
      </w:pPr>
      <w:r>
        <w:t xml:space="preserve">Sept écarts majeurs, cinq mineurs, un cosmétique, un à investiguer. La gravité « majeur » ne signifie pas « urgent » : elle signifie « affecte réellement le travail quotidien ou la justesse politique de l'outil ».</w:t>
      </w:r>
    </w:p>
    <w:p>
      <w:pPr>
        <w:pStyle w:val="Heading2"/>
      </w:pPr>
      <w:r>
        <w:t xml:space="preserve">4.2 Séquence de chantiers proposée</w:t>
      </w:r>
    </w:p>
    <w:p>
      <w:pPr>
        <w:spacing w:after="120"/>
      </w:pPr>
      <w:r>
        <w:t xml:space="preserve">L'audit ne décide pas — il propose une mise en ordre, à valider collectivement.</w:t>
      </w:r>
    </w:p>
    <w:p>
      <w:pPr>
        <w:spacing w:after="120"/>
      </w:pPr>
      <w:r>
        <w:rPr>
          <w:b/>
          <w:bCs/>
          <w:color w:val="1F6F54"/>
        </w:rPr>
        <w:t xml:space="preserve">Chantier A — Lisibilité immédiate — </w:t>
      </w:r>
      <w:r>
        <w:t xml:space="preserve">EA-05, EA-09, EA-13. Messages d'erreur humains, fin des alert() bruts, balayage du vocabulaire technique. Frontend et i18n, peu risqué, gros gain ressenti tout de suite. À faire en premier.</w:t>
      </w:r>
    </w:p>
    <w:p>
      <w:pPr>
        <w:spacing w:after="120"/>
      </w:pPr>
      <w:r>
        <w:rPr>
          <w:b/>
          <w:bCs/>
          <w:color w:val="1F6F54"/>
        </w:rPr>
        <w:t xml:space="preserve">Chantier B — Robustesse des onglets-objet — </w:t>
      </w:r>
      <w:r>
        <w:t xml:space="preserve">EA-04, EA-08. Filtre actif croisant les deux dimensions, alignement d'Emprunts groupés. Consolide ce que les deux bugs ont révélé.</w:t>
      </w:r>
    </w:p>
    <w:p>
      <w:pPr>
        <w:spacing w:after="120"/>
      </w:pPr>
      <w:r>
        <w:rPr>
          <w:b/>
          <w:bCs/>
          <w:color w:val="1F6F54"/>
        </w:rPr>
        <w:t xml:space="preserve">Chantier C — Saisie au comptoir — </w:t>
      </w:r>
      <w:r>
        <w:t xml:space="preserve">EA-02 + OT-3. Option scan de code-barres. Sous-chantier déjà cadré ; touche Painel, espace lecteur et configuration Biblioteca.</w:t>
      </w:r>
    </w:p>
    <w:p>
      <w:pPr>
        <w:spacing w:after="120"/>
      </w:pPr>
      <w:r>
        <w:rPr>
          <w:b/>
          <w:bCs/>
          <w:color w:val="1F6F54"/>
        </w:rPr>
        <w:t xml:space="preserve">Chantier D — Traçabilité et horizontalité — </w:t>
      </w:r>
      <w:r>
        <w:t xml:space="preserve">EA-10, EA-12. Afficher qui a fait quoi pour les actes sensibles (restriction, paiement). Ancrage politique : la spec gouvernance l'appelle.</w:t>
      </w:r>
    </w:p>
    <w:p>
      <w:pPr>
        <w:spacing w:after="120"/>
      </w:pPr>
      <w:r>
        <w:rPr>
          <w:b/>
          <w:bCs/>
          <w:color w:val="1F6F54"/>
        </w:rPr>
        <w:t xml:space="preserve">Chantier E — Refactor structurel — </w:t>
      </w:r>
      <w:r>
        <w:t xml:space="preserve">EA-01, EA-07, OT-1, OT-2, OT-4. Le gros morceau : généraliser le modèle tâche, fusionner les onglets emprunts, refresh par onglet, découpage du fichier. À mener à froid, probablement en plusieurs paquets.</w:t>
      </w:r>
    </w:p>
    <w:p>
      <w:pPr>
        <w:spacing w:after="120"/>
      </w:pPr>
      <w:r>
        <w:rPr>
          <w:b/>
          <w:bCs/>
          <w:color w:val="1F6F54"/>
        </w:rPr>
        <w:t xml:space="preserve">Chantier F — Documentation — </w:t>
      </w:r>
      <w:r>
        <w:t xml:space="preserve">EA-06. Inscrire au Grand Livre Blanc la doctrine item_status / workflow_stage. Court, mais protège des futurs bugs du même type.</w:t>
      </w:r>
    </w:p>
    <w:p>
      <w:pPr>
        <w:spacing w:after="120"/>
      </w:pPr>
      <w:r>
        <w:t xml:space="preserve">Ordre conseillé : A et F d'abord (rapides, sûrs, immédiatement utiles), puis B, puis C et D en parallèle, E en dernier comme chantier de fond. C'est une proposition de séquencement, pas une prescription.</w:t>
      </w:r>
    </w:p>
    <w:p>
      <w:pPr>
        <w:pStyle w:val="Heading2"/>
      </w:pPr>
      <w:r>
        <w:t xml:space="preserve">4.3 Cohérence avec la démarche du projet</w:t>
      </w:r>
    </w:p>
    <w:p>
      <w:pPr>
        <w:spacing w:after="120"/>
      </w:pPr>
      <w:r>
        <w:t xml:space="preserve">Cet audit prolonge la méthode déjà appliquée à Biblioteca et Catalogação : examiner une page existante au regard de l'usage réel, recenser des écarts arbitrés, séquencer des chantiers. Il confirme aussi, par son origine, la valeur de la démarche : un audit parti d'une remarque sur des onglets encombrés a fait remonter deux bugs de production et une question de structure. Pour un public de non-spécialistes en bibliothéconomie, un poste de travail qui parle leur langue, ne les piège pas avec des actions irréversibles, et leur montre ce que le collectif fait — c'est un acte politique autant qu'ergonomique. C'est l'exigence d'AnarBib : un commun en construction, audité à voix haute.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docs/decisions/ — v1.0 — page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5A5A"/>
        <w:sz w:val="16"/>
        <w:szCs w:val="16"/>
      </w:rPr>
      <w:t xml:space="preserve">AnarBib — Audit systématique Painel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6F54" w:sz="8" w:space="4"/>
      </w:pBdr>
      <w:spacing w:after="200" w:before="280"/>
      <w:outlineLvl w:val="0"/>
    </w:pPr>
    <w:rPr>
      <w:rFonts w:ascii="Arial" w:cs="Arial" w:eastAsia="Arial" w:hAnsi="Arial"/>
      <w:b/>
      <w:bCs/>
      <w:color w:val="1F6F54"/>
      <w:sz w:val="30"/>
      <w:szCs w:val="30"/>
    </w:rPr>
  </w:style>
  <w:style w:type="paragraph" w:styleId="Heading2">
    <w:name w:val="Heading 2"/>
    <w:basedOn w:val="Normal"/>
    <w:next w:val="Normal"/>
    <w:qFormat/>
    <w:pPr>
      <w:spacing w:after="140" w:before="220"/>
      <w:outlineLvl w:val="1"/>
    </w:pPr>
    <w:rPr>
      <w:rFonts w:ascii="Arial" w:cs="Arial" w:eastAsia="Arial" w:hAnsi="Arial"/>
      <w:b/>
      <w:bCs/>
      <w:color w:val="1A1A1A"/>
      <w:sz w:val="25"/>
      <w:szCs w:val="25"/>
    </w:rPr>
  </w:style>
  <w:style w:type="paragraph" w:styleId="Heading3">
    <w:name w:val="Heading 3"/>
    <w:basedOn w:val="Normal"/>
    <w:next w:val="Normal"/>
    <w:qFormat/>
    <w:pPr>
      <w:spacing w:after="100" w:before="160"/>
      <w:outlineLvl w:val="2"/>
    </w:pPr>
    <w:rPr>
      <w:rFonts w:ascii="Arial" w:cs="Arial" w:eastAsia="Arial" w:hAnsi="Arial"/>
      <w:b/>
      <w:bCs/>
      <w:color w:val="1F6F5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systématique de la page Painel</dc:title>
  <dc:creator>AnarBib</dc:creator>
  <cp:lastModifiedBy>Un-named</cp:lastModifiedBy>
  <cp:revision>1</cp:revision>
  <dcterms:created xsi:type="dcterms:W3CDTF">2026-05-26T08:31:59.842Z</dcterms:created>
  <dcterms:modified xsi:type="dcterms:W3CDTF">2026-05-26T08:31:59.842Z</dcterms:modified>
</cp:coreProperties>
</file>

<file path=docProps/custom.xml><?xml version="1.0" encoding="utf-8"?>
<Properties xmlns="http://schemas.openxmlformats.org/officeDocument/2006/custom-properties" xmlns:vt="http://schemas.openxmlformats.org/officeDocument/2006/docPropsVTypes"/>
</file>