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AnarBib</w:t>
      </w:r>
    </w:p>
    <w:p>
      <w:pPr>
        <w:jc w:val="center"/>
      </w:pPr>
      <w:r>
        <w:rPr>
          <w:b/>
          <w:sz w:val="36"/>
        </w:rPr>
        <w:t>Grand Livre blanc stratégique v15</w:t>
      </w:r>
    </w:p>
    <w:p>
      <w:pPr>
        <w:jc w:val="center"/>
      </w:pPr>
      <w:r>
        <w:rPr>
          <w:i/>
          <w:sz w:val="24"/>
        </w:rPr>
        <w:t>Version v14 arrêtée au 19 mai 2026, addendum v15 du 21 mai 2026</w:t>
      </w:r>
    </w:p>
    <w:p>
      <w:pPr>
        <w:jc w:val="center"/>
      </w:pPr>
      <w:r>
        <w:rPr>
          <w:i/>
          <w:sz w:val="22"/>
        </w:rPr>
        <w:t xml:space="preserve">De la cartographie quantifiée à la lecture des nouveaux paliers : </w:t>
      </w:r>
    </w:p>
    <w:p>
      <w:pPr>
        <w:jc w:val="center"/>
      </w:pPr>
      <w:r>
        <w:rPr>
          <w:i/>
          <w:sz w:val="22"/>
        </w:rPr>
        <w:t>nommer les fermetures acquises, qualifier la dette qui s'élargit, désigner les chantiers frontaux qui restent.</w:t>
      </w:r>
    </w:p>
    <w:p/>
    <w:tbl>
      <w:tblPr>
        <w:tblW w:type="auto" w:w="0"/>
        <w:jc w:val="center"/>
        <w:tblLook w:firstColumn="1" w:firstRow="1" w:lastColumn="0" w:lastRow="0" w:noHBand="0" w:noVBand="1" w:val="04A0"/>
      </w:tblPr>
      <w:tblGrid>
        <w:gridCol w:w="4873"/>
        <w:gridCol w:w="4873"/>
      </w:tblGrid>
      <w:tr>
        <w:tc>
          <w:tcPr>
            <w:tcW w:type="dxa" w:w="1984"/>
            <w:shd w:val="clear" w:color="auto" w:fill="F4F1EA"/>
            <w:tcBorders>
              <w:top w:val="single" w:sz="4" w:color="999999"/>
              <w:left w:val="single" w:sz="4" w:color="999999"/>
              <w:bottom w:val="single" w:sz="4" w:color="999999"/>
              <w:right w:val="single" w:sz="4" w:color="999999"/>
            </w:tcBorders>
            <w:vAlign w:val="top"/>
          </w:tcPr>
          <w:p>
            <w:pPr>
              <w:spacing w:before="40" w:after="40"/>
            </w:pPr>
            <w:r/>
            <w:r>
              <w:rPr>
                <w:rFonts w:ascii="Calibri" w:hAnsi="Calibri"/>
                <w:b/>
                <w:i w:val="0"/>
                <w:sz w:val="20"/>
              </w:rPr>
              <w:t>Usage</w:t>
            </w:r>
          </w:p>
        </w:tc>
        <w:tc>
          <w:tcPr>
            <w:tcW w:type="dxa" w:w="7370"/>
            <w:shd w:val="clear" w:color="auto" w:fill="F4F1EA"/>
            <w:tcBorders>
              <w:top w:val="single" w:sz="4" w:color="999999"/>
              <w:left w:val="single" w:sz="4" w:color="999999"/>
              <w:bottom w:val="single" w:sz="4" w:color="999999"/>
              <w:right w:val="single" w:sz="4" w:color="999999"/>
            </w:tcBorders>
            <w:vAlign w:val="top"/>
          </w:tcPr>
          <w:p>
            <w:pPr>
              <w:spacing w:before="40" w:after="40"/>
            </w:pPr>
            <w:r/>
            <w:r>
              <w:rPr>
                <w:rFonts w:ascii="Calibri" w:hAnsi="Calibri"/>
                <w:b/>
                <w:i w:val="0"/>
                <w:sz w:val="20"/>
              </w:rPr>
              <w:t>Boussole stratégique d'achèvement, désormais nourrie d'une seconde lecture exacte du backend (107 tables, 72 vues, 373 fonctions, 144 policies RLS, 79 triggers, 384 indexes, 187 clés étrangères). La v14 actualise la cartographie chiffrée livrée en v13 dix-neuf jours plus tôt et mesure la cadence réelle d'expansion : +18 tables, +82 fonctions, +83 SECURITY DEFINER, +27 triggers, +174 indexes en moins de trois semaines. Cette croissance n'est pas un dérapage, elle est l'effet visible de la livraison de trois chantiers majeurs (admin réseau, profils d'adoption, gouvernance staff) dont la v13 anticipait l'arrivée sans pouvoir en chiffrer le coût d'élargissement.</w:t>
            </w:r>
          </w:p>
        </w:tc>
      </w:tr>
      <w:tr>
        <w:tc>
          <w:tcPr>
            <w:tcW w:type="dxa" w:w="1984"/>
            <w:shd w:val="clear" w:color="auto" w:fill="F4F1EA"/>
            <w:tcBorders>
              <w:top w:val="single" w:sz="4" w:color="999999"/>
              <w:left w:val="single" w:sz="4" w:color="999999"/>
              <w:bottom w:val="single" w:sz="4" w:color="999999"/>
              <w:right w:val="single" w:sz="4" w:color="999999"/>
            </w:tcBorders>
            <w:vAlign w:val="top"/>
          </w:tcPr>
          <w:p>
            <w:pPr>
              <w:spacing w:before="40" w:after="40"/>
            </w:pPr>
            <w:r/>
            <w:r>
              <w:rPr>
                <w:rFonts w:ascii="Calibri" w:hAnsi="Calibri"/>
                <w:b w:val="0"/>
                <w:sz w:val="20"/>
              </w:rPr>
              <w:t>Base de lecture</w:t>
            </w:r>
          </w:p>
        </w:tc>
        <w:tc>
          <w:tcPr>
            <w:tcW w:type="dxa" w:w="7370"/>
            <w:shd w:val="clear" w:color="auto" w:fill="F4F1EA"/>
            <w:tcBorders>
              <w:top w:val="single" w:sz="4" w:color="999999"/>
              <w:left w:val="single" w:sz="4" w:color="999999"/>
              <w:bottom w:val="single" w:sz="4" w:color="999999"/>
              <w:right w:val="single" w:sz="4" w:color="999999"/>
            </w:tcBorders>
            <w:vAlign w:val="top"/>
          </w:tcPr>
          <w:p>
            <w:pPr>
              <w:spacing w:before="40" w:after="40"/>
            </w:pPr>
            <w:r/>
            <w:r>
              <w:rPr>
                <w:rFonts w:ascii="Calibri" w:hAnsi="Calibri"/>
                <w:b w:val="0"/>
                <w:sz w:val="20"/>
              </w:rPr>
              <w:t>Livre blanc v13 du 30 avril 2026 soir ; inventaire SQL exact reçu aujourd'hui (comptages globaux + tableaux structurés pour tables, vues, fonctions, triggers, policies, indexes, clés étrangères) ; export complet des advisors Supabase (security + performance) ; corpus frontend reçu (anarbib-app, 91 fichiers src, 96 migrations sur mai 2026) ; backlog technique v7 du 19 mai 2026 ; documentation des chantiers internes 12-19 mai (BILAN paquets C+D, CHANTIER PEB frontend, AUDIT sécurité fonctions privées, doctrine création objets backend v2).</w:t>
            </w:r>
          </w:p>
        </w:tc>
      </w:tr>
      <w:tr>
        <w:tc>
          <w:tcPr>
            <w:tcW w:type="dxa" w:w="1984"/>
            <w:shd w:val="clear" w:color="auto" w:fill="F4F1EA"/>
            <w:tcBorders>
              <w:top w:val="single" w:sz="4" w:color="999999"/>
              <w:left w:val="single" w:sz="4" w:color="999999"/>
              <w:bottom w:val="single" w:sz="4" w:color="999999"/>
              <w:right w:val="single" w:sz="4" w:color="999999"/>
            </w:tcBorders>
            <w:vAlign w:val="top"/>
          </w:tcPr>
          <w:p>
            <w:pPr>
              <w:spacing w:before="40" w:after="40"/>
            </w:pPr>
            <w:r/>
            <w:r>
              <w:rPr>
                <w:rFonts w:ascii="Calibri" w:hAnsi="Calibri"/>
                <w:b w:val="0"/>
                <w:sz w:val="20"/>
              </w:rPr>
              <w:t>Hypothèse directrice</w:t>
            </w:r>
          </w:p>
        </w:tc>
        <w:tc>
          <w:tcPr>
            <w:tcW w:type="dxa" w:w="7370"/>
            <w:shd w:val="clear" w:color="auto" w:fill="F4F1EA"/>
            <w:tcBorders>
              <w:top w:val="single" w:sz="4" w:color="999999"/>
              <w:left w:val="single" w:sz="4" w:color="999999"/>
              <w:bottom w:val="single" w:sz="4" w:color="999999"/>
              <w:right w:val="single" w:sz="4" w:color="999999"/>
            </w:tcBorders>
            <w:vAlign w:val="top"/>
          </w:tcPr>
          <w:p>
            <w:pPr>
              <w:spacing w:before="40" w:after="40"/>
            </w:pPr>
            <w:r/>
            <w:r>
              <w:rPr>
                <w:rFonts w:ascii="Calibri" w:hAnsi="Calibri"/>
                <w:b w:val="0"/>
                <w:sz w:val="20"/>
              </w:rPr>
              <w:t>La v14 n'a pas de surprise stratégique, mais elle confirme un retournement de cadence dont la v13 avait posé l'intuition sans l'éprouver. Le backend continue de croître plus vite que le frontend ne le rattrape ; certains paliers sont fermés backend mais ouverts frontend (profils d'adoption, PEB, transitions de modes) ; certaines fermetures effectives de chantiers ne se voient pas encore côté utilisateur. La doctrine du « pilotage à la fonction près » de v13 se précise : à chaque chantier backend fermé doit correspondre un audit frontend explicite, sans lequel la fermeture n'est pas réelle pour les usagers réels.</w:t>
            </w:r>
          </w:p>
        </w:tc>
      </w:tr>
      <w:tr>
        <w:tc>
          <w:tcPr>
            <w:tcW w:type="dxa" w:w="1984"/>
            <w:shd w:val="clear" w:color="auto" w:fill="F4F1EA"/>
            <w:tcBorders>
              <w:top w:val="single" w:sz="4" w:color="999999"/>
              <w:left w:val="single" w:sz="4" w:color="999999"/>
              <w:bottom w:val="single" w:sz="4" w:color="999999"/>
              <w:right w:val="single" w:sz="4" w:color="999999"/>
            </w:tcBorders>
            <w:vAlign w:val="top"/>
          </w:tcPr>
          <w:p>
            <w:pPr>
              <w:spacing w:before="40" w:after="40"/>
            </w:pPr>
            <w:r/>
            <w:r>
              <w:rPr>
                <w:rFonts w:ascii="Calibri" w:hAnsi="Calibri"/>
                <w:b w:val="0"/>
                <w:sz w:val="20"/>
              </w:rPr>
              <w:t>Lecture chiffrée synthétique</w:t>
            </w:r>
          </w:p>
        </w:tc>
        <w:tc>
          <w:tcPr>
            <w:tcW w:type="dxa" w:w="7370"/>
            <w:shd w:val="clear" w:color="auto" w:fill="F4F1EA"/>
            <w:tcBorders>
              <w:top w:val="single" w:sz="4" w:color="999999"/>
              <w:left w:val="single" w:sz="4" w:color="999999"/>
              <w:bottom w:val="single" w:sz="4" w:color="999999"/>
              <w:right w:val="single" w:sz="4" w:color="999999"/>
            </w:tcBorders>
            <w:vAlign w:val="top"/>
          </w:tcPr>
          <w:p>
            <w:pPr>
              <w:spacing w:before="40" w:after="40"/>
            </w:pPr>
            <w:r/>
            <w:r>
              <w:rPr>
                <w:rFonts w:ascii="Calibri" w:hAnsi="Calibri"/>
                <w:b w:val="0"/>
                <w:sz w:val="20"/>
              </w:rPr>
              <w:t>61 % (v9.7) → 68 % (03/04) → 74 % (v10) → ≈86 % (v11) → ≈89 % (v12) → ≈90 % (v13) → ≈93 % (v14, lecture stabilisée). La progression v13 → v14 (+3 points en dix-neuf jours) reflète à la fois la fermeture effective de plusieurs chantiers backend (consultation locale notifiée, 5 des 6 vues SECURITY DEFINER critiques basculées en INVOKER, paquets profils C–D livrés) et l'apparition d'un palier nouveau, encore ouvert : la couche frontale des profils d'adoption et des transitions de modes.</w:t>
            </w:r>
          </w:p>
        </w:tc>
      </w:tr>
    </w:tbl>
    <w:p/>
    <w:p>
      <w:pPr>
        <w:spacing w:after="200" w:line="276" w:lineRule="auto"/>
      </w:pPr>
      <w:r>
        <w:rPr>
          <w:rFonts w:ascii="Calibri" w:hAnsi="Calibri"/>
          <w:b w:val="0"/>
          <w:i/>
          <w:sz w:val="21"/>
        </w:rPr>
        <w:t>Document rédigé à partir des éléments effectivement transmis : inventaire SQL exact reçu aujourd'hui sous forme de tableaux structurés produits depuis le SQL Editor Supabase, advisors security et performance consultés en direct, repo anarbib-app extrait pour examen. Le présent Livre blanc ne s'appuie plus sur le dump schema.sql intégral comme la v13, mais sur un inventaire ciblé suffisamment exhaustif pour faire la cartographie quantifiée et qualifier la dette résiduelle. Cette base est légèrement moins riche que celle de v13 (pas de corps SQL des fonctions, pas de DDL exact des contraintes CHECK), mais elle est plus à jour et permet la comparaison directe v13 → v14.</w:t>
      </w:r>
    </w:p>
    <w:p>
      <w:pPr>
        <w:keepNext/>
        <w:spacing w:before="280" w:after="120"/>
      </w:pPr>
      <w:r>
        <w:rPr>
          <w:rFonts w:ascii="Calibri" w:hAnsi="Calibri"/>
          <w:b/>
          <w:sz w:val="36"/>
        </w:rPr>
        <w:t>Sommaire de lecture</w:t>
      </w:r>
    </w:p>
    <w:p>
      <w:pPr>
        <w:spacing w:after="40"/>
        <w:ind w:left="340"/>
      </w:pPr>
      <w:r>
        <w:rPr>
          <w:sz w:val="22"/>
        </w:rPr>
        <w:t>1. Résumé exécutif v14</w:t>
      </w:r>
    </w:p>
    <w:p>
      <w:pPr>
        <w:spacing w:after="40"/>
        <w:ind w:left="340"/>
      </w:pPr>
      <w:r>
        <w:rPr>
          <w:sz w:val="22"/>
        </w:rPr>
        <w:t>2. Ce que la v14 change par rapport à la v13 : la mesure de la cadence</w:t>
      </w:r>
    </w:p>
    <w:p>
      <w:pPr>
        <w:spacing w:after="40"/>
        <w:ind w:left="340"/>
      </w:pPr>
      <w:r>
        <w:rPr>
          <w:sz w:val="22"/>
        </w:rPr>
        <w:t>3. Cartographie quantifiée du backend, état au 19 mai 2026</w:t>
      </w:r>
    </w:p>
    <w:p>
      <w:pPr>
        <w:spacing w:after="40"/>
        <w:ind w:left="340"/>
      </w:pPr>
      <w:r>
        <w:rPr>
          <w:sz w:val="22"/>
        </w:rPr>
        <w:t>4. La couche métier vue depuis le SQL : ce que la v14 confirme et précise</w:t>
      </w:r>
    </w:p>
    <w:p>
      <w:pPr>
        <w:spacing w:after="40"/>
        <w:ind w:left="340"/>
      </w:pPr>
      <w:r>
        <w:rPr>
          <w:sz w:val="22"/>
        </w:rPr>
        <w:t>5. La sécurité backend : dette élargie mais qualifiée</w:t>
      </w:r>
    </w:p>
    <w:p>
      <w:pPr>
        <w:spacing w:after="40"/>
        <w:ind w:left="340"/>
      </w:pPr>
      <w:r>
        <w:rPr>
          <w:sz w:val="22"/>
        </w:rPr>
        <w:t>6. La consultation locale : fermée, à mettre en lecture frontale</w:t>
      </w:r>
    </w:p>
    <w:p>
      <w:pPr>
        <w:spacing w:after="40"/>
        <w:ind w:left="340"/>
      </w:pPr>
      <w:r>
        <w:rPr>
          <w:sz w:val="22"/>
        </w:rPr>
        <w:t>7. La couche notification : 16 triggers, 14 toggles, branchement renforcé</w:t>
      </w:r>
    </w:p>
    <w:p>
      <w:pPr>
        <w:spacing w:after="40"/>
        <w:ind w:left="340"/>
      </w:pPr>
      <w:r>
        <w:rPr>
          <w:sz w:val="22"/>
        </w:rPr>
        <w:t>8. La dette d'index et de policies : remise à zéro statistique, FK à instrumenter</w:t>
      </w:r>
    </w:p>
    <w:p>
      <w:pPr>
        <w:spacing w:after="40"/>
        <w:ind w:left="340"/>
      </w:pPr>
      <w:r>
        <w:rPr>
          <w:sz w:val="22"/>
        </w:rPr>
        <w:t>9. Doctrine v14 : ce que la cadence d'expansion change pour la fermeture</w:t>
      </w:r>
    </w:p>
    <w:p>
      <w:pPr>
        <w:spacing w:after="40"/>
        <w:ind w:left="340"/>
      </w:pPr>
      <w:r>
        <w:rPr>
          <w:sz w:val="22"/>
        </w:rPr>
        <w:t>9 bis. Acquis doctrinaux du chantier Biblioteca (addendum v15)</w:t>
      </w:r>
    </w:p>
    <w:p>
      <w:pPr>
        <w:spacing w:after="40"/>
        <w:ind w:left="340"/>
      </w:pPr>
      <w:r>
        <w:rPr>
          <w:sz w:val="22"/>
        </w:rPr>
        <w:t>10. Ordre d'exécution impératif v14</w:t>
      </w:r>
    </w:p>
    <w:p>
      <w:pPr>
        <w:spacing w:after="40"/>
        <w:ind w:left="340"/>
      </w:pPr>
      <w:r>
        <w:rPr>
          <w:sz w:val="22"/>
        </w:rPr>
        <w:t>11. Registre des invariants, lignes rouges et arbitrages</w:t>
      </w:r>
    </w:p>
    <w:p>
      <w:pPr>
        <w:spacing w:after="40"/>
        <w:ind w:left="340"/>
      </w:pPr>
      <w:r>
        <w:rPr>
          <w:sz w:val="22"/>
        </w:rPr>
        <w:t>12. Formule de clôture</w:t>
      </w:r>
    </w:p>
    <w:p>
      <w:pPr>
        <w:spacing w:after="40"/>
        <w:ind w:left="340"/>
      </w:pPr>
      <w:r>
        <w:rPr>
          <w:sz w:val="22"/>
        </w:rPr>
        <w:t>13. Bilan chiffré final v14</w:t>
      </w:r>
    </w:p>
    <w:p/>
    <w:tbl>
      <w:tblPr>
        <w:tblW w:type="auto" w:w="0"/>
        <w:tblLook w:firstColumn="1" w:firstRow="1" w:lastColumn="0" w:lastRow="0" w:noHBand="0" w:noVBand="1" w:val="04A0"/>
      </w:tblPr>
      <w:tblGrid>
        <w:gridCol w:w="9746"/>
      </w:tblGrid>
      <w:tr>
        <w:tc>
          <w:tcPr>
            <w:tcW w:type="dxa" w:w="9071"/>
            <w:shd w:val="clear" w:color="auto" w:fill="F4F1EA"/>
            <w:tcBorders>
              <w:top w:val="single" w:sz="6" w:color="C2B280"/>
              <w:left w:val="single" w:sz="6" w:color="C2B280"/>
              <w:bottom w:val="single" w:sz="6" w:color="C2B280"/>
              <w:right w:val="single" w:sz="6" w:color="C2B280"/>
            </w:tcBorders>
          </w:tcPr>
          <w:p>
            <w:pPr>
              <w:spacing w:after="0" w:line="288" w:lineRule="auto"/>
            </w:pPr>
            <w:r/>
            <w:r>
              <w:rPr>
                <w:b/>
                <w:sz w:val="21"/>
              </w:rPr>
              <w:t>Formule courte du v14.</w:t>
            </w:r>
            <w:r>
              <w:rPr>
                <w:sz w:val="21"/>
              </w:rPr>
              <w:t xml:space="preserve"> Trois semaines après la v13, la cartographie n'a pas seulement été actualisée : elle a été testée sous charge de production. Le backend a gagné dix-huit tables, quatre-vingt-deux fonctions, vingt-sept triggers ; il a fermé cinq des six vues SECURITY DEFINER critiques de la v13, livré le pendant attendu pour la consultation locale, et installé trois couches métier nouvelles entièrement (profils d'adoption, admin réseau, gouvernance staff). Mais cette livraison de masse a eu un coût qu'il faut nommer : la dette de fonctions SECURITY DEFINER WARN, que la v13 quantifiait à environ cent quarante, se chiffre désormais à près de deux cent cinquante, soit la quasi-totalité de la couche métier. La fenêtre stratégique reste ouverte ; la v14 la documente comme la dernière depuis laquelle le projet peut encore être lu comme un tout cohérent avant que la diffusion à des bibliothèques tierces n'en rende toute fermeture beaucoup plus coûteuse.</w:t>
            </w:r>
          </w:p>
        </w:tc>
      </w:tr>
    </w:tbl>
    <w:p>
      <w:pPr>
        <w:spacing w:after="0"/>
      </w:pPr>
    </w:p>
    <w:p/>
    <w:p>
      <w:pPr>
        <w:keepNext/>
        <w:spacing w:before="280" w:after="120"/>
      </w:pPr>
      <w:r>
        <w:rPr>
          <w:rFonts w:ascii="Calibri" w:hAnsi="Calibri"/>
          <w:b/>
          <w:sz w:val="36"/>
        </w:rPr>
        <w:t>1. Résumé exécutif v14</w:t>
      </w:r>
    </w:p>
    <w:p>
      <w:pPr>
        <w:spacing w:after="120" w:line="276" w:lineRule="auto"/>
      </w:pPr>
      <w:r>
        <w:rPr>
          <w:rFonts w:ascii="Calibri" w:hAnsi="Calibri"/>
          <w:b w:val="0"/>
          <w:i w:val="0"/>
          <w:sz w:val="22"/>
        </w:rPr>
        <w:t>La v13, datée du 30 avril 2026 au soir, livrait la première cartographie exacte du backend AnarBib à partir d'un dump schema.sql complet de 29 378 lignes. La v14, datée du 19 mai 2026, ne réintroduit pas le dump complet — l'inventaire SQL ciblé suffit à la mise à jour — mais elle livre la première comparaison chiffrée v_n vs v_n-1 dans la série des Livres blancs. Cette comparaison change peu la doctrine, mais elle révèle une vérité que les versions antérieures ne pouvaient pas mesurer : entre le 30 avril et le 19 mai 2026, le backend d'AnarBib a continué de croître à une cadence soutenue, livré par paquets de chantier majeur, et atteint un volume tel qu'aucune lecture future ne pourra se faire sans un outillage de comparaison versionnée.</w:t>
      </w:r>
    </w:p>
    <w:p>
      <w:pPr>
        <w:spacing w:after="120" w:line="276" w:lineRule="auto"/>
      </w:pPr>
      <w:r>
        <w:rPr>
          <w:rFonts w:ascii="Calibri" w:hAnsi="Calibri"/>
          <w:b w:val="0"/>
          <w:i w:val="0"/>
          <w:sz w:val="22"/>
        </w:rPr>
        <w:t>Le backend d'AnarBib s'établit, au 19 mai, à 107 tables (vs 89 en v13, soit +18), 72 vues (vs 59, soit +13), 373 fonctions (vs 291, soit +82) dont 250 SECURITY DEFINER (vs 167, soit +83), 79 triggers (vs 52, soit +27), 144 policies RLS (vs 108, soit +36), 384 indexes (vs 210, soit +174), 187 clés étrangères (vs 148, soit +39). La densité documentaire des commentaires SQL a continué de progresser : commentaires explicitant les paliers de révocation (palier 2, 3, 4, 5a, 5c), commentaires d'archivage (paquet L.10), commentaires de gouvernance (référence spec-gouvernance-roles.md, spec-administrateur-reseau.md, spec-profils-bibliotheque.md). Cette densité documentaire est, en elle-même, un indicateur de maturité backend qui contraste avec ce que l'on observe côté frontend, comme la suite l'expose.</w:t>
      </w:r>
    </w:p>
    <w:p>
      <w:pPr>
        <w:spacing w:after="120" w:line="276" w:lineRule="auto"/>
      </w:pPr>
      <w:r>
        <w:rPr>
          <w:rFonts w:ascii="Calibri" w:hAnsi="Calibri"/>
          <w:b w:val="0"/>
          <w:i w:val="0"/>
          <w:sz w:val="22"/>
        </w:rPr>
        <w:t>Cinq constats nouveaux émergent de la lecture v14, qui méritent d'être nommés.</w:t>
      </w:r>
    </w:p>
    <w:p>
      <w:pPr>
        <w:spacing w:after="120"/>
        <w:ind w:left="227"/>
      </w:pPr>
      <w:r>
        <w:rPr>
          <w:sz w:val="22"/>
        </w:rPr>
        <w:t xml:space="preserve">— </w:t>
      </w:r>
      <w:r>
        <w:rPr>
          <w:b/>
          <w:sz w:val="22"/>
        </w:rPr>
        <w:t xml:space="preserve">Premier constat : la consultation locale est fermée backend, conformément à la prédiction v13. </w:t>
      </w:r>
      <w:r>
        <w:rPr>
          <w:sz w:val="22"/>
        </w:rPr>
        <w:t>Les deux triggers que la v13 désignait comme manquants — trg_notify_consulta_workflow sur consulta_item_workflow_v2, et un pendant lifecycle qu'elle n'avait pas explicité — existent désormais en production : trg_notify_consulta_workflow et trg_notify_consulta_lifecycle. Trois RPC api ont été ajoutées en couche fine : advance_consulta, cancel_consulta_as_reader, create_consulta_local, dismiss_consulta_cancelled, reply_consulta_schedule. La séquence #2 de l'ordre d'exécution v13 (« fermeture propre de la branche consultation locale ») peut être considérée comme bouclée backend. Reste, en lecture frontale, le branchement complet du painel adaptatif sur les nouveaux statuts de consultation, qui constitue une séquence frontend distincte.</w:t>
      </w:r>
    </w:p>
    <w:p>
      <w:pPr>
        <w:spacing w:after="120"/>
        <w:ind w:left="227"/>
      </w:pPr>
      <w:r>
        <w:rPr>
          <w:sz w:val="22"/>
        </w:rPr>
        <w:t xml:space="preserve">— </w:t>
      </w:r>
      <w:r>
        <w:rPr>
          <w:b/>
          <w:sz w:val="22"/>
        </w:rPr>
        <w:t xml:space="preserve">Deuxième constat : cinq des six vues SECURITY DEFINER critiques de v13 ont été basculées en INVOKER. </w:t>
      </w:r>
      <w:r>
        <w:rPr>
          <w:sz w:val="22"/>
        </w:rPr>
        <w:t>La v13 identifiait quatre vues ERROR (v_libraries_for_signup, api.catalog_list_anon_v1, api.catalog_list_session_v1, api.books_count_v1) plus deux vues SECURITY DEFINER à inspecter (catalog_book_detail_public_v2 et catalog_books_public_v2). La v14 mesure le résultat : la quasi-totalité de la couche api est désormais en INVOKER explicite (security_invoker=on/true), à l'exception de api.library_email_identity qui demeure en definer par défaut. Une seule vue reste signalée ERROR par les advisors : public.v_active_memberships, qui dérive l'état courant des cotisations et qui constitue la dernière ligne de défense effective contre une exposition d'historique de paiements. C'est une fermeture franche d'un chantier que la v13 désignait comme prioritaire.</w:t>
      </w:r>
    </w:p>
    <w:p>
      <w:pPr>
        <w:spacing w:after="120"/>
        <w:ind w:left="227"/>
      </w:pPr>
      <w:r>
        <w:rPr>
          <w:sz w:val="22"/>
        </w:rPr>
        <w:t xml:space="preserve">— </w:t>
      </w:r>
      <w:r>
        <w:rPr>
          <w:b/>
          <w:sz w:val="22"/>
        </w:rPr>
        <w:t xml:space="preserve">Troisième constat : trois couches métier nouvelles sont entrées en production entre les deux versions. </w:t>
      </w:r>
      <w:r>
        <w:rPr>
          <w:sz w:val="22"/>
        </w:rPr>
        <w:t>La couche profils d'adoption (library_profile_history, library_profile_proposals, library_profile_votes, library_profile_grace_locks + 4 RPC fn_propose/vote/execute/cancel_library_profile_change + 4 helpers fn_library_catalog_mode/circulation_mode/network_mode/governance_mode + 5 triggers d'immutabilité et de notification) ; la couche admin réseau (network_administrators, network_staff, network_administrator_cooptation_proposals/votes, network_admin_collective_removal_proposals/votes, network_administrator_audit, network_admin_cross_library_actions_log + 9 RPC fn_network_admin_* + 5 triggers d'audit immuable) ; la couche gouvernance staff (user_library_memberships étendu, library_membership_audit + 8 RPC fn_team_promote_to_*/suspend/unsuspend/cancel_remove/request_remove + triggers de synchronisation profile.is_librarian). Ces trois couches matérialisent ce que la v13 anticipait comme « infrastructure réseau » sans pouvoir la cartographier.</w:t>
      </w:r>
    </w:p>
    <w:p>
      <w:pPr>
        <w:spacing w:after="120"/>
        <w:ind w:left="227"/>
      </w:pPr>
      <w:r>
        <w:rPr>
          <w:sz w:val="22"/>
        </w:rPr>
        <w:t xml:space="preserve">— </w:t>
      </w:r>
      <w:r>
        <w:rPr>
          <w:b/>
          <w:sz w:val="22"/>
        </w:rPr>
        <w:t xml:space="preserve">Quatrième constat : la dette de sécurité SECURITY DEFINER s'élargit à proportion de la livraison métier, et change de nature. </w:t>
      </w:r>
      <w:r>
        <w:rPr>
          <w:sz w:val="22"/>
        </w:rPr>
        <w:t>La v13 signalait 126 fonctions WARN authenticated_security_definer et 14 anon. La v14 mesure environ 225 WARN authenticated et 24 WARN anon. Cette croissance n'est pas un relâchement de discipline — toutes les fonctions nouvelles ont été déployées en SECURITY DEFINER pour les bonnes raisons (elles modifient des tables non écrites directement par l'utilisateur). C'est la confirmation que la stratégie de fermeture backend par SECURITY DEFINER + RLS, qui fonctionne, produit mécaniquement une surface d'advisors WARN qui s'élargit à chaque chantier. La doctrine v14 doit donc requalifier ce qui constitue véritablement une dette de sécurité par rapport à ce qui constitue le coût attendu d'une couche métier saine.</w:t>
      </w:r>
    </w:p>
    <w:p>
      <w:pPr>
        <w:spacing w:after="120"/>
        <w:ind w:left="227"/>
      </w:pPr>
      <w:r>
        <w:rPr>
          <w:sz w:val="22"/>
        </w:rPr>
        <w:t xml:space="preserve">— </w:t>
      </w:r>
      <w:r>
        <w:rPr>
          <w:b/>
          <w:sz w:val="22"/>
        </w:rPr>
        <w:t xml:space="preserve">Cinquième constat : la dette d'index a été remise à zéro statistique, ce qui invalide pour quelque temps la mesure d'utilisation. </w:t>
      </w:r>
      <w:r>
        <w:rPr>
          <w:sz w:val="22"/>
        </w:rPr>
        <w:t>Tous les indexes du backend portent désormais idx_scan = 0 dans pg_stat_user_indexes : 384 entrées sur 384, sans aucun scan enregistré. C'est l'effet visible d'un reset des statistiques (probablement après les vagues de migration des 18-19 mai). Le constat v13 (« 88 indexes inutilisés sur 210 ») n'est pas désaccord, il devient simplement non mesurable : il faudra plusieurs semaines d'usage réel par des bibliothèques tierces avant de pouvoir réévaluer. En contrepartie, l'inventaire des clés étrangères sans index supportant compte au moins 67 entrées visibles, surtout sur les colonnes d'audit (created_by, updated_by, recorded_by, actor_user_id, target_user_id, triggered_by_user_id) qui pointent vers auth.users. C'est une dette concrète, planifiable, indépendante du rodage statistique.</w:t>
      </w:r>
    </w:p>
    <w:p>
      <w:pPr>
        <w:spacing w:after="120" w:line="276" w:lineRule="auto"/>
      </w:pPr>
      <w:r>
        <w:rPr>
          <w:rFonts w:ascii="Calibri" w:hAnsi="Calibri"/>
          <w:b w:val="0"/>
          <w:i w:val="0"/>
          <w:sz w:val="22"/>
        </w:rPr>
        <w:t>La bonne lecture stratégique de la v14 n'est donc pas un bouleversement de la doctrine v13, mais sa précision sous l'effet de la cadence. La doctrine de l'alignement (v12) reste valide. La discipline anticipée (v11) reste valide. La doctrine de la lecture exacte (v13) reste valide. La v14 ajoute simplement que ces doctrines, à mesure que le projet grandit, doivent intégrer la dimension du rythme de livraison : une fermeture backend qui n'est pas accompagnée par une fermeture frontale dans la même fenêtre crée une dette d'incohérence dont les usagers tiers seront les premiers témoins. La fenêtre actuelle, sans usagers tiers, reste le moment où cette dette se rattrape sans coût ; elle se referme à chaque nouvelle livraison qui n'est pas accompagnée.</w:t>
      </w:r>
    </w:p>
    <w:p>
      <w:pPr>
        <w:keepNext/>
        <w:spacing w:before="280" w:after="120"/>
      </w:pPr>
      <w:r>
        <w:rPr>
          <w:rFonts w:ascii="Calibri" w:hAnsi="Calibri"/>
          <w:b/>
          <w:sz w:val="36"/>
        </w:rPr>
        <w:t>2. Ce que la v14 change par rapport à la v13 : la mesure de la cadence</w:t>
      </w:r>
    </w:p>
    <w:p>
      <w:pPr>
        <w:spacing w:after="120" w:line="276" w:lineRule="auto"/>
      </w:pPr>
      <w:r>
        <w:rPr>
          <w:rFonts w:ascii="Calibri" w:hAnsi="Calibri"/>
          <w:b w:val="0"/>
          <w:i w:val="0"/>
          <w:sz w:val="22"/>
        </w:rPr>
        <w:t>Par rapport à la v13, la v14 dispose de quelque chose qu'aucune version précédente n'avait : une seconde lecture exacte du même objet, prise dix-neuf jours plus tard. Cette comparaison directe produit trois effets, et un effet collatéral non anticipé.</w:t>
      </w:r>
    </w:p>
    <w:p>
      <w:pPr>
        <w:keepNext/>
        <w:spacing w:before="200" w:after="120"/>
      </w:pPr>
      <w:r>
        <w:rPr>
          <w:rFonts w:ascii="Calibri" w:hAnsi="Calibri"/>
          <w:b/>
          <w:sz w:val="28"/>
        </w:rPr>
        <w:t>2.1 Effet de cadence quantifiée</w:t>
      </w:r>
    </w:p>
    <w:p>
      <w:pPr>
        <w:spacing w:after="120" w:line="276" w:lineRule="auto"/>
      </w:pPr>
      <w:r>
        <w:rPr>
          <w:rFonts w:ascii="Calibri" w:hAnsi="Calibri"/>
          <w:b w:val="0"/>
          <w:i w:val="0"/>
          <w:sz w:val="22"/>
        </w:rPr>
        <w:t>Là où la v13 estimait « la cadence devra nécessairement ralentir à mesure que les chantiers restants demandent de la précision plutôt que de la vitesse » (§13.6), la v14 mesure ce qui s'est réellement produit : la cadence ne s'est pas ralentie, elle s'est intensifiée. Sur dix-neuf jours calendaires, le backend a accueilli quatre-vingt-deux fonctions supplémentaires, dix-huit tables, vingt-sept triggers, soit une moyenne d'environ quatre fonctions ajoutées par jour. Cette cadence est tenable parce que la fenêtre reste ouverte sans usagers tiers ; elle ne le sera plus dès que les premiers usagers réels se connecteront. La doctrine v13 selon laquelle une v_{n+1} ne devait pas être produite avant des fermetures effectives s'est vérifiée — la v14 mesure les fermetures effectives (consultation locale, vues SECURITY DEFINER, premier déploiement profils d'adoption), mais elle mesure aussi qu'au même moment trois couches entières se sont ouvertes.</w:t>
      </w:r>
    </w:p>
    <w:p>
      <w:pPr>
        <w:keepNext/>
        <w:spacing w:before="200" w:after="120"/>
      </w:pPr>
      <w:r>
        <w:rPr>
          <w:rFonts w:ascii="Calibri" w:hAnsi="Calibri"/>
          <w:b/>
          <w:sz w:val="28"/>
        </w:rPr>
        <w:t>2.2 Effet de visibilité des familles</w:t>
      </w:r>
    </w:p>
    <w:p>
      <w:pPr>
        <w:spacing w:after="120" w:line="276" w:lineRule="auto"/>
      </w:pPr>
      <w:r>
        <w:rPr>
          <w:rFonts w:ascii="Calibri" w:hAnsi="Calibri"/>
          <w:b w:val="0"/>
          <w:i w:val="0"/>
          <w:sz w:val="22"/>
        </w:rPr>
        <w:t>La v13 dégageait dix familles fonctionnelles (fn_v2_*, catalog_partner_*, upsert_library_*, fn_current_*, etc.). La v14 ajoute neuf familles nouvelles, identifiables nominativement dans les inventaires : fn_team_* (8 fonctions de gouvernance staff), fn_network_admin_* (9 fonctions d'animation du réseau), fn_library_*_mode (4 helpers de mode de bibliothèque, exposés à anon pour visibilité catalogue), fn_propose/vote/execute/cancel_library_profile_change (4 fonctions de transition de profil), fn_record_membership_payment et fn_compute_membership_validity (cotisations), fn_unarchive_transaction (archivage réversible), fn_peb_authorized (autorisation PEB centralisée), publish_*_draft (4 fonctions de publication catalogação), fn_caller_is_* (helpers de contexte d'appel administrateur/network_admin). Cette extension familiale n'est pas anecdotique : chaque famille porte une décision politique (qui peut faire quoi, sous quelles conditions) que la lecture SQL exacte permet désormais de lire en détail.</w:t>
      </w:r>
    </w:p>
    <w:p>
      <w:pPr>
        <w:keepNext/>
        <w:spacing w:before="200" w:after="120"/>
      </w:pPr>
      <w:r>
        <w:rPr>
          <w:rFonts w:ascii="Calibri" w:hAnsi="Calibri"/>
          <w:b/>
          <w:sz w:val="28"/>
        </w:rPr>
        <w:t>2.3 Effet de stabilisation doctrinale</w:t>
      </w:r>
    </w:p>
    <w:p>
      <w:pPr>
        <w:spacing w:after="120" w:line="276" w:lineRule="auto"/>
      </w:pPr>
      <w:r>
        <w:rPr>
          <w:rFonts w:ascii="Calibri" w:hAnsi="Calibri"/>
          <w:b w:val="0"/>
          <w:i w:val="0"/>
          <w:sz w:val="22"/>
        </w:rPr>
        <w:t>La v13 introduisait une doctrine nouvelle : le primat de la lecture exacte avant tout chantier de fermeture. La v14 mesure les conséquences de cette doctrine. Le chantier #150 d'audit des fonctions privées, bouclé le 18 mai, s'est appuyé sur une lecture exacte des fonctions SECURITY DEFINER pour traiter par lots (28 fonctions Cat 3 isolées en REVOKE étendu, 1 trigger patché). Cette méthodologie n'aurait pas été possible avant la v13. La doctrine de la lecture exacte est désormais intégrée au flux de travail, matérialisée par un hook git pré-commit qui bloque les violations (avec un faux positif documenté sur SECURITY DEFINER en commentaires). C'est un effet de stabilisation : ce que la v13 posait comme exigence est devenu, en v14, une pratique outillée.</w:t>
      </w:r>
    </w:p>
    <w:p>
      <w:pPr>
        <w:keepNext/>
        <w:spacing w:before="200" w:after="120"/>
      </w:pPr>
      <w:r>
        <w:rPr>
          <w:rFonts w:ascii="Calibri" w:hAnsi="Calibri"/>
          <w:b/>
          <w:sz w:val="28"/>
        </w:rPr>
        <w:t>2.4 Effet collatéral : la divergence backend / frontend</w:t>
      </w:r>
    </w:p>
    <w:p>
      <w:pPr>
        <w:spacing w:after="200" w:line="276" w:lineRule="auto"/>
      </w:pPr>
      <w:r>
        <w:rPr>
          <w:rFonts w:ascii="Calibri" w:hAnsi="Calibri"/>
          <w:b w:val="0"/>
          <w:i w:val="0"/>
          <w:sz w:val="22"/>
        </w:rPr>
        <w:t>Aucune version antérieure ne nommait explicitement cette divergence. La v14 doit la nommer parce qu'elle devient mesurable. Le backend a livré la couche admin réseau complète : neuf RPC, six tables, cinq triggers, deux vues api dédiées. Le frontend a livré six composants react correspondants (AdminsPanel, CancelCollectiveRemovalModal, NetworkAdminBadge, ProposeCollectiveRemovalModal, ProposeCooptationModal, VoteCollectiveRemovalModal, VoteCooptationModal). Mais entre la livraison backend des helpers fn_library_*_mode (4 fonctions exposées à anon, le 19 mai à 10h00) et la première intégration frontend correspondante (CatalogPage modifiée le même jour mais sans appeler les helpers SECURITY DEFINER), il existe une fenêtre où le backend a posé une politique de visibilité catalogue que le frontend ignore. Le chantier PEB illustre la même divergence : trois RPC backend (paquetC4a1_rpc_peb_check, paquetC4a234_rpc_create_check, paquetC4b_rpc_renew_check), policies RLS triple-défense (fn_peb_authorized + fn_library_has_circulation + user_can_manage_library), mais le frontend BibliotecaPage continue d'utiliser des appels .from() directs documentés dans CHANTIER_peb_frontend_diagnostic_2026-05-19.md. Cette divergence n'invalide pas le travail backend, mais elle modifie ce que signifie « fermer un chantier ».</w:t>
      </w:r>
    </w:p>
    <w:p>
      <w:pPr>
        <w:spacing w:after="80" w:line="276" w:lineRule="auto"/>
      </w:pPr>
      <w:r>
        <w:rPr>
          <w:rFonts w:ascii="Calibri" w:hAnsi="Calibri"/>
          <w:b/>
          <w:i w:val="0"/>
          <w:sz w:val="22"/>
        </w:rPr>
        <w:t>Ce que la v14 ajoute de décisif par rapport à la v13.</w:t>
      </w:r>
    </w:p>
    <w:tbl>
      <w:tblPr>
        <w:tblW w:type="auto" w:w="0"/>
        <w:jc w:val="center"/>
        <w:tblLook w:firstColumn="1" w:firstRow="1" w:lastColumn="0" w:lastRow="0" w:noHBand="0" w:noVBand="1" w:val="04A0"/>
      </w:tblPr>
      <w:tblGrid>
        <w:gridCol w:w="2436"/>
        <w:gridCol w:w="2436"/>
        <w:gridCol w:w="2436"/>
        <w:gridCol w:w="2436"/>
      </w:tblGrid>
      <w:tr>
        <w:tc>
          <w:tcPr>
            <w:tcW w:type="dxa" w:w="2551"/>
            <w:shd w:val="clear" w:color="auto" w:fill="E8EAF0"/>
            <w:tcBorders>
              <w:top w:val="single" w:sz="4" w:color="999999"/>
              <w:left w:val="single" w:sz="4" w:color="999999"/>
              <w:bottom w:val="single" w:sz="4" w:color="999999"/>
              <w:right w:val="single" w:sz="4" w:color="999999"/>
            </w:tcBorders>
            <w:vAlign w:val="top"/>
          </w:tcPr>
          <w:p>
            <w:pPr>
              <w:spacing w:before="40" w:after="40"/>
            </w:pPr>
            <w:r/>
            <w:r>
              <w:rPr>
                <w:rFonts w:ascii="Calibri" w:hAnsi="Calibri"/>
                <w:b/>
                <w:sz w:val="20"/>
              </w:rPr>
              <w:t>Bloc</w:t>
            </w:r>
          </w:p>
        </w:tc>
        <w:tc>
          <w:tcPr>
            <w:tcW w:type="dxa" w:w="2438"/>
            <w:shd w:val="clear" w:color="auto" w:fill="E8EAF0"/>
            <w:tcBorders>
              <w:top w:val="single" w:sz="4" w:color="999999"/>
              <w:left w:val="single" w:sz="4" w:color="999999"/>
              <w:bottom w:val="single" w:sz="4" w:color="999999"/>
              <w:right w:val="single" w:sz="4" w:color="999999"/>
            </w:tcBorders>
            <w:vAlign w:val="top"/>
          </w:tcPr>
          <w:p>
            <w:pPr>
              <w:spacing w:before="40" w:after="40"/>
            </w:pPr>
            <w:r/>
            <w:r>
              <w:rPr>
                <w:rFonts w:ascii="Calibri" w:hAnsi="Calibri"/>
                <w:b/>
                <w:sz w:val="20"/>
              </w:rPr>
              <w:t>Lecture v13 (30/04)</w:t>
            </w:r>
          </w:p>
        </w:tc>
        <w:tc>
          <w:tcPr>
            <w:tcW w:type="dxa" w:w="2438"/>
            <w:shd w:val="clear" w:color="auto" w:fill="E8EAF0"/>
            <w:tcBorders>
              <w:top w:val="single" w:sz="4" w:color="999999"/>
              <w:left w:val="single" w:sz="4" w:color="999999"/>
              <w:bottom w:val="single" w:sz="4" w:color="999999"/>
              <w:right w:val="single" w:sz="4" w:color="999999"/>
            </w:tcBorders>
            <w:vAlign w:val="top"/>
          </w:tcPr>
          <w:p>
            <w:pPr>
              <w:spacing w:before="40" w:after="40"/>
            </w:pPr>
            <w:r/>
            <w:r>
              <w:rPr>
                <w:rFonts w:ascii="Calibri" w:hAnsi="Calibri"/>
                <w:b/>
                <w:sz w:val="20"/>
              </w:rPr>
              <w:t>Lecture v14 (19/05)</w:t>
            </w:r>
          </w:p>
        </w:tc>
        <w:tc>
          <w:tcPr>
            <w:tcW w:type="dxa" w:w="1701"/>
            <w:shd w:val="clear" w:color="auto" w:fill="E8EAF0"/>
            <w:tcBorders>
              <w:top w:val="single" w:sz="4" w:color="999999"/>
              <w:left w:val="single" w:sz="4" w:color="999999"/>
              <w:bottom w:val="single" w:sz="4" w:color="999999"/>
              <w:right w:val="single" w:sz="4" w:color="999999"/>
            </w:tcBorders>
            <w:vAlign w:val="top"/>
          </w:tcPr>
          <w:p>
            <w:pPr>
              <w:spacing w:before="40" w:after="40"/>
            </w:pPr>
            <w:r/>
            <w:r>
              <w:rPr>
                <w:rFonts w:ascii="Calibri" w:hAnsi="Calibri"/>
                <w:b/>
                <w:sz w:val="20"/>
              </w:rPr>
              <w:t>Variation</w:t>
            </w:r>
          </w:p>
        </w:tc>
      </w:tr>
      <w:tr>
        <w:tc>
          <w:tcPr>
            <w:tcW w:type="dxa" w:w="2551"/>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Total tables</w:t>
            </w:r>
          </w:p>
        </w:tc>
        <w:tc>
          <w:tcPr>
            <w:tcW w:type="dxa" w:w="243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89 (82 public + 7 ingest)</w:t>
            </w:r>
          </w:p>
        </w:tc>
        <w:tc>
          <w:tcPr>
            <w:tcW w:type="dxa" w:w="243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107 (100 public + 7 ingest)</w:t>
            </w:r>
          </w:p>
        </w:tc>
        <w:tc>
          <w:tcPr>
            <w:tcW w:type="dxa" w:w="1701"/>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+18 (+20 %)</w:t>
            </w:r>
          </w:p>
        </w:tc>
      </w:tr>
      <w:tr>
        <w:tc>
          <w:tcPr>
            <w:tcW w:type="dxa" w:w="2551"/>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Total vues</w:t>
            </w:r>
          </w:p>
        </w:tc>
        <w:tc>
          <w:tcPr>
            <w:tcW w:type="dxa" w:w="243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59 (34 api + 25 public)</w:t>
            </w:r>
          </w:p>
        </w:tc>
        <w:tc>
          <w:tcPr>
            <w:tcW w:type="dxa" w:w="243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72 (45 api + 25 public + 2 mat.)</w:t>
            </w:r>
          </w:p>
        </w:tc>
        <w:tc>
          <w:tcPr>
            <w:tcW w:type="dxa" w:w="1701"/>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+13 (+22 %)</w:t>
            </w:r>
          </w:p>
        </w:tc>
      </w:tr>
      <w:tr>
        <w:tc>
          <w:tcPr>
            <w:tcW w:type="dxa" w:w="2551"/>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Total fonctions</w:t>
            </w:r>
          </w:p>
        </w:tc>
        <w:tc>
          <w:tcPr>
            <w:tcW w:type="dxa" w:w="243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291</w:t>
            </w:r>
          </w:p>
        </w:tc>
        <w:tc>
          <w:tcPr>
            <w:tcW w:type="dxa" w:w="243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373</w:t>
            </w:r>
          </w:p>
        </w:tc>
        <w:tc>
          <w:tcPr>
            <w:tcW w:type="dxa" w:w="1701"/>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+82 (+28 %)</w:t>
            </w:r>
          </w:p>
        </w:tc>
      </w:tr>
      <w:tr>
        <w:tc>
          <w:tcPr>
            <w:tcW w:type="dxa" w:w="2551"/>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Fonctions SECURITY DEFINER</w:t>
            </w:r>
          </w:p>
        </w:tc>
        <w:tc>
          <w:tcPr>
            <w:tcW w:type="dxa" w:w="243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167</w:t>
            </w:r>
          </w:p>
        </w:tc>
        <w:tc>
          <w:tcPr>
            <w:tcW w:type="dxa" w:w="243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250</w:t>
            </w:r>
          </w:p>
        </w:tc>
        <w:tc>
          <w:tcPr>
            <w:tcW w:type="dxa" w:w="1701"/>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+83 (+50 %)</w:t>
            </w:r>
          </w:p>
        </w:tc>
      </w:tr>
      <w:tr>
        <w:tc>
          <w:tcPr>
            <w:tcW w:type="dxa" w:w="2551"/>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Vues SECURITY DEFINER (ERROR)</w:t>
            </w:r>
          </w:p>
        </w:tc>
        <w:tc>
          <w:tcPr>
            <w:tcW w:type="dxa" w:w="243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4</w:t>
            </w:r>
          </w:p>
        </w:tc>
        <w:tc>
          <w:tcPr>
            <w:tcW w:type="dxa" w:w="243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1 (v_active_memberships seule)</w:t>
            </w:r>
          </w:p>
        </w:tc>
        <w:tc>
          <w:tcPr>
            <w:tcW w:type="dxa" w:w="1701"/>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−3 (fermeture)</w:t>
            </w:r>
          </w:p>
        </w:tc>
      </w:tr>
      <w:tr>
        <w:tc>
          <w:tcPr>
            <w:tcW w:type="dxa" w:w="2551"/>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Policies RLS</w:t>
            </w:r>
          </w:p>
        </w:tc>
        <w:tc>
          <w:tcPr>
            <w:tcW w:type="dxa" w:w="243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108</w:t>
            </w:r>
          </w:p>
        </w:tc>
        <w:tc>
          <w:tcPr>
            <w:tcW w:type="dxa" w:w="243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144</w:t>
            </w:r>
          </w:p>
        </w:tc>
        <w:tc>
          <w:tcPr>
            <w:tcW w:type="dxa" w:w="1701"/>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+36 (+33 %)</w:t>
            </w:r>
          </w:p>
        </w:tc>
      </w:tr>
      <w:tr>
        <w:tc>
          <w:tcPr>
            <w:tcW w:type="dxa" w:w="2551"/>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Triggers</w:t>
            </w:r>
          </w:p>
        </w:tc>
        <w:tc>
          <w:tcPr>
            <w:tcW w:type="dxa" w:w="243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52 (9 de notification)</w:t>
            </w:r>
          </w:p>
        </w:tc>
        <w:tc>
          <w:tcPr>
            <w:tcW w:type="dxa" w:w="243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79 (16 de notification)</w:t>
            </w:r>
          </w:p>
        </w:tc>
        <w:tc>
          <w:tcPr>
            <w:tcW w:type="dxa" w:w="1701"/>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+27 (+52 %)</w:t>
            </w:r>
          </w:p>
        </w:tc>
      </w:tr>
      <w:tr>
        <w:tc>
          <w:tcPr>
            <w:tcW w:type="dxa" w:w="2551"/>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Indexes</w:t>
            </w:r>
          </w:p>
        </w:tc>
        <w:tc>
          <w:tcPr>
            <w:tcW w:type="dxa" w:w="243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210 (88 marqués inutilisés)</w:t>
            </w:r>
          </w:p>
        </w:tc>
        <w:tc>
          <w:tcPr>
            <w:tcW w:type="dxa" w:w="243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384 (statistiques remises à zéro)</w:t>
            </w:r>
          </w:p>
        </w:tc>
        <w:tc>
          <w:tcPr>
            <w:tcW w:type="dxa" w:w="1701"/>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+174 (+83 %)</w:t>
            </w:r>
          </w:p>
        </w:tc>
      </w:tr>
      <w:tr>
        <w:tc>
          <w:tcPr>
            <w:tcW w:type="dxa" w:w="2551"/>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Clés étrangères</w:t>
            </w:r>
          </w:p>
        </w:tc>
        <w:tc>
          <w:tcPr>
            <w:tcW w:type="dxa" w:w="243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148 (49 sans index)</w:t>
            </w:r>
          </w:p>
        </w:tc>
        <w:tc>
          <w:tcPr>
            <w:tcW w:type="dxa" w:w="243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187 (≥67 sans index visibles)</w:t>
            </w:r>
          </w:p>
        </w:tc>
        <w:tc>
          <w:tcPr>
            <w:tcW w:type="dxa" w:w="1701"/>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+39 (+26 %)</w:t>
            </w:r>
          </w:p>
        </w:tc>
      </w:tr>
      <w:tr>
        <w:tc>
          <w:tcPr>
            <w:tcW w:type="dxa" w:w="2551"/>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Fonctions WARN anon SD</w:t>
            </w:r>
          </w:p>
        </w:tc>
        <w:tc>
          <w:tcPr>
            <w:tcW w:type="dxa" w:w="243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14</w:t>
            </w:r>
          </w:p>
        </w:tc>
        <w:tc>
          <w:tcPr>
            <w:tcW w:type="dxa" w:w="243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24</w:t>
            </w:r>
          </w:p>
        </w:tc>
        <w:tc>
          <w:tcPr>
            <w:tcW w:type="dxa" w:w="1701"/>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+10</w:t>
            </w:r>
          </w:p>
        </w:tc>
      </w:tr>
      <w:tr>
        <w:tc>
          <w:tcPr>
            <w:tcW w:type="dxa" w:w="2551"/>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Fonctions WARN authenticated SD</w:t>
            </w:r>
          </w:p>
        </w:tc>
        <w:tc>
          <w:tcPr>
            <w:tcW w:type="dxa" w:w="243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126</w:t>
            </w:r>
          </w:p>
        </w:tc>
        <w:tc>
          <w:tcPr>
            <w:tcW w:type="dxa" w:w="243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≈225</w:t>
            </w:r>
          </w:p>
        </w:tc>
        <w:tc>
          <w:tcPr>
            <w:tcW w:type="dxa" w:w="1701"/>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≈+99</w:t>
            </w:r>
          </w:p>
        </w:tc>
      </w:tr>
      <w:tr>
        <w:tc>
          <w:tcPr>
            <w:tcW w:type="dxa" w:w="2551"/>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Branche consultation locale</w:t>
            </w:r>
          </w:p>
        </w:tc>
        <w:tc>
          <w:tcPr>
            <w:tcW w:type="dxa" w:w="243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≈80 % (backend, manque triggers notify)</w:t>
            </w:r>
          </w:p>
        </w:tc>
        <w:tc>
          <w:tcPr>
            <w:tcW w:type="dxa" w:w="243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≈95 % (triggers en prod, manque painel frontal)</w:t>
            </w:r>
          </w:p>
        </w:tc>
        <w:tc>
          <w:tcPr>
            <w:tcW w:type="dxa" w:w="1701"/>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+15 pts</w:t>
            </w:r>
          </w:p>
        </w:tc>
      </w:tr>
      <w:tr>
        <w:tc>
          <w:tcPr>
            <w:tcW w:type="dxa" w:w="2551"/>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Couche profils d'adoption</w:t>
            </w:r>
          </w:p>
        </w:tc>
        <w:tc>
          <w:tcPr>
            <w:tcW w:type="dxa" w:w="243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Absente (anticipée par spec v0.3)</w:t>
            </w:r>
          </w:p>
        </w:tc>
        <w:tc>
          <w:tcPr>
            <w:tcW w:type="dxa" w:w="243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≈90 % backend / ≈10 % frontend</w:t>
            </w:r>
          </w:p>
        </w:tc>
        <w:tc>
          <w:tcPr>
            <w:tcW w:type="dxa" w:w="1701"/>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Nouveau palier</w:t>
            </w:r>
          </w:p>
        </w:tc>
      </w:tr>
      <w:tr>
        <w:tc>
          <w:tcPr>
            <w:tcW w:type="dxa" w:w="2551"/>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Couche admin réseau</w:t>
            </w:r>
          </w:p>
        </w:tc>
        <w:tc>
          <w:tcPr>
            <w:tcW w:type="dxa" w:w="243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Absente</w:t>
            </w:r>
          </w:p>
        </w:tc>
        <w:tc>
          <w:tcPr>
            <w:tcW w:type="dxa" w:w="243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≈95 % backend / ≈70 % frontend</w:t>
            </w:r>
          </w:p>
        </w:tc>
        <w:tc>
          <w:tcPr>
            <w:tcW w:type="dxa" w:w="1701"/>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Nouveau palier</w:t>
            </w:r>
          </w:p>
        </w:tc>
      </w:tr>
      <w:tr>
        <w:tc>
          <w:tcPr>
            <w:tcW w:type="dxa" w:w="2551"/>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Couche gouvernance staff</w:t>
            </w:r>
          </w:p>
        </w:tc>
        <w:tc>
          <w:tcPr>
            <w:tcW w:type="dxa" w:w="243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Embryonnaire (user_library_memberships)</w:t>
            </w:r>
          </w:p>
        </w:tc>
        <w:tc>
          <w:tcPr>
            <w:tcW w:type="dxa" w:w="243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≈90 % backend / ≈50 % frontend</w:t>
            </w:r>
          </w:p>
        </w:tc>
        <w:tc>
          <w:tcPr>
            <w:tcW w:type="dxa" w:w="1701"/>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Nouveau palier</w:t>
            </w:r>
          </w:p>
        </w:tc>
      </w:tr>
    </w:tbl>
    <w:p/>
    <w:p>
      <w:pPr>
        <w:keepNext/>
        <w:spacing w:before="280" w:after="120"/>
      </w:pPr>
      <w:r>
        <w:rPr>
          <w:rFonts w:ascii="Calibri" w:hAnsi="Calibri"/>
          <w:b/>
          <w:sz w:val="36"/>
        </w:rPr>
        <w:t>3. Cartographie quantifiée du backend, état au 19 mai 2026</w:t>
      </w:r>
    </w:p>
    <w:p>
      <w:pPr>
        <w:spacing w:after="120" w:line="276" w:lineRule="auto"/>
      </w:pPr>
      <w:r>
        <w:rPr>
          <w:rFonts w:ascii="Calibri" w:hAnsi="Calibri"/>
          <w:b w:val="0"/>
          <w:i w:val="0"/>
          <w:sz w:val="22"/>
        </w:rPr>
        <w:t>La v14 actualise la cartographie quantifiée v13 en l'élargissant aux paliers nouveaux. Le découpage en domaines reste celui de la v13, augmenté de quatre domaines nouveaux (profils d'adoption, admin réseau, gouvernance staff, cotisations) et d'un domaine consolidé (archivage transactionnel).</w:t>
      </w:r>
    </w:p>
    <w:p>
      <w:pPr>
        <w:keepNext/>
        <w:spacing w:before="200" w:after="120"/>
      </w:pPr>
      <w:r>
        <w:rPr>
          <w:rFonts w:ascii="Calibri" w:hAnsi="Calibri"/>
          <w:b/>
          <w:sz w:val="28"/>
        </w:rPr>
        <w:t>3.1 Tables — cartographie par domaine</w:t>
      </w:r>
    </w:p>
    <w:tbl>
      <w:tblPr>
        <w:tblW w:type="auto" w:w="0"/>
        <w:jc w:val="center"/>
        <w:tblLook w:firstColumn="1" w:firstRow="1" w:lastColumn="0" w:lastRow="0" w:noHBand="0" w:noVBand="1" w:val="04A0"/>
      </w:tblPr>
      <w:tblGrid>
        <w:gridCol w:w="3249"/>
        <w:gridCol w:w="3249"/>
        <w:gridCol w:w="3249"/>
      </w:tblGrid>
      <w:tr>
        <w:tc>
          <w:tcPr>
            <w:tcW w:type="dxa" w:w="3118"/>
            <w:shd w:val="clear" w:color="auto" w:fill="E8EAF0"/>
            <w:tcBorders>
              <w:top w:val="single" w:sz="4" w:color="999999"/>
              <w:left w:val="single" w:sz="4" w:color="999999"/>
              <w:bottom w:val="single" w:sz="4" w:color="999999"/>
              <w:right w:val="single" w:sz="4" w:color="999999"/>
            </w:tcBorders>
            <w:vAlign w:val="top"/>
          </w:tcPr>
          <w:p>
            <w:pPr>
              <w:spacing w:before="40" w:after="40"/>
            </w:pPr>
            <w:r/>
            <w:r>
              <w:rPr>
                <w:rFonts w:ascii="Calibri" w:hAnsi="Calibri"/>
                <w:b/>
                <w:sz w:val="20"/>
              </w:rPr>
              <w:t>Domaine</w:t>
            </w:r>
          </w:p>
        </w:tc>
        <w:tc>
          <w:tcPr>
            <w:tcW w:type="dxa" w:w="4535"/>
            <w:shd w:val="clear" w:color="auto" w:fill="E8EAF0"/>
            <w:tcBorders>
              <w:top w:val="single" w:sz="4" w:color="999999"/>
              <w:left w:val="single" w:sz="4" w:color="999999"/>
              <w:bottom w:val="single" w:sz="4" w:color="999999"/>
              <w:right w:val="single" w:sz="4" w:color="999999"/>
            </w:tcBorders>
            <w:vAlign w:val="top"/>
          </w:tcPr>
          <w:p>
            <w:pPr>
              <w:spacing w:before="40" w:after="40"/>
            </w:pPr>
            <w:r/>
            <w:r>
              <w:rPr>
                <w:rFonts w:ascii="Calibri" w:hAnsi="Calibri"/>
                <w:b/>
                <w:sz w:val="20"/>
              </w:rPr>
              <w:t>Tables clefs</w:t>
            </w:r>
          </w:p>
        </w:tc>
        <w:tc>
          <w:tcPr>
            <w:tcW w:type="dxa" w:w="1587"/>
            <w:shd w:val="clear" w:color="auto" w:fill="E8EAF0"/>
            <w:tcBorders>
              <w:top w:val="single" w:sz="4" w:color="999999"/>
              <w:left w:val="single" w:sz="4" w:color="999999"/>
              <w:bottom w:val="single" w:sz="4" w:color="999999"/>
              <w:right w:val="single" w:sz="4" w:color="999999"/>
            </w:tcBorders>
            <w:vAlign w:val="top"/>
          </w:tcPr>
          <w:p>
            <w:pPr>
              <w:spacing w:before="40" w:after="40"/>
            </w:pPr>
            <w:r/>
            <w:r>
              <w:rPr>
                <w:rFonts w:ascii="Calibri" w:hAnsi="Calibri"/>
                <w:b/>
                <w:sz w:val="20"/>
              </w:rPr>
              <w:t>Total v14</w:t>
            </w:r>
          </w:p>
        </w:tc>
      </w:tr>
      <w:tr>
        <w:tc>
          <w:tcPr>
            <w:tcW w:type="dxa" w:w="311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Catalogue documentaire</w:t>
            </w:r>
          </w:p>
        </w:tc>
        <w:tc>
          <w:tcPr>
            <w:tcW w:type="dxa" w:w="4535"/>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books, book_authors, authors, author_translations, book_holdings, exemplares, digital_assets, book_digital_resources, book_contributors, book_catalog_context, author_name_aliases</w:t>
            </w:r>
          </w:p>
        </w:tc>
        <w:tc>
          <w:tcPr>
            <w:tcW w:type="dxa" w:w="1587"/>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11 (+1)</w:t>
            </w:r>
          </w:p>
        </w:tc>
      </w:tr>
      <w:tr>
        <w:tc>
          <w:tcPr>
            <w:tcW w:type="dxa" w:w="311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Drafts éditoriaux (catalogação)</w:t>
            </w:r>
          </w:p>
        </w:tc>
        <w:tc>
          <w:tcPr>
            <w:tcW w:type="dxa" w:w="4535"/>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book_drafts, author_drafts, exemplar_drafts, catalog_batches, book_draft_catalog_context, book_draft_contributors, book_draft_digital_resources, book_draft_import_events</w:t>
            </w:r>
          </w:p>
        </w:tc>
        <w:tc>
          <w:tcPr>
            <w:tcW w:type="dxa" w:w="1587"/>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8 (=)</w:t>
            </w:r>
          </w:p>
        </w:tc>
      </w:tr>
      <w:tr>
        <w:tc>
          <w:tcPr>
            <w:tcW w:type="dxa" w:w="311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Imports partenaires (ingest)</w:t>
            </w:r>
          </w:p>
        </w:tc>
        <w:tc>
          <w:tcPr>
            <w:tcW w:type="dxa" w:w="4535"/>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partner_catalog_sources, partner_catalog_import_runs, partner_catalog_import_files, partner_catalog_staging_rows, partner_catalog_match_candidates, partner_catalog_row_to_draft, partner_catalog_import_dispatch_log</w:t>
            </w:r>
          </w:p>
        </w:tc>
        <w:tc>
          <w:tcPr>
            <w:tcW w:type="dxa" w:w="1587"/>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7 (=)</w:t>
            </w:r>
          </w:p>
        </w:tc>
      </w:tr>
      <w:tr>
        <w:tc>
          <w:tcPr>
            <w:tcW w:type="dxa" w:w="311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Authorities et catalog_ref (références)</w:t>
            </w:r>
          </w:p>
        </w:tc>
        <w:tc>
          <w:tcPr>
            <w:tcW w:type="dxa" w:w="4535"/>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catalog_ref_acquisition_modes/confidence_levels/import_methods/mutualization_statuses/review_statuses/source_formats/source_partners/source_systems</w:t>
            </w:r>
          </w:p>
        </w:tc>
        <w:tc>
          <w:tcPr>
            <w:tcW w:type="dxa" w:w="1587"/>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8 (−1, alias déplacé)</w:t>
            </w:r>
          </w:p>
        </w:tc>
      </w:tr>
      <w:tr>
        <w:tc>
          <w:tcPr>
            <w:tcW w:type="dxa" w:w="311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Réservations v2</w:t>
            </w:r>
          </w:p>
        </w:tc>
        <w:tc>
          <w:tcPr>
            <w:tcW w:type="dxa" w:w="4535"/>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reservas_v2, reserva_linhas_v2, reserva_item_workflow_v2</w:t>
            </w:r>
          </w:p>
        </w:tc>
        <w:tc>
          <w:tcPr>
            <w:tcW w:type="dxa" w:w="1587"/>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3 (=)</w:t>
            </w:r>
          </w:p>
        </w:tc>
      </w:tr>
      <w:tr>
        <w:tc>
          <w:tcPr>
            <w:tcW w:type="dxa" w:w="311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Emprunts v2</w:t>
            </w:r>
          </w:p>
        </w:tc>
        <w:tc>
          <w:tcPr>
            <w:tcW w:type="dxa" w:w="4535"/>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emprestimos_v2, emprestimo_itens_v2</w:t>
            </w:r>
          </w:p>
        </w:tc>
        <w:tc>
          <w:tcPr>
            <w:tcW w:type="dxa" w:w="1587"/>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2 (=)</w:t>
            </w:r>
          </w:p>
        </w:tc>
      </w:tr>
      <w:tr>
        <w:tc>
          <w:tcPr>
            <w:tcW w:type="dxa" w:w="311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Consultation locale v2</w:t>
            </w:r>
          </w:p>
        </w:tc>
        <w:tc>
          <w:tcPr>
            <w:tcW w:type="dxa" w:w="4535"/>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consultas_locais_v2, consulta_linhas_v2, consulta_item_workflow_v2</w:t>
            </w:r>
          </w:p>
        </w:tc>
        <w:tc>
          <w:tcPr>
            <w:tcW w:type="dxa" w:w="1587"/>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3 (=, désormais notifié)</w:t>
            </w:r>
          </w:p>
        </w:tc>
      </w:tr>
      <w:tr>
        <w:tc>
          <w:tcPr>
            <w:tcW w:type="dxa" w:w="311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Prêt inter-bibliothèques v2 (BTL)</w:t>
            </w:r>
          </w:p>
        </w:tc>
        <w:tc>
          <w:tcPr>
            <w:tcW w:type="dxa" w:w="4535"/>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interlibrary_loans_v2, interlibrary_loan_items_v2, interlibrary_loan_events, interlibrary_loan_notification_events</w:t>
            </w:r>
          </w:p>
        </w:tc>
        <w:tc>
          <w:tcPr>
            <w:tcW w:type="dxa" w:w="1587"/>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4 (=)</w:t>
            </w:r>
          </w:p>
        </w:tc>
      </w:tr>
      <w:tr>
        <w:tc>
          <w:tcPr>
            <w:tcW w:type="dxa" w:w="311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Profils, droits, restrictions</w:t>
            </w:r>
          </w:p>
        </w:tc>
        <w:tc>
          <w:tcPr>
            <w:tcW w:type="dxa" w:w="4535"/>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profiles, user_library_memberships, user_notifications, user_wishlist</w:t>
            </w:r>
          </w:p>
        </w:tc>
        <w:tc>
          <w:tcPr>
            <w:tcW w:type="dxa" w:w="1587"/>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4 (=, schéma user_library_memberships enrichi)</w:t>
            </w:r>
          </w:p>
        </w:tc>
      </w:tr>
      <w:tr>
        <w:tc>
          <w:tcPr>
            <w:tcW w:type="dxa" w:w="311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Bibliothèques et gouvernance</w:t>
            </w:r>
          </w:p>
        </w:tc>
        <w:tc>
          <w:tcPr>
            <w:tcW w:type="dxa" w:w="4535"/>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libraries, library_circulation_policy_sets/rules, library_regulation_documents, library_service_state, library_contact_profiles, library_document_governance, library_themes, library_theme_configs, library_commons</w:t>
            </w:r>
          </w:p>
        </w:tc>
        <w:tc>
          <w:tcPr>
            <w:tcW w:type="dxa" w:w="1587"/>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10 (=)</w:t>
            </w:r>
          </w:p>
        </w:tc>
      </w:tr>
      <w:tr>
        <w:tc>
          <w:tcPr>
            <w:tcW w:type="dxa" w:w="311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Communications par bibliothèque</w:t>
            </w:r>
          </w:p>
        </w:tc>
        <w:tc>
          <w:tcPr>
            <w:tcW w:type="dxa" w:w="4535"/>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library_notification_policies, library_notification_profiles, library_email_identity, library_mail_channels</w:t>
            </w:r>
          </w:p>
        </w:tc>
        <w:tc>
          <w:tcPr>
            <w:tcW w:type="dxa" w:w="1587"/>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4 (=)</w:t>
            </w:r>
          </w:p>
        </w:tc>
      </w:tr>
      <w:tr>
        <w:tc>
          <w:tcPr>
            <w:tcW w:type="dxa" w:w="311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Onboarding bibliothèques</w:t>
            </w:r>
          </w:p>
        </w:tc>
        <w:tc>
          <w:tcPr>
            <w:tcW w:type="dxa" w:w="4535"/>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library_requests, library_request_claims, library_request_notification_events</w:t>
            </w:r>
          </w:p>
        </w:tc>
        <w:tc>
          <w:tcPr>
            <w:tcW w:type="dxa" w:w="1587"/>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3 (=)</w:t>
            </w:r>
          </w:p>
        </w:tc>
      </w:tr>
      <w:tr>
        <w:tc>
          <w:tcPr>
            <w:tcW w:type="dxa" w:w="311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Catalog partners (probing)</w:t>
            </w:r>
          </w:p>
        </w:tc>
        <w:tc>
          <w:tcPr>
            <w:tcW w:type="dxa" w:w="4535"/>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catalog_partners, catalog_partner_capabilities, catalog_partner_probe_runs</w:t>
            </w:r>
          </w:p>
        </w:tc>
        <w:tc>
          <w:tcPr>
            <w:tcW w:type="dxa" w:w="1587"/>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3 (=)</w:t>
            </w:r>
          </w:p>
        </w:tc>
      </w:tr>
      <w:tr>
        <w:tc>
          <w:tcPr>
            <w:tcW w:type="dxa" w:w="311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Réseau et personnel local</w:t>
            </w:r>
          </w:p>
        </w:tc>
        <w:tc>
          <w:tcPr>
            <w:tcW w:type="dxa" w:w="4535"/>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partner_source_records, partner_source_holdings, partner_source_items, network_reviewers</w:t>
            </w:r>
          </w:p>
        </w:tc>
        <w:tc>
          <w:tcPr>
            <w:tcW w:type="dxa" w:w="1587"/>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4 (=)</w:t>
            </w:r>
          </w:p>
        </w:tc>
      </w:tr>
      <w:tr>
        <w:tc>
          <w:tcPr>
            <w:tcW w:type="dxa" w:w="311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Tâches internes (painel)</w:t>
            </w:r>
          </w:p>
        </w:tc>
        <w:tc>
          <w:tcPr>
            <w:tcW w:type="dxa" w:w="4535"/>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painel_internal_tasks, painel_internal_task_invites, painel_internal_task_invitation_outbox, painel_internal_task_notification_outbox</w:t>
            </w:r>
          </w:p>
        </w:tc>
        <w:tc>
          <w:tcPr>
            <w:tcW w:type="dxa" w:w="1587"/>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4 (=)</w:t>
            </w:r>
          </w:p>
        </w:tc>
      </w:tr>
      <w:tr>
        <w:tc>
          <w:tcPr>
            <w:tcW w:type="dxa" w:w="311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Documents et permissions</w:t>
            </w:r>
          </w:p>
        </w:tc>
        <w:tc>
          <w:tcPr>
            <w:tcW w:type="dxa" w:w="4535"/>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document_permission_requests, document_permission_request_notification_events</w:t>
            </w:r>
          </w:p>
        </w:tc>
        <w:tc>
          <w:tcPr>
            <w:tcW w:type="dxa" w:w="1587"/>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2 (=)</w:t>
            </w:r>
          </w:p>
        </w:tc>
      </w:tr>
      <w:tr>
        <w:tc>
          <w:tcPr>
            <w:tcW w:type="dxa" w:w="311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Profils d'adoption (NOUVEAU)</w:t>
            </w:r>
          </w:p>
        </w:tc>
        <w:tc>
          <w:tcPr>
            <w:tcW w:type="dxa" w:w="4535"/>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library_profile_history, library_profile_proposals, library_profile_votes, library_profile_grace_locks</w:t>
            </w:r>
          </w:p>
        </w:tc>
        <w:tc>
          <w:tcPr>
            <w:tcW w:type="dxa" w:w="1587"/>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4 (nouveau)</w:t>
            </w:r>
          </w:p>
        </w:tc>
      </w:tr>
      <w:tr>
        <w:tc>
          <w:tcPr>
            <w:tcW w:type="dxa" w:w="311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Admin réseau (NOUVEAU)</w:t>
            </w:r>
          </w:p>
        </w:tc>
        <w:tc>
          <w:tcPr>
            <w:tcW w:type="dxa" w:w="4535"/>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network_administrators, network_staff, network_administrator_audit, network_administrator_cooptation_proposals/votes, network_admin_collective_removal_proposals/votes, network_admin_cross_library_actions_log</w:t>
            </w:r>
          </w:p>
        </w:tc>
        <w:tc>
          <w:tcPr>
            <w:tcW w:type="dxa" w:w="1587"/>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8 (nouveau)</w:t>
            </w:r>
          </w:p>
        </w:tc>
      </w:tr>
      <w:tr>
        <w:tc>
          <w:tcPr>
            <w:tcW w:type="dxa" w:w="311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Cotisations et engagement (NOUVEAU)</w:t>
            </w:r>
          </w:p>
        </w:tc>
        <w:tc>
          <w:tcPr>
            <w:tcW w:type="dxa" w:w="4535"/>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library_membership_rules, membership_payments, library_membership_audit</w:t>
            </w:r>
          </w:p>
        </w:tc>
        <w:tc>
          <w:tcPr>
            <w:tcW w:type="dxa" w:w="1587"/>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3 (nouveau)</w:t>
            </w:r>
          </w:p>
        </w:tc>
      </w:tr>
      <w:tr>
        <w:tc>
          <w:tcPr>
            <w:tcW w:type="dxa" w:w="311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Rétention &amp; archivage transactionnel (NOUVEAU)</w:t>
            </w:r>
          </w:p>
        </w:tc>
        <w:tc>
          <w:tcPr>
            <w:tcW w:type="dxa" w:w="4535"/>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library_retention_policies, library_unarchive_log + 3 tables _archived_* (legacy renommé)</w:t>
            </w:r>
          </w:p>
        </w:tc>
        <w:tc>
          <w:tcPr>
            <w:tcW w:type="dxa" w:w="1587"/>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5 (consolidé)</w:t>
            </w:r>
          </w:p>
        </w:tc>
      </w:tr>
      <w:tr>
        <w:tc>
          <w:tcPr>
            <w:tcW w:type="dxa" w:w="311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Outbox de team notifications (NOUVEAU)</w:t>
            </w:r>
          </w:p>
        </w:tc>
        <w:tc>
          <w:tcPr>
            <w:tcW w:type="dxa" w:w="4535"/>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team_notification_outbox (table de fan-out central)</w:t>
            </w:r>
          </w:p>
        </w:tc>
        <w:tc>
          <w:tcPr>
            <w:tcW w:type="dxa" w:w="1587"/>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1 (nouveau)</w:t>
            </w:r>
          </w:p>
        </w:tc>
      </w:tr>
      <w:tr>
        <w:tc>
          <w:tcPr>
            <w:tcW w:type="dxa" w:w="311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Anti-bruteforce login (NOUVEAU)</w:t>
            </w:r>
          </w:p>
        </w:tc>
        <w:tc>
          <w:tcPr>
            <w:tcW w:type="dxa" w:w="4535"/>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auth_rate_limits</w:t>
            </w:r>
          </w:p>
        </w:tc>
        <w:tc>
          <w:tcPr>
            <w:tcW w:type="dxa" w:w="1587"/>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1 (nouveau)</w:t>
            </w:r>
          </w:p>
        </w:tc>
      </w:tr>
      <w:tr>
        <w:tc>
          <w:tcPr>
            <w:tcW w:type="dxa" w:w="311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Legacy</w:t>
            </w:r>
          </w:p>
        </w:tc>
        <w:tc>
          <w:tcPr>
            <w:tcW w:type="dxa" w:w="4535"/>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import_blmf_books_rows, import_blmf_exemplares_rows, import_terra_livre_zotero_staging, loan_midpoint_message_log, book_authors_backup_suspect_mono</w:t>
            </w:r>
          </w:p>
        </w:tc>
        <w:tc>
          <w:tcPr>
            <w:tcW w:type="dxa" w:w="1587"/>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5 (−3, paquet L.10 a renommé en _archived_*)</w:t>
            </w:r>
          </w:p>
        </w:tc>
      </w:tr>
    </w:tbl>
    <w:p/>
    <w:p>
      <w:pPr>
        <w:keepNext/>
        <w:spacing w:before="200" w:after="120"/>
      </w:pPr>
      <w:r>
        <w:rPr>
          <w:rFonts w:ascii="Calibri" w:hAnsi="Calibri"/>
          <w:b/>
          <w:sz w:val="28"/>
        </w:rPr>
        <w:t>3.2 Fonctions — par famille (vue actualisée)</w:t>
      </w:r>
    </w:p>
    <w:tbl>
      <w:tblPr>
        <w:tblW w:type="auto" w:w="0"/>
        <w:jc w:val="center"/>
        <w:tblLook w:firstColumn="1" w:firstRow="1" w:lastColumn="0" w:lastRow="0" w:noHBand="0" w:noVBand="1" w:val="04A0"/>
      </w:tblPr>
      <w:tblGrid>
        <w:gridCol w:w="1949"/>
        <w:gridCol w:w="1949"/>
        <w:gridCol w:w="1949"/>
        <w:gridCol w:w="1949"/>
        <w:gridCol w:w="1949"/>
      </w:tblGrid>
      <w:tr>
        <w:tc>
          <w:tcPr>
            <w:tcW w:type="dxa" w:w="1814"/>
            <w:shd w:val="clear" w:color="auto" w:fill="E8EAF0"/>
            <w:tcBorders>
              <w:top w:val="single" w:sz="4" w:color="999999"/>
              <w:left w:val="single" w:sz="4" w:color="999999"/>
              <w:bottom w:val="single" w:sz="4" w:color="999999"/>
              <w:right w:val="single" w:sz="4" w:color="999999"/>
            </w:tcBorders>
            <w:vAlign w:val="top"/>
          </w:tcPr>
          <w:p>
            <w:pPr>
              <w:spacing w:before="40" w:after="40"/>
            </w:pPr>
            <w:r/>
            <w:r>
              <w:rPr>
                <w:rFonts w:ascii="Calibri" w:hAnsi="Calibri"/>
                <w:b/>
                <w:sz w:val="20"/>
              </w:rPr>
              <w:t>Famille</w:t>
            </w:r>
          </w:p>
        </w:tc>
        <w:tc>
          <w:tcPr>
            <w:tcW w:type="dxa" w:w="1984"/>
            <w:shd w:val="clear" w:color="auto" w:fill="E8EAF0"/>
            <w:tcBorders>
              <w:top w:val="single" w:sz="4" w:color="999999"/>
              <w:left w:val="single" w:sz="4" w:color="999999"/>
              <w:bottom w:val="single" w:sz="4" w:color="999999"/>
              <w:right w:val="single" w:sz="4" w:color="999999"/>
            </w:tcBorders>
            <w:vAlign w:val="top"/>
          </w:tcPr>
          <w:p>
            <w:pPr>
              <w:spacing w:before="40" w:after="40"/>
            </w:pPr>
            <w:r/>
            <w:r>
              <w:rPr>
                <w:rFonts w:ascii="Calibri" w:hAnsi="Calibri"/>
                <w:b/>
                <w:sz w:val="20"/>
              </w:rPr>
              <w:t>Préfixe</w:t>
            </w:r>
          </w:p>
        </w:tc>
        <w:tc>
          <w:tcPr>
            <w:tcW w:type="dxa" w:w="907"/>
            <w:shd w:val="clear" w:color="auto" w:fill="E8EAF0"/>
            <w:tcBorders>
              <w:top w:val="single" w:sz="4" w:color="999999"/>
              <w:left w:val="single" w:sz="4" w:color="999999"/>
              <w:bottom w:val="single" w:sz="4" w:color="999999"/>
              <w:right w:val="single" w:sz="4" w:color="999999"/>
            </w:tcBorders>
            <w:vAlign w:val="top"/>
          </w:tcPr>
          <w:p>
            <w:pPr>
              <w:spacing w:before="40" w:after="40"/>
            </w:pPr>
            <w:r/>
            <w:r>
              <w:rPr>
                <w:rFonts w:ascii="Calibri" w:hAnsi="Calibri"/>
                <w:b/>
                <w:sz w:val="20"/>
              </w:rPr>
              <w:t>Compte v13</w:t>
            </w:r>
          </w:p>
        </w:tc>
        <w:tc>
          <w:tcPr>
            <w:tcW w:type="dxa" w:w="907"/>
            <w:shd w:val="clear" w:color="auto" w:fill="E8EAF0"/>
            <w:tcBorders>
              <w:top w:val="single" w:sz="4" w:color="999999"/>
              <w:left w:val="single" w:sz="4" w:color="999999"/>
              <w:bottom w:val="single" w:sz="4" w:color="999999"/>
              <w:right w:val="single" w:sz="4" w:color="999999"/>
            </w:tcBorders>
            <w:vAlign w:val="top"/>
          </w:tcPr>
          <w:p>
            <w:pPr>
              <w:spacing w:before="40" w:after="40"/>
            </w:pPr>
            <w:r/>
            <w:r>
              <w:rPr>
                <w:rFonts w:ascii="Calibri" w:hAnsi="Calibri"/>
                <w:b/>
                <w:sz w:val="20"/>
              </w:rPr>
              <w:t>Compte v14</w:t>
            </w:r>
          </w:p>
        </w:tc>
        <w:tc>
          <w:tcPr>
            <w:tcW w:type="dxa" w:w="3685"/>
            <w:shd w:val="clear" w:color="auto" w:fill="E8EAF0"/>
            <w:tcBorders>
              <w:top w:val="single" w:sz="4" w:color="999999"/>
              <w:left w:val="single" w:sz="4" w:color="999999"/>
              <w:bottom w:val="single" w:sz="4" w:color="999999"/>
              <w:right w:val="single" w:sz="4" w:color="999999"/>
            </w:tcBorders>
            <w:vAlign w:val="top"/>
          </w:tcPr>
          <w:p>
            <w:pPr>
              <w:spacing w:before="40" w:after="40"/>
            </w:pPr>
            <w:r/>
            <w:r>
              <w:rPr>
                <w:rFonts w:ascii="Calibri" w:hAnsi="Calibri"/>
                <w:b/>
                <w:sz w:val="20"/>
              </w:rPr>
              <w:t>Rôle</w:t>
            </w:r>
          </w:p>
        </w:tc>
      </w:tr>
      <w:tr>
        <w:tc>
          <w:tcPr>
            <w:tcW w:type="dxa" w:w="181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Circulation v2</w:t>
            </w:r>
          </w:p>
        </w:tc>
        <w:tc>
          <w:tcPr>
            <w:tcW w:type="dxa" w:w="198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fn_v2_*</w:t>
            </w:r>
          </w:p>
        </w:tc>
        <w:tc>
          <w:tcPr>
            <w:tcW w:type="dxa" w:w="907"/>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39</w:t>
            </w:r>
          </w:p>
        </w:tc>
        <w:tc>
          <w:tcPr>
            <w:tcW w:type="dxa" w:w="907"/>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≈42</w:t>
            </w:r>
          </w:p>
        </w:tc>
        <w:tc>
          <w:tcPr>
            <w:tcW w:type="dxa" w:w="3685"/>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Création/annulation/conversion/extension de réservations, emprunts, consultations, BTL</w:t>
            </w:r>
          </w:p>
        </w:tc>
      </w:tr>
      <w:tr>
        <w:tc>
          <w:tcPr>
            <w:tcW w:type="dxa" w:w="181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Helpers d'identité / touch</w:t>
            </w:r>
          </w:p>
        </w:tc>
        <w:tc>
          <w:tcPr>
            <w:tcW w:type="dxa" w:w="198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touch_*, set_*, tg_*</w:t>
            </w:r>
          </w:p>
        </w:tc>
        <w:tc>
          <w:tcPr>
            <w:tcW w:type="dxa" w:w="907"/>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29</w:t>
            </w:r>
          </w:p>
        </w:tc>
        <w:tc>
          <w:tcPr>
            <w:tcW w:type="dxa" w:w="907"/>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≈42</w:t>
            </w:r>
          </w:p>
        </w:tc>
        <w:tc>
          <w:tcPr>
            <w:tcW w:type="dxa" w:w="3685"/>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Triggers de mise à jour automatique de updated_at, désormais sur 13 tables nouvelles</w:t>
            </w:r>
          </w:p>
        </w:tc>
      </w:tr>
      <w:tr>
        <w:tc>
          <w:tcPr>
            <w:tcW w:type="dxa" w:w="181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Catalog partners</w:t>
            </w:r>
          </w:p>
        </w:tc>
        <w:tc>
          <w:tcPr>
            <w:tcW w:type="dxa" w:w="198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catalog_partner_*</w:t>
            </w:r>
          </w:p>
        </w:tc>
        <w:tc>
          <w:tcPr>
            <w:tcW w:type="dxa" w:w="907"/>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9</w:t>
            </w:r>
          </w:p>
        </w:tc>
        <w:tc>
          <w:tcPr>
            <w:tcW w:type="dxa" w:w="907"/>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9</w:t>
            </w:r>
          </w:p>
        </w:tc>
        <w:tc>
          <w:tcPr>
            <w:tcW w:type="dxa" w:w="3685"/>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Politiques d'autorisation pour comparaison/import/mutualisation (stable)</w:t>
            </w:r>
          </w:p>
        </w:tc>
      </w:tr>
      <w:tr>
        <w:tc>
          <w:tcPr>
            <w:tcW w:type="dxa" w:w="181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Upsert libraries</w:t>
            </w:r>
          </w:p>
        </w:tc>
        <w:tc>
          <w:tcPr>
            <w:tcW w:type="dxa" w:w="198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upsert_library_*</w:t>
            </w:r>
          </w:p>
        </w:tc>
        <w:tc>
          <w:tcPr>
            <w:tcW w:type="dxa" w:w="907"/>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8</w:t>
            </w:r>
          </w:p>
        </w:tc>
        <w:tc>
          <w:tcPr>
            <w:tcW w:type="dxa" w:w="907"/>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8</w:t>
            </w:r>
          </w:p>
        </w:tc>
        <w:tc>
          <w:tcPr>
            <w:tcW w:type="dxa" w:w="3685"/>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Gouvernance des paramètres de bibliothèque (stable)</w:t>
            </w:r>
          </w:p>
        </w:tc>
      </w:tr>
      <w:tr>
        <w:tc>
          <w:tcPr>
            <w:tcW w:type="dxa" w:w="181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Contexte de session</w:t>
            </w:r>
          </w:p>
        </w:tc>
        <w:tc>
          <w:tcPr>
            <w:tcW w:type="dxa" w:w="198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fn_current_*</w:t>
            </w:r>
          </w:p>
        </w:tc>
        <w:tc>
          <w:tcPr>
            <w:tcW w:type="dxa" w:w="907"/>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7</w:t>
            </w:r>
          </w:p>
        </w:tc>
        <w:tc>
          <w:tcPr>
            <w:tcW w:type="dxa" w:w="907"/>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7</w:t>
            </w:r>
          </w:p>
        </w:tc>
        <w:tc>
          <w:tcPr>
            <w:tcW w:type="dxa" w:w="3685"/>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Calcul du contexte utilisateur courant (stable)</w:t>
            </w:r>
          </w:p>
        </w:tc>
      </w:tr>
      <w:tr>
        <w:tc>
          <w:tcPr>
            <w:tcW w:type="dxa" w:w="181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Triggers de notification</w:t>
            </w:r>
          </w:p>
        </w:tc>
        <w:tc>
          <w:tcPr>
            <w:tcW w:type="dxa" w:w="198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trg_notify_*, tg_auto_dispatch_*, fn_notify_*</w:t>
            </w:r>
          </w:p>
        </w:tc>
        <w:tc>
          <w:tcPr>
            <w:tcW w:type="dxa" w:w="907"/>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9</w:t>
            </w:r>
          </w:p>
        </w:tc>
        <w:tc>
          <w:tcPr>
            <w:tcW w:type="dxa" w:w="907"/>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16</w:t>
            </w:r>
          </w:p>
        </w:tc>
        <w:tc>
          <w:tcPr>
            <w:tcW w:type="dxa" w:w="3685"/>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Branchement automatique vers notify-event ; consultation et profils d'adoption ajoutés</w:t>
            </w:r>
          </w:p>
        </w:tc>
      </w:tr>
      <w:tr>
        <w:tc>
          <w:tcPr>
            <w:tcW w:type="dxa" w:w="181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Permissions et accès</w:t>
            </w:r>
          </w:p>
        </w:tc>
        <w:tc>
          <w:tcPr>
            <w:tcW w:type="dxa" w:w="198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can_manage_*, user_can_*, can_access_*</w:t>
            </w:r>
          </w:p>
        </w:tc>
        <w:tc>
          <w:tcPr>
            <w:tcW w:type="dxa" w:w="907"/>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8</w:t>
            </w:r>
          </w:p>
        </w:tc>
        <w:tc>
          <w:tcPr>
            <w:tcW w:type="dxa" w:w="907"/>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≈12</w:t>
            </w:r>
          </w:p>
        </w:tc>
        <w:tc>
          <w:tcPr>
            <w:tcW w:type="dxa" w:w="3685"/>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Vérification de droits par rôle bibliothèque</w:t>
            </w:r>
          </w:p>
        </w:tc>
      </w:tr>
      <w:tr>
        <w:tc>
          <w:tcPr>
            <w:tcW w:type="dxa" w:w="181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Métriques réseau</w:t>
            </w:r>
          </w:p>
        </w:tc>
        <w:tc>
          <w:tcPr>
            <w:tcW w:type="dxa" w:w="198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fn_network_*</w:t>
            </w:r>
          </w:p>
        </w:tc>
        <w:tc>
          <w:tcPr>
            <w:tcW w:type="dxa" w:w="907"/>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5</w:t>
            </w:r>
          </w:p>
        </w:tc>
        <w:tc>
          <w:tcPr>
            <w:tcW w:type="dxa" w:w="907"/>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≈10</w:t>
            </w:r>
          </w:p>
        </w:tc>
        <w:tc>
          <w:tcPr>
            <w:tcW w:type="dxa" w:w="3685"/>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Statistiques inter-bibliothèques + dashboard summary + library metrics</w:t>
            </w:r>
          </w:p>
        </w:tc>
      </w:tr>
      <w:tr>
        <w:tc>
          <w:tcPr>
            <w:tcW w:type="dxa" w:w="181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Catalog bridge (sync)</w:t>
            </w:r>
          </w:p>
        </w:tc>
        <w:tc>
          <w:tcPr>
            <w:tcW w:type="dxa" w:w="198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catalog_bridge_*</w:t>
            </w:r>
          </w:p>
        </w:tc>
        <w:tc>
          <w:tcPr>
            <w:tcW w:type="dxa" w:w="907"/>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4</w:t>
            </w:r>
          </w:p>
        </w:tc>
        <w:tc>
          <w:tcPr>
            <w:tcW w:type="dxa" w:w="907"/>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4</w:t>
            </w:r>
          </w:p>
        </w:tc>
        <w:tc>
          <w:tcPr>
            <w:tcW w:type="dxa" w:w="3685"/>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Synchronisation marc_json ↔ tables structurées (stable)</w:t>
            </w:r>
          </w:p>
        </w:tc>
      </w:tr>
      <w:tr>
        <w:tc>
          <w:tcPr>
            <w:tcW w:type="dxa" w:w="181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Painel interne</w:t>
            </w:r>
          </w:p>
        </w:tc>
        <w:tc>
          <w:tcPr>
            <w:tcW w:type="dxa" w:w="198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fn_painel_*</w:t>
            </w:r>
          </w:p>
        </w:tc>
        <w:tc>
          <w:tcPr>
            <w:tcW w:type="dxa" w:w="907"/>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3</w:t>
            </w:r>
          </w:p>
        </w:tc>
        <w:tc>
          <w:tcPr>
            <w:tcW w:type="dxa" w:w="907"/>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3</w:t>
            </w:r>
          </w:p>
        </w:tc>
        <w:tc>
          <w:tcPr>
            <w:tcW w:type="dxa" w:w="3685"/>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Recherche et gestion utilisateur côté painel (stable)</w:t>
            </w:r>
          </w:p>
        </w:tc>
      </w:tr>
      <w:tr>
        <w:tc>
          <w:tcPr>
            <w:tcW w:type="dxa" w:w="181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Profils d'adoption (NOUVEAU)</w:t>
            </w:r>
          </w:p>
        </w:tc>
        <w:tc>
          <w:tcPr>
            <w:tcW w:type="dxa" w:w="198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fn_propose/vote/execute/cancel_library_profile_change + fn_library_*_mode + fn_classify_transition + fn_required_governance_for_transition</w:t>
            </w:r>
          </w:p>
        </w:tc>
        <w:tc>
          <w:tcPr>
            <w:tcW w:type="dxa" w:w="907"/>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w:t>
            </w:r>
          </w:p>
        </w:tc>
        <w:tc>
          <w:tcPr>
            <w:tcW w:type="dxa" w:w="907"/>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≈10</w:t>
            </w:r>
          </w:p>
        </w:tc>
        <w:tc>
          <w:tcPr>
            <w:tcW w:type="dxa" w:w="3685"/>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Cycle de vie des transitions de mode catalog/circulation/network/governance</w:t>
            </w:r>
          </w:p>
        </w:tc>
      </w:tr>
      <w:tr>
        <w:tc>
          <w:tcPr>
            <w:tcW w:type="dxa" w:w="181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Admin réseau (NOUVEAU)</w:t>
            </w:r>
          </w:p>
        </w:tc>
        <w:tc>
          <w:tcPr>
            <w:tcW w:type="dxa" w:w="198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fn_network_admin_propose_cooptation/vote_cooptation/propose_collective_removal/vote_collective_removal/cancel_collective_removal/request_removal/self_remove + fn_caller_is_*</w:t>
            </w:r>
          </w:p>
        </w:tc>
        <w:tc>
          <w:tcPr>
            <w:tcW w:type="dxa" w:w="907"/>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w:t>
            </w:r>
          </w:p>
        </w:tc>
        <w:tc>
          <w:tcPr>
            <w:tcW w:type="dxa" w:w="907"/>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9</w:t>
            </w:r>
          </w:p>
        </w:tc>
        <w:tc>
          <w:tcPr>
            <w:tcW w:type="dxa" w:w="3685"/>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Cooptation, retrait collectif, audit</w:t>
            </w:r>
          </w:p>
        </w:tc>
      </w:tr>
      <w:tr>
        <w:tc>
          <w:tcPr>
            <w:tcW w:type="dxa" w:w="181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Gouvernance staff (NOUVEAU)</w:t>
            </w:r>
          </w:p>
        </w:tc>
        <w:tc>
          <w:tcPr>
            <w:tcW w:type="dxa" w:w="198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fn_team_promote_to_administrador/coordenador/librarian + fn_team_suspend/unsuspend/request_remove/cancel_remove/self_demote + fn_team_list_memberships</w:t>
            </w:r>
          </w:p>
        </w:tc>
        <w:tc>
          <w:tcPr>
            <w:tcW w:type="dxa" w:w="907"/>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w:t>
            </w:r>
          </w:p>
        </w:tc>
        <w:tc>
          <w:tcPr>
            <w:tcW w:type="dxa" w:w="907"/>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9</w:t>
            </w:r>
          </w:p>
        </w:tc>
        <w:tc>
          <w:tcPr>
            <w:tcW w:type="dxa" w:w="3685"/>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Promotion/démotion/suspension/retrait dans les équipes locales</w:t>
            </w:r>
          </w:p>
        </w:tc>
      </w:tr>
      <w:tr>
        <w:tc>
          <w:tcPr>
            <w:tcW w:type="dxa" w:w="181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Cotisations (NOUVEAU)</w:t>
            </w:r>
          </w:p>
        </w:tc>
        <w:tc>
          <w:tcPr>
            <w:tcW w:type="dxa" w:w="198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fn_record_membership_payment, fn_compute_membership_validity, fn_list_membership_payments_for_user, fn_is_loan_blocked_by_dues</w:t>
            </w:r>
          </w:p>
        </w:tc>
        <w:tc>
          <w:tcPr>
            <w:tcW w:type="dxa" w:w="907"/>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w:t>
            </w:r>
          </w:p>
        </w:tc>
        <w:tc>
          <w:tcPr>
            <w:tcW w:type="dxa" w:w="907"/>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4</w:t>
            </w:r>
          </w:p>
        </w:tc>
        <w:tc>
          <w:tcPr>
            <w:tcW w:type="dxa" w:w="3685"/>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Engagement financier des lecteur·rice·x dans la bibliothèque</w:t>
            </w:r>
          </w:p>
        </w:tc>
      </w:tr>
      <w:tr>
        <w:tc>
          <w:tcPr>
            <w:tcW w:type="dxa" w:w="181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Archivage transactionnel (NOUVEAU)</w:t>
            </w:r>
          </w:p>
        </w:tc>
        <w:tc>
          <w:tcPr>
            <w:tcW w:type="dxa" w:w="198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fn_unarchive_transaction + helpers archivage de paquet D</w:t>
            </w:r>
          </w:p>
        </w:tc>
        <w:tc>
          <w:tcPr>
            <w:tcW w:type="dxa" w:w="907"/>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w:t>
            </w:r>
          </w:p>
        </w:tc>
        <w:tc>
          <w:tcPr>
            <w:tcW w:type="dxa" w:w="907"/>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≈5</w:t>
            </w:r>
          </w:p>
        </w:tc>
        <w:tc>
          <w:tcPr>
            <w:tcW w:type="dxa" w:w="3685"/>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Archivage réversible des transactions de circulation</w:t>
            </w:r>
          </w:p>
        </w:tc>
      </w:tr>
      <w:tr>
        <w:tc>
          <w:tcPr>
            <w:tcW w:type="dxa" w:w="181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Aide à la circulation (NOUVEAU)</w:t>
            </w:r>
          </w:p>
        </w:tc>
        <w:tc>
          <w:tcPr>
            <w:tcW w:type="dxa" w:w="198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fn_v2_book_session_availability/context, resolve_circulation_rule, get_due_date_*, get_remaining_renewals, get_future_availability, get_batch_loan_projection</w:t>
            </w:r>
          </w:p>
        </w:tc>
        <w:tc>
          <w:tcPr>
            <w:tcW w:type="dxa" w:w="907"/>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w:t>
            </w:r>
          </w:p>
        </w:tc>
        <w:tc>
          <w:tcPr>
            <w:tcW w:type="dxa" w:w="907"/>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≈8</w:t>
            </w:r>
          </w:p>
        </w:tc>
        <w:tc>
          <w:tcPr>
            <w:tcW w:type="dxa" w:w="3685"/>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Calculs de disponibilité et de durée prévisionnelle (couche fine api)</w:t>
            </w:r>
          </w:p>
        </w:tc>
      </w:tr>
    </w:tbl>
    <w:p/>
    <w:p>
      <w:pPr>
        <w:keepNext/>
        <w:spacing w:before="200" w:after="120"/>
      </w:pPr>
      <w:r>
        <w:rPr>
          <w:rFonts w:ascii="Calibri" w:hAnsi="Calibri"/>
          <w:b/>
          <w:sz w:val="28"/>
        </w:rPr>
        <w:t>3.3 Vues — répartition par schéma (état v14)</w:t>
      </w:r>
    </w:p>
    <w:p>
      <w:pPr>
        <w:spacing w:after="120" w:line="276" w:lineRule="auto"/>
      </w:pPr>
      <w:r>
        <w:rPr>
          <w:rFonts w:ascii="Calibri" w:hAnsi="Calibri"/>
          <w:b w:val="0"/>
          <w:i w:val="0"/>
          <w:sz w:val="22"/>
        </w:rPr>
        <w:t>Sur les 72 vues que compte désormais le backend, 45 sont dans le schéma api (services frontend), 25 dans public (vues métier), 2 sont matérialisées (mv_books_catalog_list_v1 et mv_books_catalog_list_network_v1). La répartition de sécurité a substantiellement progressé depuis v13.</w:t>
      </w:r>
    </w:p>
    <w:tbl>
      <w:tblPr>
        <w:tblW w:type="auto" w:w="0"/>
        <w:jc w:val="center"/>
        <w:tblLook w:firstColumn="1" w:firstRow="1" w:lastColumn="0" w:lastRow="0" w:noHBand="0" w:noVBand="1" w:val="04A0"/>
      </w:tblPr>
      <w:tblGrid>
        <w:gridCol w:w="3249"/>
        <w:gridCol w:w="3249"/>
        <w:gridCol w:w="3249"/>
      </w:tblGrid>
      <w:tr>
        <w:tc>
          <w:tcPr>
            <w:tcW w:type="dxa" w:w="1984"/>
            <w:shd w:val="clear" w:color="auto" w:fill="E8EAF0"/>
            <w:tcBorders>
              <w:top w:val="single" w:sz="4" w:color="999999"/>
              <w:left w:val="single" w:sz="4" w:color="999999"/>
              <w:bottom w:val="single" w:sz="4" w:color="999999"/>
              <w:right w:val="single" w:sz="4" w:color="999999"/>
            </w:tcBorders>
            <w:vAlign w:val="top"/>
          </w:tcPr>
          <w:p>
            <w:pPr>
              <w:spacing w:before="40" w:after="40"/>
            </w:pPr>
            <w:r/>
            <w:r>
              <w:rPr>
                <w:rFonts w:ascii="Calibri" w:hAnsi="Calibri"/>
                <w:b/>
                <w:sz w:val="20"/>
              </w:rPr>
              <w:t>Schéma / type</w:t>
            </w:r>
          </w:p>
        </w:tc>
        <w:tc>
          <w:tcPr>
            <w:tcW w:type="dxa" w:w="4252"/>
            <w:shd w:val="clear" w:color="auto" w:fill="E8EAF0"/>
            <w:tcBorders>
              <w:top w:val="single" w:sz="4" w:color="999999"/>
              <w:left w:val="single" w:sz="4" w:color="999999"/>
              <w:bottom w:val="single" w:sz="4" w:color="999999"/>
              <w:right w:val="single" w:sz="4" w:color="999999"/>
            </w:tcBorders>
            <w:vAlign w:val="top"/>
          </w:tcPr>
          <w:p>
            <w:pPr>
              <w:spacing w:before="40" w:after="40"/>
            </w:pPr>
            <w:r/>
            <w:r>
              <w:rPr>
                <w:rFonts w:ascii="Calibri" w:hAnsi="Calibri"/>
                <w:b/>
                <w:sz w:val="20"/>
              </w:rPr>
              <w:t>Vues SECURITY INVOKER</w:t>
            </w:r>
          </w:p>
        </w:tc>
        <w:tc>
          <w:tcPr>
            <w:tcW w:type="dxa" w:w="3005"/>
            <w:shd w:val="clear" w:color="auto" w:fill="E8EAF0"/>
            <w:tcBorders>
              <w:top w:val="single" w:sz="4" w:color="999999"/>
              <w:left w:val="single" w:sz="4" w:color="999999"/>
              <w:bottom w:val="single" w:sz="4" w:color="999999"/>
              <w:right w:val="single" w:sz="4" w:color="999999"/>
            </w:tcBorders>
            <w:vAlign w:val="top"/>
          </w:tcPr>
          <w:p>
            <w:pPr>
              <w:spacing w:before="40" w:after="40"/>
            </w:pPr>
            <w:r/>
            <w:r>
              <w:rPr>
                <w:rFonts w:ascii="Calibri" w:hAnsi="Calibri"/>
                <w:b/>
                <w:sz w:val="20"/>
              </w:rPr>
              <w:t>Vues SECURITY DEFINER (à examiner)</w:t>
            </w:r>
          </w:p>
        </w:tc>
      </w:tr>
      <w:tr>
        <w:tc>
          <w:tcPr>
            <w:tcW w:type="dxa" w:w="198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api (45 vues)</w:t>
            </w:r>
          </w:p>
        </w:tc>
        <w:tc>
          <w:tcPr>
            <w:tcW w:type="dxa" w:w="4252"/>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44 vues api en INVOKER explicite (true ou on) : my_*, catalog_*, emprestimo_*, reserva_*, consulta_*, interlibrary_*, library_*, partner_catalog_*, etc.</w:t>
            </w:r>
          </w:p>
        </w:tc>
        <w:tc>
          <w:tcPr>
            <w:tcW w:type="dxa" w:w="3005"/>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api.library_email_identity (definer par défaut, à basculer)</w:t>
            </w:r>
          </w:p>
        </w:tc>
      </w:tr>
      <w:tr>
        <w:tc>
          <w:tcPr>
            <w:tcW w:type="dxa" w:w="198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public (25 vues)</w:t>
            </w:r>
          </w:p>
        </w:tc>
        <w:tc>
          <w:tcPr>
            <w:tcW w:type="dxa" w:w="4252"/>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v_book_authors_canonical, v_book_detail_public_v2, v_books_catalog_list_v1, v_books_public_catalog_v2, v_catalog_books_editable, v_catalog_queue, v_exemplar_drafts_resolved, v_exemplar_labels, v_libraries_for_signup, v_library_notification_context, v_library_service_public, v_membership_overview_panel, author_books_public, authors_with_translations, catalog_partners_policy_flags, catalog_partners_policy_flags_v2, my_access, my_session_context (toutes en INVOKER)</w:t>
            </w:r>
          </w:p>
        </w:tc>
        <w:tc>
          <w:tcPr>
            <w:tcW w:type="dxa" w:w="3005"/>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v_active_memberships (ERROR, dernière), v_author_alias_candidates_unique, v_author_alias_worklist, v_author_seed_candidates, v_terra_livre_books_ready, v_terra_livre_books_ready_stats (5 vues en definer par défaut, statut à clarifier)</w:t>
            </w:r>
          </w:p>
        </w:tc>
      </w:tr>
      <w:tr>
        <w:tc>
          <w:tcPr>
            <w:tcW w:type="dxa" w:w="198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public matérialisé (2)</w:t>
            </w:r>
          </w:p>
        </w:tc>
        <w:tc>
          <w:tcPr>
            <w:tcW w:type="dxa" w:w="4252"/>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w:t>
            </w:r>
          </w:p>
        </w:tc>
        <w:tc>
          <w:tcPr>
            <w:tcW w:type="dxa" w:w="3005"/>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mv_books_catalog_list_v1, mv_books_catalog_list_network_v1 (definer par défaut, WARN materialized_view_in_api)</w:t>
            </w:r>
          </w:p>
        </w:tc>
      </w:tr>
    </w:tbl>
    <w:p/>
    <w:p>
      <w:pPr>
        <w:spacing w:after="120" w:line="276" w:lineRule="auto"/>
      </w:pPr>
      <w:r>
        <w:rPr>
          <w:rFonts w:ascii="Calibri" w:hAnsi="Calibri"/>
          <w:b w:val="0"/>
          <w:i w:val="0"/>
          <w:sz w:val="22"/>
        </w:rPr>
        <w:t>La progression v13 → v14 sur les vues SECURITY DEFINER est spectaculaire : la v13 désignait quatre vues ERROR (qui faisaient l'essentiel du problème). La v14 mesure que cinq de ces six vues critiques ont été basculées en INVOKER. Reste isolément v_active_memberships, qui demande un traitement spécifique parce qu'elle dérive l'état courant des cotisations à partir de l'historique de paiements. Les cinq vues v_author_alias_* et v_terra_livre_* sont en definer par défaut mais n'apparaissent pas comme ERROR dans les advisors, ce qui suggère qu'elles ne sont pas exposées via PostgREST ou que leur lecture passe par service_role uniquement — leur statut doctrinal mérite cependant d'être clarifié.</w:t>
      </w:r>
    </w:p>
    <w:p>
      <w:pPr>
        <w:keepNext/>
        <w:spacing w:before="280" w:after="120"/>
      </w:pPr>
      <w:r>
        <w:rPr>
          <w:rFonts w:ascii="Calibri" w:hAnsi="Calibri"/>
          <w:b/>
          <w:sz w:val="36"/>
        </w:rPr>
        <w:t>4. La couche métier vue depuis le SQL : ce que la v14 confirme et précise</w:t>
      </w:r>
    </w:p>
    <w:p>
      <w:pPr>
        <w:spacing w:after="120" w:line="276" w:lineRule="auto"/>
      </w:pPr>
      <w:r>
        <w:rPr>
          <w:rFonts w:ascii="Calibri" w:hAnsi="Calibri"/>
          <w:b w:val="0"/>
          <w:i w:val="0"/>
          <w:sz w:val="22"/>
        </w:rPr>
        <w:t>La lecture du SQL exact confirme les estimations stratégiques de v13 sur la plupart des axes établis (catalogue, drafts, circulation v2, BTL, imports partenaires, gouvernance bibliothèque, communications). Trois axes méritent un point de précision actualisé, et quatre axes nouveaux entrent désormais dans la cartographie.</w:t>
      </w:r>
    </w:p>
    <w:p>
      <w:pPr>
        <w:keepNext/>
        <w:spacing w:before="200" w:after="120"/>
      </w:pPr>
      <w:r>
        <w:rPr>
          <w:rFonts w:ascii="Calibri" w:hAnsi="Calibri"/>
          <w:b/>
          <w:sz w:val="28"/>
        </w:rPr>
        <w:t>4.1 Catalogue documentaire et drafts — stables</w:t>
      </w:r>
    </w:p>
    <w:p>
      <w:pPr>
        <w:spacing w:after="120" w:line="276" w:lineRule="auto"/>
      </w:pPr>
      <w:r>
        <w:rPr>
          <w:rFonts w:ascii="Calibri" w:hAnsi="Calibri"/>
          <w:b w:val="0"/>
          <w:i w:val="0"/>
          <w:sz w:val="22"/>
        </w:rPr>
        <w:t>Le noyau catalogue compte désormais 11 tables structurantes (avec l'ajout de author_name_aliases, qui formalise les alias d'auteur séparément du worklist). Les 8 tables de drafts éditoriaux sont inchangées. Les 8 tables catalog_ref_* portent toujours les référentiels. La couche est stable, mais la mesure indirecte de son utilisation (idx_scan = 0 sur l'ensemble) ne permet plus de juger du chemin d'accès dominant — cette mesure se reconstituera après les premiers usages tiers.</w:t>
      </w:r>
    </w:p>
    <w:p>
      <w:pPr>
        <w:keepNext/>
        <w:spacing w:before="200" w:after="120"/>
      </w:pPr>
      <w:r>
        <w:rPr>
          <w:rFonts w:ascii="Calibri" w:hAnsi="Calibri"/>
          <w:b/>
          <w:sz w:val="28"/>
        </w:rPr>
        <w:t>4.2 Réservations, emprunts, consultation locale — fermeture v2 confirmée</w:t>
      </w:r>
    </w:p>
    <w:p>
      <w:pPr>
        <w:spacing w:after="120" w:line="276" w:lineRule="auto"/>
      </w:pPr>
      <w:r>
        <w:rPr>
          <w:rFonts w:ascii="Calibri" w:hAnsi="Calibri"/>
          <w:b w:val="0"/>
          <w:i w:val="0"/>
          <w:sz w:val="22"/>
        </w:rPr>
        <w:t>Les 3 tables réservation, 2 tables emprunt, 3 tables consultation locale n'ont pas changé en nombre. Ce qui a changé, c'est le branchement de la consultation locale dans la couche notification, attendu depuis la v10. Les triggers trg_notify_consulta_workflow et trg_notify_consulta_lifecycle existent en production sur respectivement consulta_item_workflow_v2 et consulta_linhas_v2. Cinq RPC api supplémentaires couvrent désormais la consultation en couche fine api (advance_consulta, cancel_consulta_as_reader, create_consulta_local, dismiss_consulta_cancelled, reply_consulta_schedule). Cette branche peut être considérée comme fermée backend, à environ 95 % d'avancement (le reste étant le rendu painel frontal des nouveaux statuts).</w:t>
      </w:r>
    </w:p>
    <w:p>
      <w:pPr>
        <w:keepNext/>
        <w:spacing w:before="200" w:after="120"/>
      </w:pPr>
      <w:r>
        <w:rPr>
          <w:rFonts w:ascii="Calibri" w:hAnsi="Calibri"/>
          <w:b/>
          <w:sz w:val="28"/>
        </w:rPr>
        <w:t>4.3 BTL et autorisation centralisée — triple-défense</w:t>
      </w:r>
    </w:p>
    <w:p>
      <w:pPr>
        <w:spacing w:after="120" w:line="276" w:lineRule="auto"/>
      </w:pPr>
      <w:r>
        <w:rPr>
          <w:rFonts w:ascii="Calibri" w:hAnsi="Calibri"/>
          <w:b w:val="0"/>
          <w:i w:val="0"/>
          <w:sz w:val="22"/>
        </w:rPr>
        <w:t>Le BTL conserve ses 4 tables (interlibrary_loans_v2, interlibrary_loan_items_v2, interlibrary_loan_events, interlibrary_loan_notification_events). Ce qui a changé, c'est la fonction d'autorisation : fn_peb_authorized(lender_library_id, borrower_library_id) est désormais centrale dans les policies RLS d'insertion et de mise à jour, doublée par fn_library_has_circulation et par user_can_manage_library. Cette triple-défense (autorisation PEB + capacité de circulation + droit d'engagement) est la première du backend AnarBib à être aussi composite. Elle matérialise une décision politique : un PEB ne s'autorise pas sur la seule présence des deux bibliothèques dans le réseau, mais sur la conjonction d'une autorisation explicite (fn_peb_authorized), d'une capacité technique (fn_library_has_circulation, qui exige un profil circulation_mode != 'off'), et d'un droit personnel (user_can_manage_library). Cette politique est saine et complète backend ; elle reste à exposer en frontend (cf. CHANTIER_peb_frontend_diagnostic_2026-05-19.md).</w:t>
      </w:r>
    </w:p>
    <w:p>
      <w:pPr>
        <w:keepNext/>
        <w:spacing w:before="200" w:after="120"/>
      </w:pPr>
      <w:r>
        <w:rPr>
          <w:rFonts w:ascii="Calibri" w:hAnsi="Calibri"/>
          <w:b/>
          <w:sz w:val="28"/>
        </w:rPr>
        <w:t>4.4 Catalogação — confirmé robuste</w:t>
      </w:r>
    </w:p>
    <w:p>
      <w:pPr>
        <w:spacing w:after="120" w:line="276" w:lineRule="auto"/>
      </w:pPr>
      <w:r>
        <w:rPr>
          <w:rFonts w:ascii="Calibri" w:hAnsi="Calibri"/>
          <w:b w:val="0"/>
          <w:i w:val="0"/>
          <w:sz w:val="22"/>
        </w:rPr>
        <w:t>Le workflow rascunhos / auteurs / exemplaires / rótulos / fila / lotes / publié reste structuré autour des 8 tables drafts, doublées des 9 tables catalog_ref_* de référence et de la couche d'import partenaire (7 tables ingest, inchangées). Le pattern api.my_access apparaît désormais systématiquement dans les policies (book_drafts_catalogacao_librarian_all, author_drafts_catalogacao_librarian_all, exemplar_drafts_catalogacao_librarian_all, etc.) : c'est une généralisation propre du contrôle d'accès, qui remplace les anciens patterns disparates. Reste l'item #79 du backlog (RBAC catalogação) qui demande d'introduire une granularité de rôle plus fine dans cette couche — chantier non urgent, planifiable en parallèle.</w:t>
      </w:r>
    </w:p>
    <w:p>
      <w:pPr>
        <w:keepNext/>
        <w:spacing w:before="200" w:after="120"/>
      </w:pPr>
      <w:r>
        <w:rPr>
          <w:rFonts w:ascii="Calibri" w:hAnsi="Calibri"/>
          <w:b/>
          <w:sz w:val="28"/>
        </w:rPr>
        <w:t>4.5 Profils d'adoption — palier nouveau, backend 90 %, frontend 10 %</w:t>
      </w:r>
    </w:p>
    <w:p>
      <w:pPr>
        <w:spacing w:after="120" w:line="276" w:lineRule="auto"/>
      </w:pPr>
      <w:r>
        <w:rPr>
          <w:rFonts w:ascii="Calibri" w:hAnsi="Calibri"/>
          <w:b w:val="0"/>
          <w:i w:val="0"/>
          <w:sz w:val="22"/>
        </w:rPr>
        <w:t>C'est le palier le plus structurant introduit depuis v13. La spec spec-profils-bibliotheque.md v0.6 (en révision interne) définit quatre axes orthogonaux : catalog_mode (local_only | network_published), circulation_mode (off | informal | full_sigb), network_mode (isolated | observer | federated), governance_mode (informal | staff_roles | full_governance). Chaque axe est implémenté par un helper SECURITY DEFINER (fn_library_catalog_mode, fn_library_circulation_mode, fn_library_network_mode, fn_library_governance_mode) exposé à anon — ce qui constitue un choix politique explicite : un usager non authentifié peut vérifier le profil d'adoption d'une bibliothèque pour décider de s'y inscrire. La couche d'audit est complète : library_profile_history (immutable), library_profile_proposals, library_profile_votes (avec uniq_lpv_one_vote_per_voter), library_profile_grace_locks (carence durant transitions). Cinq triggers garantissent l'immutabilité (trg_lph_block_delete, trg_lph_block_update, trg_lpp_block_modification, trg_lpv_block_modification, trg_lpgl_block_modification) et la notification (trg_lph_notify_executed, trg_lpp_notify_lifecycle, trg_lpv_notify_cast). En frontend, seules quelques pages exposent partiellement les modes (BibliotecaPage, CatalogPage). La transition explicite, la proposition et le vote restent invisibles à l'utilisateur final. C'est la séquence #2 nouvelle de l'ordre d'exécution v14.</w:t>
      </w:r>
    </w:p>
    <w:p>
      <w:pPr>
        <w:keepNext/>
        <w:spacing w:before="200" w:after="120"/>
      </w:pPr>
      <w:r>
        <w:rPr>
          <w:rFonts w:ascii="Calibri" w:hAnsi="Calibri"/>
          <w:b/>
          <w:sz w:val="28"/>
        </w:rPr>
        <w:t>4.6 Admin réseau — palier nouveau, backend 95 %, frontend 70 %</w:t>
      </w:r>
    </w:p>
    <w:p>
      <w:pPr>
        <w:spacing w:after="120" w:line="276" w:lineRule="auto"/>
      </w:pPr>
      <w:r>
        <w:rPr>
          <w:rFonts w:ascii="Calibri" w:hAnsi="Calibri"/>
          <w:b w:val="0"/>
          <w:i w:val="0"/>
          <w:sz w:val="22"/>
        </w:rPr>
        <w:t>La spec spec-administrateur-reseau.md v0.3 a été livrée en intégralité côté backend : 8 tables (network_administrators sans library_id pour matérialiser l'autorité transverse, network_staff pour les droits effectifs, network_administrator_audit en INSERT-only avec triggers d'immutabilité, network_administrator_cooptation_proposals/votes, network_admin_collective_removal_proposals/votes, network_admin_cross_library_actions_log avec triggers de notification critique), 9 RPC, 5 triggers d'audit, 1 vue api dédiée (network_administrators_public_v1) + 1 vue api de dashboard (network_overview) + 1 vue api de statut personnel (my_network_admin_status). Côté frontend, 6 composants react sont opérationnels (AdminsPanel + ProposeCooptationModal + VoteCooptationModal + ProposeCollectiveRemovalModal + VoteCollectiveRemovalModal + CancelCollectiveRemovalModal + NetworkAdminBadge). C'est l'un des chantiers les mieux refermés, parce que la spec, le backend et le frontend ont été livrés dans la même fenêtre.</w:t>
      </w:r>
    </w:p>
    <w:p>
      <w:pPr>
        <w:keepNext/>
        <w:spacing w:before="200" w:after="120"/>
      </w:pPr>
      <w:r>
        <w:rPr>
          <w:rFonts w:ascii="Calibri" w:hAnsi="Calibri"/>
          <w:b/>
          <w:sz w:val="28"/>
        </w:rPr>
        <w:t>4.7 Gouvernance staff — palier nouveau, backend 90 %, frontend 50 %</w:t>
      </w:r>
    </w:p>
    <w:p>
      <w:pPr>
        <w:spacing w:after="120" w:line="276" w:lineRule="auto"/>
      </w:pPr>
      <w:r>
        <w:rPr>
          <w:rFonts w:ascii="Calibri" w:hAnsi="Calibri"/>
          <w:b w:val="0"/>
          <w:i w:val="0"/>
          <w:sz w:val="22"/>
        </w:rPr>
        <w:t>Les 8 RPC fn_team_* (promote_to_administrador, promote_to_coordenador, promote_to_librarian, suspend_member, unsuspend_member, request_remove_member, cancel_remove_member, self_demote) couplées à la table d'audit library_membership_audit forment la couche de gouvernance des équipes locales. Le schéma user_library_memberships porte désormais 5 status (active, pending_removal, removed, inactive, plus la valeur historique) × 3 rôles (reader, librarian, coordenador). Le trigger trg_sync_profile_is_librarian_from_memberships synchronise automatiquement le drapeau is_librarian dans profiles, ce qui garantit la cohérence des contrôles d'accès en couche fine. En frontend, le TeamPanel et TeamActionsMenu existent, mais le parcours complet de demande de retrait avec carence et confirmation par un second coordenador n'est pas entièrement exposé.</w:t>
      </w:r>
    </w:p>
    <w:p>
      <w:pPr>
        <w:keepNext/>
        <w:spacing w:before="200" w:after="120"/>
      </w:pPr>
      <w:r>
        <w:rPr>
          <w:rFonts w:ascii="Calibri" w:hAnsi="Calibri"/>
          <w:b/>
          <w:sz w:val="28"/>
        </w:rPr>
        <w:t>4.8 Cotisations et engagement — palier nouveau, backend 85 %, frontend variable</w:t>
      </w:r>
    </w:p>
    <w:p>
      <w:pPr>
        <w:spacing w:after="120" w:line="276" w:lineRule="auto"/>
      </w:pPr>
      <w:r>
        <w:rPr>
          <w:rFonts w:ascii="Calibri" w:hAnsi="Calibri"/>
          <w:b w:val="0"/>
          <w:i w:val="0"/>
          <w:sz w:val="22"/>
        </w:rPr>
        <w:t>Trois tables (library_membership_rules pour les règles propres à chaque bibliothèque, membership_payments comme historique source, library_membership_audit pour les changements d'engagement) plus 4 RPC (fn_record_membership_payment, fn_compute_membership_validity, fn_list_membership_payments_for_user, fn_is_loan_blocked_by_dues). La vue v_active_memberships dérive l'état courant à partir de membership_payments — c'est la seule vue qui reste signalée ERROR par les advisors, et c'est techniquement justifié : elle agrège un historique financier qu'on ne peut pas exposer en INVOKER sans risque de fuite. Sa bascule demandera vraisemblablement la création d'une vue api wrapper en couche fine plutôt qu'une bascule directe. En frontend, l'item #33 du backlog (gestion cotisations) reste ouvert.</w:t>
      </w:r>
    </w:p>
    <w:p>
      <w:pPr>
        <w:keepNext/>
        <w:spacing w:before="200" w:after="120"/>
      </w:pPr>
      <w:r>
        <w:rPr>
          <w:rFonts w:ascii="Calibri" w:hAnsi="Calibri"/>
          <w:b/>
          <w:sz w:val="28"/>
        </w:rPr>
        <w:t>4.9 Archivage transactionnel — chantier de cohérence</w:t>
      </w:r>
    </w:p>
    <w:p>
      <w:pPr>
        <w:spacing w:after="120" w:line="276" w:lineRule="auto"/>
      </w:pPr>
      <w:r>
        <w:rPr>
          <w:rFonts w:ascii="Calibri" w:hAnsi="Calibri"/>
          <w:b w:val="0"/>
          <w:i w:val="0"/>
          <w:sz w:val="22"/>
        </w:rPr>
        <w:t>Les paquets D du 19 mai ont introduit le pattern d'archivage réversible : colonnes archived_at sur les tables de circulation, vues api.library_archived_transactions, vue api.painel_*_history_v1, fonction fn_unarchive_transaction, table library_unarchive_log. Les anciennes tables _backup_library_request_* ont été renommées en _archived_library_request_* (paquet L.10 du 12 mai) avec commentaires SQL explicites mentionnant une période de rétention suggérée d'un an. Ce chantier matérialise une doctrine politique : aucune donnée n'est supprimée silencieusement ; tout retrait est tracé et réversible. C'est cohérent avec l'orientation anti-tracking d'AnarBib (le retrait des données est aussi un acte de gouvernance que la conservation).</w:t>
      </w:r>
    </w:p>
    <w:p>
      <w:pPr>
        <w:keepNext/>
        <w:spacing w:before="280" w:after="120"/>
      </w:pPr>
      <w:r>
        <w:rPr>
          <w:rFonts w:ascii="Calibri" w:hAnsi="Calibri"/>
          <w:b/>
          <w:sz w:val="36"/>
        </w:rPr>
        <w:t>5. La sécurité backend : dette élargie mais qualifiée</w:t>
      </w:r>
    </w:p>
    <w:p>
      <w:pPr>
        <w:spacing w:after="120" w:line="276" w:lineRule="auto"/>
      </w:pPr>
      <w:r>
        <w:rPr>
          <w:rFonts w:ascii="Calibri" w:hAnsi="Calibri"/>
          <w:b w:val="0"/>
          <w:i w:val="0"/>
          <w:sz w:val="22"/>
        </w:rPr>
        <w:t>La v13 décrivait la sécurité backend comme un chantier où la dette commençait à être qualifiée. La v14 actualise cette lecture : la dette s'est élargie en valeur absolue, mais elle s'est aussi disciplinée — chaque fonction WARN SECURITY DEFINER a une raison documentaire, le hook git pré-commit bloque les violations, et le chantier #150 du 18 mai a marqué une première opération de durcissement par lots. La question stratégique n'est plus « comment fermer la dette » mais « comment requalifier ce qui constitue de la dette par rapport au coût attendu d'une couche métier saine ».</w:t>
      </w:r>
    </w:p>
    <w:p>
      <w:pPr>
        <w:keepNext/>
        <w:spacing w:before="200" w:after="120"/>
      </w:pPr>
      <w:r>
        <w:rPr>
          <w:rFonts w:ascii="Calibri" w:hAnsi="Calibri"/>
          <w:b/>
          <w:sz w:val="28"/>
        </w:rPr>
        <w:t>5.1 Ce qui a été fait — fermetures effectives v13 → v14</w:t>
      </w:r>
    </w:p>
    <w:p>
      <w:pPr>
        <w:spacing w:after="120" w:line="276" w:lineRule="auto"/>
      </w:pPr>
      <w:r>
        <w:rPr>
          <w:rFonts w:ascii="Calibri" w:hAnsi="Calibri"/>
          <w:b w:val="0"/>
          <w:i w:val="0"/>
          <w:sz w:val="22"/>
        </w:rPr>
        <w:t>Plusieurs chantiers de sécurité de la v13 sont effectivement clos.</w:t>
      </w:r>
    </w:p>
    <w:tbl>
      <w:tblPr>
        <w:tblW w:type="auto" w:w="0"/>
        <w:jc w:val="center"/>
        <w:tblLook w:firstColumn="1" w:firstRow="1" w:lastColumn="0" w:lastRow="0" w:noHBand="0" w:noVBand="1" w:val="04A0"/>
      </w:tblPr>
      <w:tblGrid>
        <w:gridCol w:w="4873"/>
        <w:gridCol w:w="4873"/>
      </w:tblGrid>
      <w:tr>
        <w:tc>
          <w:tcPr>
            <w:tcW w:type="dxa" w:w="2551"/>
            <w:shd w:val="clear" w:color="auto" w:fill="E8EAF0"/>
            <w:tcBorders>
              <w:top w:val="single" w:sz="4" w:color="999999"/>
              <w:left w:val="single" w:sz="4" w:color="999999"/>
              <w:bottom w:val="single" w:sz="4" w:color="999999"/>
              <w:right w:val="single" w:sz="4" w:color="999999"/>
            </w:tcBorders>
            <w:vAlign w:val="top"/>
          </w:tcPr>
          <w:p>
            <w:pPr>
              <w:spacing w:before="40" w:after="40"/>
            </w:pPr>
            <w:r/>
            <w:r>
              <w:rPr>
                <w:rFonts w:ascii="Calibri" w:hAnsi="Calibri"/>
                <w:b/>
                <w:sz w:val="20"/>
              </w:rPr>
              <w:t>Chantier v13</w:t>
            </w:r>
          </w:p>
        </w:tc>
        <w:tc>
          <w:tcPr>
            <w:tcW w:type="dxa" w:w="6803"/>
            <w:shd w:val="clear" w:color="auto" w:fill="E8EAF0"/>
            <w:tcBorders>
              <w:top w:val="single" w:sz="4" w:color="999999"/>
              <w:left w:val="single" w:sz="4" w:color="999999"/>
              <w:bottom w:val="single" w:sz="4" w:color="999999"/>
              <w:right w:val="single" w:sz="4" w:color="999999"/>
            </w:tcBorders>
            <w:vAlign w:val="top"/>
          </w:tcPr>
          <w:p>
            <w:pPr>
              <w:spacing w:before="40" w:after="40"/>
            </w:pPr>
            <w:r/>
            <w:r>
              <w:rPr>
                <w:rFonts w:ascii="Calibri" w:hAnsi="Calibri"/>
                <w:b/>
                <w:sz w:val="20"/>
              </w:rPr>
              <w:t>Statut v14</w:t>
            </w:r>
          </w:p>
        </w:tc>
      </w:tr>
      <w:tr>
        <w:tc>
          <w:tcPr>
            <w:tcW w:type="dxa" w:w="2551"/>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4 vues SECURITY DEFINER critiques (ERROR)</w:t>
            </w:r>
          </w:p>
        </w:tc>
        <w:tc>
          <w:tcPr>
            <w:tcW w:type="dxa" w:w="6803"/>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5 des 6 vues critiques basculées en INVOKER (api.catalog_list_anon_v1, api.catalog_list_session_v1, api.books_count_v1, v_libraries_for_signup, api.catalog_book_detail_public_v2, api.catalog_books_public_v2 toutes en true). Reste public.v_active_memberships seule en ERROR.</w:t>
            </w:r>
          </w:p>
        </w:tc>
      </w:tr>
      <w:tr>
        <w:tc>
          <w:tcPr>
            <w:tcW w:type="dxa" w:w="2551"/>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31 tables RLS sans policy à nettoyer</w:t>
            </w:r>
          </w:p>
        </w:tc>
        <w:tc>
          <w:tcPr>
            <w:tcW w:type="dxa" w:w="6803"/>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Réduction visible : les tables _backup_* renommées en _archived_* avec commentaires explicites de rétention ; les 7 tables ingest restent sans policy comme attendu (lecture service_role uniquement) ; les 8 tables catalog_ref_* portent désormais une policy public_read uniforme ; quelques tables d'événements (interlibrary_loan_events, interlibrary_loan_notification_events, library_email_identity) restent sans policy par décision documentaire.</w:t>
            </w:r>
          </w:p>
        </w:tc>
      </w:tr>
      <w:tr>
        <w:tc>
          <w:tcPr>
            <w:tcW w:type="dxa" w:w="2551"/>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Cascade des paliers (palier 2 à 12)</w:t>
            </w:r>
          </w:p>
        </w:tc>
        <w:tc>
          <w:tcPr>
            <w:tcW w:type="dxa" w:w="6803"/>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Visible dans les commentaires SQL des tables : « Anon SELECT révoqué le 2026-04-26 (palier 2/3/4/5a/5c) ». Discipline maintenue ; aucune table ne réintroduit silencieusement un grant anon.</w:t>
            </w:r>
          </w:p>
        </w:tc>
      </w:tr>
      <w:tr>
        <w:tc>
          <w:tcPr>
            <w:tcW w:type="dxa" w:w="2551"/>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Doctrine création objets backend v1</w:t>
            </w:r>
          </w:p>
        </w:tc>
        <w:tc>
          <w:tcPr>
            <w:tcW w:type="dxa" w:w="6803"/>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v2 livrée le 18/05/2026 (CHANTIER_doctrine_creation_objets_securises_v2_2026-05-18.md). REVOKE étendu obligatoire (FROM PUBLIC, anon, authenticated, service_role) pour fonctions privées. Hook git pré-commit bloque les violations.</w:t>
            </w:r>
          </w:p>
        </w:tc>
      </w:tr>
      <w:tr>
        <w:tc>
          <w:tcPr>
            <w:tcW w:type="dxa" w:w="2551"/>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Chantier #150 (audit fonctions privées)</w:t>
            </w:r>
          </w:p>
        </w:tc>
        <w:tc>
          <w:tcPr>
            <w:tcW w:type="dxa" w:w="6803"/>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Bouclé le 18/05/2026. 28 fonctions Cat 3 isolées en REVOKE étendu + 1 trigger patché SECURITY DEFINER. 3 sous-paquets en prod (triggers immut/lifecycle, helpers notifs/cron, helpers catalogage).</w:t>
            </w:r>
          </w:p>
        </w:tc>
      </w:tr>
    </w:tbl>
    <w:p/>
    <w:p>
      <w:pPr>
        <w:keepNext/>
        <w:spacing w:before="200" w:after="120"/>
      </w:pPr>
      <w:r>
        <w:rPr>
          <w:rFonts w:ascii="Calibri" w:hAnsi="Calibri"/>
          <w:b/>
          <w:sz w:val="28"/>
        </w:rPr>
        <w:t>5.2 Ce qui reste — la dette désormais lue par familles</w:t>
      </w:r>
    </w:p>
    <w:p>
      <w:pPr>
        <w:spacing w:after="120" w:line="276" w:lineRule="auto"/>
      </w:pPr>
      <w:r>
        <w:rPr>
          <w:rFonts w:ascii="Calibri" w:hAnsi="Calibri"/>
          <w:b w:val="0"/>
          <w:i w:val="0"/>
          <w:sz w:val="22"/>
        </w:rPr>
        <w:t>La v13 listait 4 ERROR + 144 WARN dont 126 authenticated_security_definer + 14 anon. La v14 mesure : 1 ERROR + une centaine de WARN dont environ 225 authenticated_security_definer + 24 anon. La croissance est mécanique, liée à la livraison de trois couches métier nouvelles. Le triage par famille permet de planifier.</w:t>
      </w:r>
    </w:p>
    <w:tbl>
      <w:tblPr>
        <w:tblW w:type="auto" w:w="0"/>
        <w:jc w:val="center"/>
        <w:tblLook w:firstColumn="1" w:firstRow="1" w:lastColumn="0" w:lastRow="0" w:noHBand="0" w:noVBand="1" w:val="04A0"/>
      </w:tblPr>
      <w:tblGrid>
        <w:gridCol w:w="2436"/>
        <w:gridCol w:w="2436"/>
        <w:gridCol w:w="2436"/>
        <w:gridCol w:w="2436"/>
      </w:tblGrid>
      <w:tr>
        <w:tc>
          <w:tcPr>
            <w:tcW w:type="dxa" w:w="3118"/>
            <w:shd w:val="clear" w:color="auto" w:fill="E8EAF0"/>
            <w:tcBorders>
              <w:top w:val="single" w:sz="4" w:color="999999"/>
              <w:left w:val="single" w:sz="4" w:color="999999"/>
              <w:bottom w:val="single" w:sz="4" w:color="999999"/>
              <w:right w:val="single" w:sz="4" w:color="999999"/>
            </w:tcBorders>
            <w:vAlign w:val="top"/>
          </w:tcPr>
          <w:p>
            <w:pPr>
              <w:spacing w:before="40" w:after="40"/>
            </w:pPr>
            <w:r/>
            <w:r>
              <w:rPr>
                <w:rFonts w:ascii="Calibri" w:hAnsi="Calibri"/>
                <w:b/>
                <w:sz w:val="20"/>
              </w:rPr>
              <w:t>Catégorie</w:t>
            </w:r>
          </w:p>
        </w:tc>
        <w:tc>
          <w:tcPr>
            <w:tcW w:type="dxa" w:w="1247"/>
            <w:shd w:val="clear" w:color="auto" w:fill="E8EAF0"/>
            <w:tcBorders>
              <w:top w:val="single" w:sz="4" w:color="999999"/>
              <w:left w:val="single" w:sz="4" w:color="999999"/>
              <w:bottom w:val="single" w:sz="4" w:color="999999"/>
              <w:right w:val="single" w:sz="4" w:color="999999"/>
            </w:tcBorders>
            <w:vAlign w:val="top"/>
          </w:tcPr>
          <w:p>
            <w:pPr>
              <w:spacing w:before="40" w:after="40"/>
            </w:pPr>
            <w:r/>
            <w:r>
              <w:rPr>
                <w:rFonts w:ascii="Calibri" w:hAnsi="Calibri"/>
                <w:b/>
                <w:sz w:val="20"/>
              </w:rPr>
              <w:t>Niveau</w:t>
            </w:r>
          </w:p>
        </w:tc>
        <w:tc>
          <w:tcPr>
            <w:tcW w:type="dxa" w:w="1247"/>
            <w:shd w:val="clear" w:color="auto" w:fill="E8EAF0"/>
            <w:tcBorders>
              <w:top w:val="single" w:sz="4" w:color="999999"/>
              <w:left w:val="single" w:sz="4" w:color="999999"/>
              <w:bottom w:val="single" w:sz="4" w:color="999999"/>
              <w:right w:val="single" w:sz="4" w:color="999999"/>
            </w:tcBorders>
            <w:vAlign w:val="top"/>
          </w:tcPr>
          <w:p>
            <w:pPr>
              <w:spacing w:before="40" w:after="40"/>
            </w:pPr>
            <w:r/>
            <w:r>
              <w:rPr>
                <w:rFonts w:ascii="Calibri" w:hAnsi="Calibri"/>
                <w:b/>
                <w:sz w:val="20"/>
              </w:rPr>
              <w:t>Compte v14</w:t>
            </w:r>
          </w:p>
        </w:tc>
        <w:tc>
          <w:tcPr>
            <w:tcW w:type="dxa" w:w="3685"/>
            <w:shd w:val="clear" w:color="auto" w:fill="E8EAF0"/>
            <w:tcBorders>
              <w:top w:val="single" w:sz="4" w:color="999999"/>
              <w:left w:val="single" w:sz="4" w:color="999999"/>
              <w:bottom w:val="single" w:sz="4" w:color="999999"/>
              <w:right w:val="single" w:sz="4" w:color="999999"/>
            </w:tcBorders>
            <w:vAlign w:val="top"/>
          </w:tcPr>
          <w:p>
            <w:pPr>
              <w:spacing w:before="40" w:after="40"/>
            </w:pPr>
            <w:r/>
            <w:r>
              <w:rPr>
                <w:rFonts w:ascii="Calibri" w:hAnsi="Calibri"/>
                <w:b/>
                <w:sz w:val="20"/>
              </w:rPr>
              <w:t>Stratégie de traitement</w:t>
            </w:r>
          </w:p>
        </w:tc>
      </w:tr>
      <w:tr>
        <w:tc>
          <w:tcPr>
            <w:tcW w:type="dxa" w:w="311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Vue SECURITY DEFINER critique restante</w:t>
            </w:r>
          </w:p>
        </w:tc>
        <w:tc>
          <w:tcPr>
            <w:tcW w:type="dxa" w:w="1247"/>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ERROR</w:t>
            </w:r>
          </w:p>
        </w:tc>
        <w:tc>
          <w:tcPr>
            <w:tcW w:type="dxa" w:w="1247"/>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1</w:t>
            </w:r>
          </w:p>
        </w:tc>
        <w:tc>
          <w:tcPr>
            <w:tcW w:type="dxa" w:w="3685"/>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Wrapper api.v_active_memberships en INVOKER, ou abandon de la vue au profit d'une RPC SECURITY DEFINER api.fn_get_my_active_membership avec contrôle d'identité</w:t>
            </w:r>
          </w:p>
        </w:tc>
      </w:tr>
      <w:tr>
        <w:tc>
          <w:tcPr>
            <w:tcW w:type="dxa" w:w="311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Vues SECURITY DEFINER en api (1)</w:t>
            </w:r>
          </w:p>
        </w:tc>
        <w:tc>
          <w:tcPr>
            <w:tcW w:type="dxa" w:w="1247"/>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WARN</w:t>
            </w:r>
          </w:p>
        </w:tc>
        <w:tc>
          <w:tcPr>
            <w:tcW w:type="dxa" w:w="1247"/>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1 (api.library_email_identity)</w:t>
            </w:r>
          </w:p>
        </w:tc>
        <w:tc>
          <w:tcPr>
            <w:tcW w:type="dxa" w:w="3685"/>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Bascule directe en INVOKER</w:t>
            </w:r>
          </w:p>
        </w:tc>
      </w:tr>
      <w:tr>
        <w:tc>
          <w:tcPr>
            <w:tcW w:type="dxa" w:w="311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Vues v_author_alias_* et v_terra_livre_*</w:t>
            </w:r>
          </w:p>
        </w:tc>
        <w:tc>
          <w:tcPr>
            <w:tcW w:type="dxa" w:w="1247"/>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non signalé ERROR</w:t>
            </w:r>
          </w:p>
        </w:tc>
        <w:tc>
          <w:tcPr>
            <w:tcW w:type="dxa" w:w="1247"/>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5</w:t>
            </w:r>
          </w:p>
        </w:tc>
        <w:tc>
          <w:tcPr>
            <w:tcW w:type="dxa" w:w="3685"/>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Clarification doctrinale : confirmer qu'elles sont accédées via service_role uniquement et documenter le statut, ou ajouter security_invoker explicitement</w:t>
            </w:r>
          </w:p>
        </w:tc>
      </w:tr>
      <w:tr>
        <w:tc>
          <w:tcPr>
            <w:tcW w:type="dxa" w:w="311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Vues matérialisées exposées (mv_books_catalog_list_v1 + _network_v1)</w:t>
            </w:r>
          </w:p>
        </w:tc>
        <w:tc>
          <w:tcPr>
            <w:tcW w:type="dxa" w:w="1247"/>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WARN</w:t>
            </w:r>
          </w:p>
        </w:tc>
        <w:tc>
          <w:tcPr>
            <w:tcW w:type="dxa" w:w="1247"/>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2</w:t>
            </w:r>
          </w:p>
        </w:tc>
        <w:tc>
          <w:tcPr>
            <w:tcW w:type="dxa" w:w="3685"/>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Restreindre via wrapper api en SECURITY INVOKER ou retirer le SELECT anon</w:t>
            </w:r>
          </w:p>
        </w:tc>
      </w:tr>
      <w:tr>
        <w:tc>
          <w:tcPr>
            <w:tcW w:type="dxa" w:w="311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Famille fn_v2_* (circulation)</w:t>
            </w:r>
          </w:p>
        </w:tc>
        <w:tc>
          <w:tcPr>
            <w:tcW w:type="dxa" w:w="1247"/>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WARN authenticated</w:t>
            </w:r>
          </w:p>
        </w:tc>
        <w:tc>
          <w:tcPr>
            <w:tcW w:type="dxa" w:w="1247"/>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≈42</w:t>
            </w:r>
          </w:p>
        </w:tc>
        <w:tc>
          <w:tcPr>
            <w:tcW w:type="dxa" w:w="3685"/>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Conserver SECURITY DEFINER (justifié, modifient des tables fermées) mais valider que les vérifications de rôle en début de fonction sont systématiques — revue par lots de 5 à 10 fonctions</w:t>
            </w:r>
          </w:p>
        </w:tc>
      </w:tr>
      <w:tr>
        <w:tc>
          <w:tcPr>
            <w:tcW w:type="dxa" w:w="311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Famille upsert_library_* (gouvernance bibliothèque)</w:t>
            </w:r>
          </w:p>
        </w:tc>
        <w:tc>
          <w:tcPr>
            <w:tcW w:type="dxa" w:w="1247"/>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WARN authenticated</w:t>
            </w:r>
          </w:p>
        </w:tc>
        <w:tc>
          <w:tcPr>
            <w:tcW w:type="dxa" w:w="1247"/>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8</w:t>
            </w:r>
          </w:p>
        </w:tc>
        <w:tc>
          <w:tcPr>
            <w:tcW w:type="dxa" w:w="3685"/>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Conserver SECURITY DEFINER, valider les vérifications can_manage_library_*</w:t>
            </w:r>
          </w:p>
        </w:tc>
      </w:tr>
      <w:tr>
        <w:tc>
          <w:tcPr>
            <w:tcW w:type="dxa" w:w="311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Famille fn_team_* (gouvernance staff)</w:t>
            </w:r>
          </w:p>
        </w:tc>
        <w:tc>
          <w:tcPr>
            <w:tcW w:type="dxa" w:w="1247"/>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WARN authenticated</w:t>
            </w:r>
          </w:p>
        </w:tc>
        <w:tc>
          <w:tcPr>
            <w:tcW w:type="dxa" w:w="1247"/>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9</w:t>
            </w:r>
          </w:p>
        </w:tc>
        <w:tc>
          <w:tcPr>
            <w:tcW w:type="dxa" w:w="3685"/>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Conserver SECURITY DEFINER (modifient user_library_memberships et library_membership_audit), vérifier la cohérence avec les triggers de synchronisation profile.is_librarian</w:t>
            </w:r>
          </w:p>
        </w:tc>
      </w:tr>
      <w:tr>
        <w:tc>
          <w:tcPr>
            <w:tcW w:type="dxa" w:w="311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Famille fn_network_admin_* (admin réseau)</w:t>
            </w:r>
          </w:p>
        </w:tc>
        <w:tc>
          <w:tcPr>
            <w:tcW w:type="dxa" w:w="1247"/>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WARN authenticated</w:t>
            </w:r>
          </w:p>
        </w:tc>
        <w:tc>
          <w:tcPr>
            <w:tcW w:type="dxa" w:w="1247"/>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9</w:t>
            </w:r>
          </w:p>
        </w:tc>
        <w:tc>
          <w:tcPr>
            <w:tcW w:type="dxa" w:w="3685"/>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Conserver SECURITY DEFINER, valider les vérifications fn_caller_is_network_admin</w:t>
            </w:r>
          </w:p>
        </w:tc>
      </w:tr>
      <w:tr>
        <w:tc>
          <w:tcPr>
            <w:tcW w:type="dxa" w:w="311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Famille fn_library_*_mode (helpers de mode)</w:t>
            </w:r>
          </w:p>
        </w:tc>
        <w:tc>
          <w:tcPr>
            <w:tcW w:type="dxa" w:w="1247"/>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WARN anon + authenticated</w:t>
            </w:r>
          </w:p>
        </w:tc>
        <w:tc>
          <w:tcPr>
            <w:tcW w:type="dxa" w:w="1247"/>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4 × 2</w:t>
            </w:r>
          </w:p>
        </w:tc>
        <w:tc>
          <w:tcPr>
            <w:tcW w:type="dxa" w:w="3685"/>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Conserver SECURITY DEFINER et exposition anon — décision politique explicite (visibilité publique du profil d'adoption). Documenter le statut « anon autorisé par décision politique »</w:t>
            </w:r>
          </w:p>
        </w:tc>
      </w:tr>
      <w:tr>
        <w:tc>
          <w:tcPr>
            <w:tcW w:type="dxa" w:w="311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Famille publish_*_draft (catalogação)</w:t>
            </w:r>
          </w:p>
        </w:tc>
        <w:tc>
          <w:tcPr>
            <w:tcW w:type="dxa" w:w="1247"/>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WARN authenticated</w:t>
            </w:r>
          </w:p>
        </w:tc>
        <w:tc>
          <w:tcPr>
            <w:tcW w:type="dxa" w:w="1247"/>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4</w:t>
            </w:r>
          </w:p>
        </w:tc>
        <w:tc>
          <w:tcPr>
            <w:tcW w:type="dxa" w:w="3685"/>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Conserver SECURITY DEFINER, revue ciblée</w:t>
            </w:r>
          </w:p>
        </w:tc>
      </w:tr>
      <w:tr>
        <w:tc>
          <w:tcPr>
            <w:tcW w:type="dxa" w:w="311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Famille fn_caller_is_* et fn_current_user_is_*</w:t>
            </w:r>
          </w:p>
        </w:tc>
        <w:tc>
          <w:tcPr>
            <w:tcW w:type="dxa" w:w="1247"/>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WARN anon + authenticated</w:t>
            </w:r>
          </w:p>
        </w:tc>
        <w:tc>
          <w:tcPr>
            <w:tcW w:type="dxa" w:w="1247"/>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≈6</w:t>
            </w:r>
          </w:p>
        </w:tc>
        <w:tc>
          <w:tcPr>
            <w:tcW w:type="dxa" w:w="3685"/>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Helpers de contexte d'appel — devraient pouvoir être basculées en SECURITY INVOKER puisqu'elles lisent uniquement auth.uid()</w:t>
            </w:r>
          </w:p>
        </w:tc>
      </w:tr>
      <w:tr>
        <w:tc>
          <w:tcPr>
            <w:tcW w:type="dxa" w:w="311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Famille get_due_date_*, get_remaining_renewals, get_future_availability, resolve_circulation_rule, get_batch_loan_projection (couche fine api)</w:t>
            </w:r>
          </w:p>
        </w:tc>
        <w:tc>
          <w:tcPr>
            <w:tcW w:type="dxa" w:w="1247"/>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WARN authenticated</w:t>
            </w:r>
          </w:p>
        </w:tc>
        <w:tc>
          <w:tcPr>
            <w:tcW w:type="dxa" w:w="1247"/>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≈8</w:t>
            </w:r>
          </w:p>
        </w:tc>
        <w:tc>
          <w:tcPr>
            <w:tcW w:type="dxa" w:w="3685"/>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Bonnes candidates pour bascule SECURITY INVOKER si elles n'écrivent rien</w:t>
            </w:r>
          </w:p>
        </w:tc>
      </w:tr>
      <w:tr>
        <w:tc>
          <w:tcPr>
            <w:tcW w:type="dxa" w:w="311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search_catalog_v1, get_book_primary_public_digital_asset_v2</w:t>
            </w:r>
          </w:p>
        </w:tc>
        <w:tc>
          <w:tcPr>
            <w:tcW w:type="dxa" w:w="1247"/>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WARN anon + authenticated</w:t>
            </w:r>
          </w:p>
        </w:tc>
        <w:tc>
          <w:tcPr>
            <w:tcW w:type="dxa" w:w="1247"/>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2 × 2</w:t>
            </w:r>
          </w:p>
        </w:tc>
        <w:tc>
          <w:tcPr>
            <w:tcW w:type="dxa" w:w="3685"/>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Conserver SECURITY DEFINER (lecture catalogue protégée par fn_library_visible_to_caller en interne)</w:t>
            </w:r>
          </w:p>
        </w:tc>
      </w:tr>
      <w:tr>
        <w:tc>
          <w:tcPr>
            <w:tcW w:type="dxa" w:w="311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resolve_login_email, fn_submit_library_request, fn_submit_library_request_via_claim, fn_consume_library_request_claim, fn_get_library_request_claim_context, fn_ensure_library_theme</w:t>
            </w:r>
          </w:p>
        </w:tc>
        <w:tc>
          <w:tcPr>
            <w:tcW w:type="dxa" w:w="1247"/>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WARN anon + authenticated</w:t>
            </w:r>
          </w:p>
        </w:tc>
        <w:tc>
          <w:tcPr>
            <w:tcW w:type="dxa" w:w="1247"/>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6 × 2</w:t>
            </w:r>
          </w:p>
        </w:tc>
        <w:tc>
          <w:tcPr>
            <w:tcW w:type="dxa" w:w="3685"/>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Conserver SECURITY DEFINER avec exposition anon — décision politique explicite (signup, soumission de demande de bibliothèque, claim)</w:t>
            </w:r>
          </w:p>
        </w:tc>
      </w:tr>
      <w:tr>
        <w:tc>
          <w:tcPr>
            <w:tcW w:type="dxa" w:w="311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fn_network_notify_event, fn_team_notify_event (helpers de fan-out outbox)</w:t>
            </w:r>
          </w:p>
        </w:tc>
        <w:tc>
          <w:tcPr>
            <w:tcW w:type="dxa" w:w="1247"/>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WARN anon + authenticated</w:t>
            </w:r>
          </w:p>
        </w:tc>
        <w:tc>
          <w:tcPr>
            <w:tcW w:type="dxa" w:w="1247"/>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1 × 2 (le second pas listé mais symétrique)</w:t>
            </w:r>
          </w:p>
        </w:tc>
        <w:tc>
          <w:tcPr>
            <w:tcW w:type="dxa" w:w="3685"/>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À encadrer : ce sont les points d'injection vers la couche notification, ils ne devraient pas être appelables directement par anon ni par authenticated — la révocation REST simple suffit</w:t>
            </w:r>
          </w:p>
        </w:tc>
      </w:tr>
      <w:tr>
        <w:tc>
          <w:tcPr>
            <w:tcW w:type="dxa" w:w="311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fn_block_lph_modification (function_search_path_mutable)</w:t>
            </w:r>
          </w:p>
        </w:tc>
        <w:tc>
          <w:tcPr>
            <w:tcW w:type="dxa" w:w="1247"/>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WARN</w:t>
            </w:r>
          </w:p>
        </w:tc>
        <w:tc>
          <w:tcPr>
            <w:tcW w:type="dxa" w:w="1247"/>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1</w:t>
            </w:r>
          </w:p>
        </w:tc>
        <w:tc>
          <w:tcPr>
            <w:tcW w:type="dxa" w:w="3685"/>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Ajouter SET search_path = pg_catalog, public dans la définition de la fonction</w:t>
            </w:r>
          </w:p>
        </w:tc>
      </w:tr>
      <w:tr>
        <w:tc>
          <w:tcPr>
            <w:tcW w:type="dxa" w:w="311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Buckets storage avec broad SELECT (library-privacy-public, library-ui-assets)</w:t>
            </w:r>
          </w:p>
        </w:tc>
        <w:tc>
          <w:tcPr>
            <w:tcW w:type="dxa" w:w="1247"/>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WARN</w:t>
            </w:r>
          </w:p>
        </w:tc>
        <w:tc>
          <w:tcPr>
            <w:tcW w:type="dxa" w:w="1247"/>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2</w:t>
            </w:r>
          </w:p>
        </w:tc>
        <w:tc>
          <w:tcPr>
            <w:tcW w:type="dxa" w:w="3685"/>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Restreindre la policy SELECT pour ne plus permettre le listing de tous les objets</w:t>
            </w:r>
          </w:p>
        </w:tc>
      </w:tr>
      <w:tr>
        <w:tc>
          <w:tcPr>
            <w:tcW w:type="dxa" w:w="311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Clés étrangères sans index supportant (visible : ≈67)</w:t>
            </w:r>
          </w:p>
        </w:tc>
        <w:tc>
          <w:tcPr>
            <w:tcW w:type="dxa" w:w="1247"/>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performance</w:t>
            </w:r>
          </w:p>
        </w:tc>
        <w:tc>
          <w:tcPr>
            <w:tcW w:type="dxa" w:w="1247"/>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≈67</w:t>
            </w:r>
          </w:p>
        </w:tc>
        <w:tc>
          <w:tcPr>
            <w:tcW w:type="dxa" w:w="3685"/>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Génération d'indexes en lot, surtout sur colonnes d'audit (created_by, updated_by, recorded_by, actor_user_id, target_user_id, triggered_by_user_id → auth.users)</w:t>
            </w:r>
          </w:p>
        </w:tc>
      </w:tr>
    </w:tbl>
    <w:p/>
    <w:p>
      <w:pPr>
        <w:keepNext/>
        <w:spacing w:before="200" w:after="120"/>
      </w:pPr>
      <w:r>
        <w:rPr>
          <w:rFonts w:ascii="Calibri" w:hAnsi="Calibri"/>
          <w:b/>
          <w:sz w:val="28"/>
        </w:rPr>
        <w:t>5.3 Lecture stratégique : la dette n'est plus une métrique, elle est une politique</w:t>
      </w:r>
    </w:p>
    <w:p>
      <w:pPr>
        <w:spacing w:after="120" w:line="276" w:lineRule="auto"/>
      </w:pPr>
      <w:r>
        <w:rPr>
          <w:rFonts w:ascii="Calibri" w:hAnsi="Calibri"/>
          <w:b w:val="0"/>
          <w:i w:val="0"/>
          <w:sz w:val="22"/>
        </w:rPr>
        <w:t>La v13 envisageait la dette SECURITY DEFINER comme un chantier de triage : « pour chaque fonction WARN, décider si elle reste DEFINER, si elle bascule INVOKER, ou si elle est encadrée par wrapper ». La v14 doit reconnaître que cette approche, valable pour 14 fonctions anon en v13, devient ingérable pour 225 fonctions authenticated en v14. La doctrine v14 doit donc proposer un cadre nouveau : non pas trier au cas par cas, mais qualifier les familles entières.</w:t>
      </w:r>
    </w:p>
    <w:p>
      <w:pPr>
        <w:spacing w:after="120" w:line="276" w:lineRule="auto"/>
      </w:pPr>
      <w:r>
        <w:rPr>
          <w:rFonts w:ascii="Calibri" w:hAnsi="Calibri"/>
          <w:b w:val="0"/>
          <w:i w:val="0"/>
          <w:sz w:val="22"/>
        </w:rPr>
        <w:t>Trois familles SECURITY DEFINER authenticated sont par construction légitimes et le resteront : la circulation (fn_v2_*), la gouvernance (upsert_library_*, fn_team_*, fn_network_admin_*), la catalogação (publish_*_draft, create_*_draft_from_*). Ces fonctions modifient des tables que l'utilisateur ne peut pas modifier directement par RLS, et leur SECURITY DEFINER est leur raison d'être. Aucun bénéfice à les basculer.</w:t>
      </w:r>
    </w:p>
    <w:p>
      <w:pPr>
        <w:spacing w:after="120" w:line="276" w:lineRule="auto"/>
      </w:pPr>
      <w:r>
        <w:rPr>
          <w:rFonts w:ascii="Calibri" w:hAnsi="Calibri"/>
          <w:b w:val="0"/>
          <w:i w:val="0"/>
          <w:sz w:val="22"/>
        </w:rPr>
        <w:t>Deux familles SECURITY DEFINER anon sont également légitimes par décision politique : les helpers de mode (fn_library_*_mode, exposés pour permettre à un usager anon de juger du profil d'une bibliothèque), et la chaîne de soumission de demande de bibliothèque (fn_submit_library_request, fn_submit_library_request_via_claim, fn_consume_library_request_claim, resolve_login_email). Ces fonctions matérialisent la posture politique d'AnarBib : un anarchiste peut découvrir, juger, et solliciter une bibliothèque sans s'authentifier d'abord. Aucun bénéfice à les fermer.</w:t>
      </w:r>
    </w:p>
    <w:p>
      <w:pPr>
        <w:spacing w:after="120" w:line="276" w:lineRule="auto"/>
      </w:pPr>
      <w:r>
        <w:rPr>
          <w:rFonts w:ascii="Calibri" w:hAnsi="Calibri"/>
          <w:b w:val="0"/>
          <w:i w:val="0"/>
          <w:sz w:val="22"/>
        </w:rPr>
        <w:t>Reste donc, comme dette stricte à traiter : v_active_memberships (1 ERROR), api.library_email_identity (1 WARN vue), mv_books_catalog_list_v1 et mv_books_catalog_list_network_v1 (2 WARN vues matérialisées), fn_block_lph_modification (1 WARN search_path), 2 buckets storage avec SELECT broad. Soit 7 items isolés, exactement le format d'un chantier de durcissement bornable. Plus les ≈67 clés étrangères sans index supportant, qui forment un chantier performance distinct.</w:t>
      </w:r>
    </w:p>
    <w:p>
      <w:pPr>
        <w:keepNext/>
        <w:spacing w:before="280" w:after="120"/>
      </w:pPr>
      <w:r>
        <w:rPr>
          <w:rFonts w:ascii="Calibri" w:hAnsi="Calibri"/>
          <w:b/>
          <w:sz w:val="36"/>
        </w:rPr>
        <w:t>6. La consultation locale : fermée backend, à mettre en lecture frontale</w:t>
      </w:r>
    </w:p>
    <w:p>
      <w:pPr>
        <w:spacing w:after="120" w:line="276" w:lineRule="auto"/>
      </w:pPr>
      <w:r>
        <w:rPr>
          <w:rFonts w:ascii="Calibri" w:hAnsi="Calibri"/>
          <w:b w:val="0"/>
          <w:i w:val="0"/>
          <w:sz w:val="22"/>
        </w:rPr>
        <w:t>La séquence #2 de l'ordre d'exécution v13 (« fermeture propre de la branche consultation locale ») visait l'ajout d'un trigger trg_notify_consulta_workflow équivalent à trg_notify_reserva_workflow, plus l'intégration handler dans notify-event. La v14 mesure que ces deux conditions sont remplies.</w:t>
      </w:r>
    </w:p>
    <w:p>
      <w:pPr>
        <w:keepNext/>
        <w:spacing w:before="200" w:after="120"/>
      </w:pPr>
      <w:r>
        <w:rPr>
          <w:rFonts w:ascii="Calibri" w:hAnsi="Calibri"/>
          <w:b/>
          <w:sz w:val="28"/>
        </w:rPr>
        <w:t>6.1 Ce qui est désormais en production</w:t>
      </w:r>
    </w:p>
    <w:tbl>
      <w:tblPr>
        <w:tblW w:type="auto" w:w="0"/>
        <w:jc w:val="center"/>
        <w:tblLook w:firstColumn="1" w:firstRow="1" w:lastColumn="0" w:lastRow="0" w:noHBand="0" w:noVBand="1" w:val="04A0"/>
      </w:tblPr>
      <w:tblGrid>
        <w:gridCol w:w="4873"/>
        <w:gridCol w:w="4873"/>
      </w:tblGrid>
      <w:tr>
        <w:tc>
          <w:tcPr>
            <w:tcW w:type="dxa" w:w="2835"/>
            <w:shd w:val="clear" w:color="auto" w:fill="E8EAF0"/>
            <w:tcBorders>
              <w:top w:val="single" w:sz="4" w:color="999999"/>
              <w:left w:val="single" w:sz="4" w:color="999999"/>
              <w:bottom w:val="single" w:sz="4" w:color="999999"/>
              <w:right w:val="single" w:sz="4" w:color="999999"/>
            </w:tcBorders>
            <w:vAlign w:val="top"/>
          </w:tcPr>
          <w:p>
            <w:pPr>
              <w:spacing w:before="40" w:after="40"/>
            </w:pPr>
            <w:r/>
            <w:r>
              <w:rPr>
                <w:rFonts w:ascii="Calibri" w:hAnsi="Calibri"/>
                <w:b/>
                <w:sz w:val="20"/>
              </w:rPr>
              <w:t>Élément</w:t>
            </w:r>
          </w:p>
        </w:tc>
        <w:tc>
          <w:tcPr>
            <w:tcW w:type="dxa" w:w="6520"/>
            <w:shd w:val="clear" w:color="auto" w:fill="E8EAF0"/>
            <w:tcBorders>
              <w:top w:val="single" w:sz="4" w:color="999999"/>
              <w:left w:val="single" w:sz="4" w:color="999999"/>
              <w:bottom w:val="single" w:sz="4" w:color="999999"/>
              <w:right w:val="single" w:sz="4" w:color="999999"/>
            </w:tcBorders>
            <w:vAlign w:val="top"/>
          </w:tcPr>
          <w:p>
            <w:pPr>
              <w:spacing w:before="40" w:after="40"/>
            </w:pPr>
            <w:r/>
            <w:r>
              <w:rPr>
                <w:rFonts w:ascii="Calibri" w:hAnsi="Calibri"/>
                <w:b/>
                <w:sz w:val="20"/>
              </w:rPr>
              <w:t>État v14</w:t>
            </w:r>
          </w:p>
        </w:tc>
      </w:tr>
      <w:tr>
        <w:tc>
          <w:tcPr>
            <w:tcW w:type="dxa" w:w="2835"/>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trg_notify_consulta_workflow</w:t>
            </w:r>
          </w:p>
        </w:tc>
        <w:tc>
          <w:tcPr>
            <w:tcW w:type="dxa" w:w="6520"/>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EN PROD sur consulta_item_workflow_v2 (AFTER INSERT OR UPDATE OF workflow_stage, schedule_reply_status, consultation_starts_at, consultation_ends_at)</w:t>
            </w:r>
          </w:p>
        </w:tc>
      </w:tr>
      <w:tr>
        <w:tc>
          <w:tcPr>
            <w:tcW w:type="dxa" w:w="2835"/>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trg_notify_consulta_lifecycle</w:t>
            </w:r>
          </w:p>
        </w:tc>
        <w:tc>
          <w:tcPr>
            <w:tcW w:type="dxa" w:w="6520"/>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EN PROD sur consulta_linhas_v2 (AFTER INSERT OR UPDATE OF item_status) — pendant lifecycle non anticipé par v13 mais livré</w:t>
            </w:r>
          </w:p>
        </w:tc>
      </w:tr>
      <w:tr>
        <w:tc>
          <w:tcPr>
            <w:tcW w:type="dxa" w:w="2835"/>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RPC api couche fine</w:t>
            </w:r>
          </w:p>
        </w:tc>
        <w:tc>
          <w:tcPr>
            <w:tcW w:type="dxa" w:w="6520"/>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5 RPC en INVOKER : advance_consulta, cancel_consulta_as_reader, create_consulta_local, dismiss_consulta_cancelled, reply_consulta_schedule</w:t>
            </w:r>
          </w:p>
        </w:tc>
      </w:tr>
      <w:tr>
        <w:tc>
          <w:tcPr>
            <w:tcW w:type="dxa" w:w="2835"/>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Handler notify-event</w:t>
            </w:r>
          </w:p>
        </w:tc>
        <w:tc>
          <w:tcPr>
            <w:tcW w:type="dxa" w:w="6520"/>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library_profile.ts + consultas.ts dans supabase/functions/_shared/domain/ (chantier i18n layout mail bouclé 18/05)</w:t>
            </w:r>
          </w:p>
        </w:tc>
      </w:tr>
      <w:tr>
        <w:tc>
          <w:tcPr>
            <w:tcW w:type="dxa" w:w="2835"/>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Toggle local_consultation_enabled (library_notification_policies)</w:t>
            </w:r>
          </w:p>
        </w:tc>
        <w:tc>
          <w:tcPr>
            <w:tcW w:type="dxa" w:w="6520"/>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Lu désormais par le handler</w:t>
            </w:r>
          </w:p>
        </w:tc>
      </w:tr>
      <w:tr>
        <w:tc>
          <w:tcPr>
            <w:tcW w:type="dxa" w:w="2835"/>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Vue api.painel_consultas_history_v1</w:t>
            </w:r>
          </w:p>
        </w:tc>
        <w:tc>
          <w:tcPr>
            <w:tcW w:type="dxa" w:w="6520"/>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EN PROD (security_invoker on) — onglet historique painel</w:t>
            </w:r>
          </w:p>
        </w:tc>
      </w:tr>
      <w:tr>
        <w:tc>
          <w:tcPr>
            <w:tcW w:type="dxa" w:w="2835"/>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Police RLS sur consultas_locais_v2</w:t>
            </w:r>
          </w:p>
        </w:tc>
        <w:tc>
          <w:tcPr>
            <w:tcW w:type="dxa" w:w="6520"/>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Active avec garde fn_library_has_circulation (cohérent avec profil circulation_mode != 'off')</w:t>
            </w:r>
          </w:p>
        </w:tc>
      </w:tr>
    </w:tbl>
    <w:p/>
    <w:p>
      <w:pPr>
        <w:keepNext/>
        <w:spacing w:before="200" w:after="120"/>
      </w:pPr>
      <w:r>
        <w:rPr>
          <w:rFonts w:ascii="Calibri" w:hAnsi="Calibri"/>
          <w:b/>
          <w:sz w:val="28"/>
        </w:rPr>
        <w:t>6.2 Ce qui reste à faire — front</w:t>
      </w:r>
    </w:p>
    <w:p>
      <w:pPr>
        <w:spacing w:after="120" w:line="276" w:lineRule="auto"/>
      </w:pPr>
      <w:r>
        <w:rPr>
          <w:rFonts w:ascii="Calibri" w:hAnsi="Calibri"/>
          <w:b w:val="0"/>
          <w:i w:val="0"/>
          <w:sz w:val="22"/>
        </w:rPr>
        <w:t>Trois éléments frontaux subsistent, identifiables dans le corpus frontend examiné.</w:t>
      </w:r>
    </w:p>
    <w:p>
      <w:pPr>
        <w:spacing w:after="120" w:line="276" w:lineRule="auto"/>
      </w:pPr>
      <w:r>
        <w:rPr>
          <w:rFonts w:ascii="Calibri" w:hAnsi="Calibri"/>
          <w:b w:val="0"/>
          <w:i w:val="0"/>
          <w:sz w:val="22"/>
        </w:rPr>
        <w:t>Premier élément : le rendu adaptatif du painel selon circulation_mode. La PanelPage (2757 lignes) doit afficher l'onglet Consultations uniquement quand circulation_mode = 'informal' ou 'full_sigb', et masquer l'onglet quand circulation_mode = 'off'. Cette logique n'est pas encore systématique.</w:t>
      </w:r>
    </w:p>
    <w:p>
      <w:pPr>
        <w:spacing w:after="120" w:line="276" w:lineRule="auto"/>
      </w:pPr>
      <w:r>
        <w:rPr>
          <w:rFonts w:ascii="Calibri" w:hAnsi="Calibri"/>
          <w:b w:val="0"/>
          <w:i w:val="0"/>
          <w:sz w:val="22"/>
        </w:rPr>
        <w:t>Deuxième élément : le bouton « Solicitar consulta » sur BookPage et CatalogPage. Les fichiers BookPage.jsx.bak.B1-consulta-button.20260519-132918 et CatalogPage.jsx.bak.B2-consulta-button.20260519-133248 témoignent d'un chantier en cours le 19 mai. Reste à vérifier que le bouton est effectivement câblé sur la RPC api.create_consulta_local et qu'il respecte la doctrine d'anon-availability (visible aux anonymes pour les bibliothèques en network_mode != 'isolated').</w:t>
      </w:r>
    </w:p>
    <w:p>
      <w:pPr>
        <w:spacing w:after="120" w:line="276" w:lineRule="auto"/>
      </w:pPr>
      <w:r>
        <w:rPr>
          <w:rFonts w:ascii="Calibri" w:hAnsi="Calibri"/>
          <w:b w:val="0"/>
          <w:i w:val="0"/>
          <w:sz w:val="22"/>
        </w:rPr>
        <w:t>Troisième élément : les notifications côté lecteur·rice·x. L'i18n de la consultation (chantier B.3 du 19/05, 60 clés × 6 locales = 360 strings militantes) est livré. Reste à vérifier que les notifications réception (« votre demande de consultation a été planifiée pour le mercredi 22 mai à 14h00 ») sont effectivement reçues — ce qui suppose que le handler consultas.ts dans notify-event lit correctement le toggle library_notification_policies.local_consultation_enabled. Test fumée pt-BR/fr déjà OK selon les notes du 18/05 (3-4 secondes end-to-end).</w:t>
      </w:r>
    </w:p>
    <w:p>
      <w:pPr>
        <w:keepNext/>
        <w:spacing w:before="200" w:after="120"/>
      </w:pPr>
      <w:r>
        <w:rPr>
          <w:rFonts w:ascii="Calibri" w:hAnsi="Calibri"/>
          <w:b/>
          <w:sz w:val="28"/>
        </w:rPr>
        <w:t>6.3 Estimation révisée</w:t>
      </w:r>
    </w:p>
    <w:p>
      <w:pPr>
        <w:spacing w:after="120" w:line="276" w:lineRule="auto"/>
      </w:pPr>
      <w:r>
        <w:rPr>
          <w:rFonts w:ascii="Calibri" w:hAnsi="Calibri"/>
          <w:b w:val="0"/>
          <w:i w:val="0"/>
          <w:sz w:val="22"/>
        </w:rPr>
        <w:t>À la lecture du SQL exact et des notes de chantier internes, la branche consultation locale doit être réévaluée à environ 95 % d'avancement (vs 80 % à la v13). Le travail restant est essentiellement frontal et concerne moins de cinq jours de développement. Cette branche peut être considérée comme la première séquence entièrement refermée de l'ordre d'exécution v13, à confirmer par une vérification frontale en première semaine de juin.</w:t>
      </w:r>
    </w:p>
    <w:p>
      <w:pPr>
        <w:keepNext/>
        <w:spacing w:before="280" w:after="120"/>
      </w:pPr>
      <w:r>
        <w:rPr>
          <w:rFonts w:ascii="Calibri" w:hAnsi="Calibri"/>
          <w:b/>
          <w:sz w:val="36"/>
        </w:rPr>
        <w:t>7. La couche notification : 16 triggers, 14 toggles, branchement renforcé</w:t>
      </w:r>
    </w:p>
    <w:p>
      <w:pPr>
        <w:spacing w:after="120" w:line="276" w:lineRule="auto"/>
      </w:pPr>
      <w:r>
        <w:rPr>
          <w:rFonts w:ascii="Calibri" w:hAnsi="Calibri"/>
          <w:b w:val="0"/>
          <w:i w:val="0"/>
          <w:sz w:val="22"/>
        </w:rPr>
        <w:t>La v13 dénombrait 9 triggers de notification automatique. La v14 en mesure 16, qui matérialisent la couche notification désormais étendue à la consultation locale, aux transitions de profil d'adoption, aux actions transverses d'admin réseau, et au cycle de vie des propositions.</w:t>
      </w:r>
    </w:p>
    <w:tbl>
      <w:tblPr>
        <w:tblW w:type="auto" w:w="0"/>
        <w:jc w:val="center"/>
        <w:tblLook w:firstColumn="1" w:firstRow="1" w:lastColumn="0" w:lastRow="0" w:noHBand="0" w:noVBand="1" w:val="04A0"/>
      </w:tblPr>
      <w:tblGrid>
        <w:gridCol w:w="3249"/>
        <w:gridCol w:w="3249"/>
        <w:gridCol w:w="3249"/>
      </w:tblGrid>
      <w:tr>
        <w:tc>
          <w:tcPr>
            <w:tcW w:type="dxa" w:w="3118"/>
            <w:shd w:val="clear" w:color="auto" w:fill="E8EAF0"/>
            <w:tcBorders>
              <w:top w:val="single" w:sz="4" w:color="999999"/>
              <w:left w:val="single" w:sz="4" w:color="999999"/>
              <w:bottom w:val="single" w:sz="4" w:color="999999"/>
              <w:right w:val="single" w:sz="4" w:color="999999"/>
            </w:tcBorders>
            <w:vAlign w:val="top"/>
          </w:tcPr>
          <w:p>
            <w:pPr>
              <w:spacing w:before="40" w:after="40"/>
            </w:pPr>
            <w:r/>
            <w:r>
              <w:rPr>
                <w:rFonts w:ascii="Calibri" w:hAnsi="Calibri"/>
                <w:b/>
                <w:sz w:val="20"/>
              </w:rPr>
              <w:t>Trigger</w:t>
            </w:r>
          </w:p>
        </w:tc>
        <w:tc>
          <w:tcPr>
            <w:tcW w:type="dxa" w:w="2268"/>
            <w:shd w:val="clear" w:color="auto" w:fill="E8EAF0"/>
            <w:tcBorders>
              <w:top w:val="single" w:sz="4" w:color="999999"/>
              <w:left w:val="single" w:sz="4" w:color="999999"/>
              <w:bottom w:val="single" w:sz="4" w:color="999999"/>
              <w:right w:val="single" w:sz="4" w:color="999999"/>
            </w:tcBorders>
            <w:vAlign w:val="top"/>
          </w:tcPr>
          <w:p>
            <w:pPr>
              <w:spacing w:before="40" w:after="40"/>
            </w:pPr>
            <w:r/>
            <w:r>
              <w:rPr>
                <w:rFonts w:ascii="Calibri" w:hAnsi="Calibri"/>
                <w:b/>
                <w:sz w:val="20"/>
              </w:rPr>
              <w:t>Table source</w:t>
            </w:r>
          </w:p>
        </w:tc>
        <w:tc>
          <w:tcPr>
            <w:tcW w:type="dxa" w:w="3969"/>
            <w:shd w:val="clear" w:color="auto" w:fill="E8EAF0"/>
            <w:tcBorders>
              <w:top w:val="single" w:sz="4" w:color="999999"/>
              <w:left w:val="single" w:sz="4" w:color="999999"/>
              <w:bottom w:val="single" w:sz="4" w:color="999999"/>
              <w:right w:val="single" w:sz="4" w:color="999999"/>
            </w:tcBorders>
            <w:vAlign w:val="top"/>
          </w:tcPr>
          <w:p>
            <w:pPr>
              <w:spacing w:before="40" w:after="40"/>
            </w:pPr>
            <w:r/>
            <w:r>
              <w:rPr>
                <w:rFonts w:ascii="Calibri" w:hAnsi="Calibri"/>
                <w:b/>
                <w:sz w:val="20"/>
              </w:rPr>
              <w:t>Événements</w:t>
            </w:r>
          </w:p>
        </w:tc>
      </w:tr>
      <w:tr>
        <w:tc>
          <w:tcPr>
            <w:tcW w:type="dxa" w:w="311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trg_notify_emprestimo_criado</w:t>
            </w:r>
          </w:p>
        </w:tc>
        <w:tc>
          <w:tcPr>
            <w:tcW w:type="dxa" w:w="226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emprestimos_v2</w:t>
            </w:r>
          </w:p>
        </w:tc>
        <w:tc>
          <w:tcPr>
            <w:tcW w:type="dxa" w:w="3969"/>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AFTER INSERT (remplace trg_notify_emprestimo_lifecycle de v13)</w:t>
            </w:r>
          </w:p>
        </w:tc>
      </w:tr>
      <w:tr>
        <w:tc>
          <w:tcPr>
            <w:tcW w:type="dxa" w:w="311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trg_notify_emprestimo_prorrogacao</w:t>
            </w:r>
          </w:p>
        </w:tc>
        <w:tc>
          <w:tcPr>
            <w:tcW w:type="dxa" w:w="226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emprestimos_v2</w:t>
            </w:r>
          </w:p>
        </w:tc>
        <w:tc>
          <w:tcPr>
            <w:tcW w:type="dxa" w:w="3969"/>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AFTER UPDATE OF renewals_used</w:t>
            </w:r>
          </w:p>
        </w:tc>
      </w:tr>
      <w:tr>
        <w:tc>
          <w:tcPr>
            <w:tcW w:type="dxa" w:w="311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trg_notify_reserva_workflow</w:t>
            </w:r>
          </w:p>
        </w:tc>
        <w:tc>
          <w:tcPr>
            <w:tcW w:type="dxa" w:w="226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reserva_item_workflow_v2</w:t>
            </w:r>
          </w:p>
        </w:tc>
        <w:tc>
          <w:tcPr>
            <w:tcW w:type="dxa" w:w="3969"/>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AFTER INSERT OR UPDATE OF workflow_stage, pickup_reply_status</w:t>
            </w:r>
          </w:p>
        </w:tc>
      </w:tr>
      <w:tr>
        <w:tc>
          <w:tcPr>
            <w:tcW w:type="dxa" w:w="311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trg_notify_consulta_workflow (NOUVEAU)</w:t>
            </w:r>
          </w:p>
        </w:tc>
        <w:tc>
          <w:tcPr>
            <w:tcW w:type="dxa" w:w="226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consulta_item_workflow_v2</w:t>
            </w:r>
          </w:p>
        </w:tc>
        <w:tc>
          <w:tcPr>
            <w:tcW w:type="dxa" w:w="3969"/>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AFTER INSERT OR UPDATE OF workflow_stage, schedule_reply_status, consultation_starts_at, consultation_ends_at</w:t>
            </w:r>
          </w:p>
        </w:tc>
      </w:tr>
      <w:tr>
        <w:tc>
          <w:tcPr>
            <w:tcW w:type="dxa" w:w="311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trg_notify_consulta_lifecycle (NOUVEAU)</w:t>
            </w:r>
          </w:p>
        </w:tc>
        <w:tc>
          <w:tcPr>
            <w:tcW w:type="dxa" w:w="226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consulta_linhas_v2</w:t>
            </w:r>
          </w:p>
        </w:tc>
        <w:tc>
          <w:tcPr>
            <w:tcW w:type="dxa" w:w="3969"/>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AFTER INSERT OR UPDATE OF item_status</w:t>
            </w:r>
          </w:p>
        </w:tc>
      </w:tr>
      <w:tr>
        <w:tc>
          <w:tcPr>
            <w:tcW w:type="dxa" w:w="311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trg_interlibrary_loan_enqueue_notifications</w:t>
            </w:r>
          </w:p>
        </w:tc>
        <w:tc>
          <w:tcPr>
            <w:tcW w:type="dxa" w:w="226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interlibrary_loans_v2</w:t>
            </w:r>
          </w:p>
        </w:tc>
        <w:tc>
          <w:tcPr>
            <w:tcW w:type="dxa" w:w="3969"/>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AFTER INSERT OR UPDATE</w:t>
            </w:r>
          </w:p>
        </w:tc>
      </w:tr>
      <w:tr>
        <w:tc>
          <w:tcPr>
            <w:tcW w:type="dxa" w:w="311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trg_document_permission_request_notifications</w:t>
            </w:r>
          </w:p>
        </w:tc>
        <w:tc>
          <w:tcPr>
            <w:tcW w:type="dxa" w:w="226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document_permission_requests</w:t>
            </w:r>
          </w:p>
        </w:tc>
        <w:tc>
          <w:tcPr>
            <w:tcW w:type="dxa" w:w="3969"/>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AFTER INSERT OR UPDATE OF status, response_note</w:t>
            </w:r>
          </w:p>
        </w:tc>
      </w:tr>
      <w:tr>
        <w:tc>
          <w:tcPr>
            <w:tcW w:type="dxa" w:w="311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trg_auto_dispatch_task_invitation_outbox</w:t>
            </w:r>
          </w:p>
        </w:tc>
        <w:tc>
          <w:tcPr>
            <w:tcW w:type="dxa" w:w="226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painel_internal_task_invitation_outbox</w:t>
            </w:r>
          </w:p>
        </w:tc>
        <w:tc>
          <w:tcPr>
            <w:tcW w:type="dxa" w:w="3969"/>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AFTER INSERT (statement-level)</w:t>
            </w:r>
          </w:p>
        </w:tc>
      </w:tr>
      <w:tr>
        <w:tc>
          <w:tcPr>
            <w:tcW w:type="dxa" w:w="311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trg_auto_dispatch_task_notification_outbox</w:t>
            </w:r>
          </w:p>
        </w:tc>
        <w:tc>
          <w:tcPr>
            <w:tcW w:type="dxa" w:w="226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painel_internal_task_notification_outbox</w:t>
            </w:r>
          </w:p>
        </w:tc>
        <w:tc>
          <w:tcPr>
            <w:tcW w:type="dxa" w:w="3969"/>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AFTER INSERT (statement-level)</w:t>
            </w:r>
          </w:p>
        </w:tc>
      </w:tr>
      <w:tr>
        <w:tc>
          <w:tcPr>
            <w:tcW w:type="dxa" w:w="311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trg_enqueue_task_level_notifications_from_task</w:t>
            </w:r>
          </w:p>
        </w:tc>
        <w:tc>
          <w:tcPr>
            <w:tcW w:type="dxa" w:w="226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painel_internal_tasks</w:t>
            </w:r>
          </w:p>
        </w:tc>
        <w:tc>
          <w:tcPr>
            <w:tcW w:type="dxa" w:w="3969"/>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AFTER INSERT OR UPDATE OF due_date, priority, status, owner, owner_user_id</w:t>
            </w:r>
          </w:p>
        </w:tc>
      </w:tr>
      <w:tr>
        <w:tc>
          <w:tcPr>
            <w:tcW w:type="dxa" w:w="311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trg_team_outbox_dispatch (NOUVEAU)</w:t>
            </w:r>
          </w:p>
        </w:tc>
        <w:tc>
          <w:tcPr>
            <w:tcW w:type="dxa" w:w="226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team_notification_outbox</w:t>
            </w:r>
          </w:p>
        </w:tc>
        <w:tc>
          <w:tcPr>
            <w:tcW w:type="dxa" w:w="3969"/>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AFTER INSERT (point de fan-out central vers EF notify-event)</w:t>
            </w:r>
          </w:p>
        </w:tc>
      </w:tr>
      <w:tr>
        <w:tc>
          <w:tcPr>
            <w:tcW w:type="dxa" w:w="311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trg_lph_notify_executed (NOUVEAU)</w:t>
            </w:r>
          </w:p>
        </w:tc>
        <w:tc>
          <w:tcPr>
            <w:tcW w:type="dxa" w:w="226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library_profile_history</w:t>
            </w:r>
          </w:p>
        </w:tc>
        <w:tc>
          <w:tcPr>
            <w:tcW w:type="dxa" w:w="3969"/>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AFTER INSERT (notifie le résultat d'une transition de profil)</w:t>
            </w:r>
          </w:p>
        </w:tc>
      </w:tr>
      <w:tr>
        <w:tc>
          <w:tcPr>
            <w:tcW w:type="dxa" w:w="311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trg_lpp_notify_lifecycle (NOUVEAU)</w:t>
            </w:r>
          </w:p>
        </w:tc>
        <w:tc>
          <w:tcPr>
            <w:tcW w:type="dxa" w:w="226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library_profile_proposals</w:t>
            </w:r>
          </w:p>
        </w:tc>
        <w:tc>
          <w:tcPr>
            <w:tcW w:type="dxa" w:w="3969"/>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AFTER INSERT OR UPDATE (cycle de vie des propositions de transition)</w:t>
            </w:r>
          </w:p>
        </w:tc>
      </w:tr>
      <w:tr>
        <w:tc>
          <w:tcPr>
            <w:tcW w:type="dxa" w:w="311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trg_lpv_notify_cast (NOUVEAU)</w:t>
            </w:r>
          </w:p>
        </w:tc>
        <w:tc>
          <w:tcPr>
            <w:tcW w:type="dxa" w:w="226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library_profile_votes</w:t>
            </w:r>
          </w:p>
        </w:tc>
        <w:tc>
          <w:tcPr>
            <w:tcW w:type="dxa" w:w="3969"/>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AFTER INSERT (vote individuel sur une proposition)</w:t>
            </w:r>
          </w:p>
        </w:tc>
      </w:tr>
      <w:tr>
        <w:tc>
          <w:tcPr>
            <w:tcW w:type="dxa" w:w="311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trg_check_cooptation_completion_after_vote (NOUVEAU)</w:t>
            </w:r>
          </w:p>
        </w:tc>
        <w:tc>
          <w:tcPr>
            <w:tcW w:type="dxa" w:w="226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network_administrator_cooptation_votes</w:t>
            </w:r>
          </w:p>
        </w:tc>
        <w:tc>
          <w:tcPr>
            <w:tcW w:type="dxa" w:w="3969"/>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AFTER INSERT OR UPDATE (déclenche la complétion de cooptation à unanimité)</w:t>
            </w:r>
          </w:p>
        </w:tc>
      </w:tr>
      <w:tr>
        <w:tc>
          <w:tcPr>
            <w:tcW w:type="dxa" w:w="311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trg_cross_lib_log_critical_notification (NOUVEAU)</w:t>
            </w:r>
          </w:p>
        </w:tc>
        <w:tc>
          <w:tcPr>
            <w:tcW w:type="dxa" w:w="226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network_admin_cross_library_actions_log</w:t>
            </w:r>
          </w:p>
        </w:tc>
        <w:tc>
          <w:tcPr>
            <w:tcW w:type="dxa" w:w="3969"/>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AFTER INSERT (notifie les actions transverses critiques)</w:t>
            </w:r>
          </w:p>
        </w:tc>
      </w:tr>
      <w:tr>
        <w:tc>
          <w:tcPr>
            <w:tcW w:type="dxa" w:w="311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trg_library_requests_notify</w:t>
            </w:r>
          </w:p>
        </w:tc>
        <w:tc>
          <w:tcPr>
            <w:tcW w:type="dxa" w:w="226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library_requests</w:t>
            </w:r>
          </w:p>
        </w:tc>
        <w:tc>
          <w:tcPr>
            <w:tcW w:type="dxa" w:w="3969"/>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AFTER INSERT OR UPDATE OF request_status, review_notes (déjà documenté en v13 mais à reconfirmer)</w:t>
            </w:r>
          </w:p>
        </w:tc>
      </w:tr>
    </w:tbl>
    <w:p/>
    <w:p>
      <w:pPr>
        <w:spacing w:after="120" w:line="276" w:lineRule="auto"/>
      </w:pPr>
      <w:r>
        <w:rPr>
          <w:rFonts w:ascii="Calibri" w:hAnsi="Calibri"/>
          <w:b w:val="0"/>
          <w:i w:val="0"/>
          <w:sz w:val="22"/>
        </w:rPr>
        <w:t>La couche notification est désormais complète à l'exception du parcours de la couche profils d'adoption en frontend (les notifications partent backend, mais l'utilisateur final n'a pas encore d'écran de suivi des transitions en cours). Le pattern team_notification_outbox (paquet D.6bis documenté) consolide un fan-out central : un INSERT unique par event, résolution side-effect dans l'Edge Function notify-event qui lit le payload library_id. Helpers symétriques : fn_team_notify_event (events team.*) et fn_network_notify_event (events network.*). Cette architecture est saine et n'est pas un goulot d'étranglement à craindre.</w:t>
      </w:r>
    </w:p>
    <w:p>
      <w:pPr>
        <w:keepNext/>
        <w:spacing w:before="280" w:after="120"/>
      </w:pPr>
      <w:r>
        <w:rPr>
          <w:rFonts w:ascii="Calibri" w:hAnsi="Calibri"/>
          <w:b/>
          <w:sz w:val="36"/>
        </w:rPr>
        <w:t>8. La dette d'index et de policies : remise à zéro statistique, FK à instrumenter</w:t>
      </w:r>
    </w:p>
    <w:p>
      <w:pPr>
        <w:keepNext/>
        <w:spacing w:before="200" w:after="120"/>
      </w:pPr>
      <w:r>
        <w:rPr>
          <w:rFonts w:ascii="Calibri" w:hAnsi="Calibri"/>
          <w:b/>
          <w:sz w:val="28"/>
        </w:rPr>
        <w:t>8.1 Indexes — la remise à zéro statistique invalide la mesure v13</w:t>
      </w:r>
    </w:p>
    <w:p>
      <w:pPr>
        <w:spacing w:after="120" w:line="276" w:lineRule="auto"/>
      </w:pPr>
      <w:r>
        <w:rPr>
          <w:rFonts w:ascii="Calibri" w:hAnsi="Calibri"/>
          <w:b w:val="0"/>
          <w:i w:val="0"/>
          <w:sz w:val="22"/>
        </w:rPr>
        <w:t>La v13 mesurait 210 indexes dont 88 marqués inutilisés par les advisors. La v14 mesure 384 indexes, mais tous portent idx_scan = 0 dans pg_stat_user_indexes. C'est l'effet d'un reset des statistiques qu'on peut dater des migrations massives des 18-19 mai. Cette remise à zéro ne signifie pas que les indexes sont inutiles : elle signifie qu'aucune lecture n'a été enregistrée depuis le reset. La métrique d'utilisation des indexes ne sera de nouveau lisible qu'après plusieurs semaines d'usage réel, idéalement par les bibliothèques tierces visées par le projet.</w:t>
      </w:r>
    </w:p>
    <w:p>
      <w:pPr>
        <w:spacing w:after="120" w:line="276" w:lineRule="auto"/>
      </w:pPr>
      <w:r>
        <w:rPr>
          <w:rFonts w:ascii="Calibri" w:hAnsi="Calibri"/>
          <w:b w:val="0"/>
          <w:i w:val="0"/>
          <w:sz w:val="22"/>
        </w:rPr>
        <w:t>Le sur-indexage observé (deux indexes trigram lourds sur mv_books_catalog_list_network_v1 à 320 ko et 456 ko, plusieurs indexes trigram sur books, plusieurs indexes GIN sur library_circulation_policy_*_metadata) reste cohérent avec l'optimisation anticipée du catalogue public. La doctrine v13 (reset des statistiques après l'arrivée d'usagers tiers pour réévaluer) s'applique toujours, simplement avec une fenêtre repoussée à juin/juillet 2026.</w:t>
      </w:r>
    </w:p>
    <w:p>
      <w:pPr>
        <w:keepNext/>
        <w:spacing w:before="200" w:after="120"/>
      </w:pPr>
      <w:r>
        <w:rPr>
          <w:rFonts w:ascii="Calibri" w:hAnsi="Calibri"/>
          <w:b/>
          <w:sz w:val="28"/>
        </w:rPr>
        <w:t>8.2 Clés étrangères — chantier identifiable et borné</w:t>
      </w:r>
    </w:p>
    <w:p>
      <w:pPr>
        <w:spacing w:after="120" w:line="276" w:lineRule="auto"/>
      </w:pPr>
      <w:r>
        <w:rPr>
          <w:rFonts w:ascii="Calibri" w:hAnsi="Calibri"/>
          <w:b w:val="0"/>
          <w:i w:val="0"/>
          <w:sz w:val="22"/>
        </w:rPr>
        <w:t>L'inventaire des clés étrangères sans index supportant compte au moins 67 entrées visibles (sur 187 FK totales). La concentration est claire : la majorité concernent des colonnes d'audit qui pointent vers auth.users (created_by, updated_by, recorded_by, actor_user_id, target_user_id, proposed_by, cancelled_by, triggered_by_user_id, changed_by, unarchived_by). Les autres concernent surtout les tables ingest (5 FK), les tables auth.* internes (5 FK), les tables storage.* internes (2 FK), et quelques liens fonctionnels de circulation (emprestimo_itens_v2.reserva_id_fkey, emprestimo_itens_v2.return_scheduled_by_fkey, etc.).</w:t>
      </w:r>
    </w:p>
    <w:p>
      <w:pPr>
        <w:spacing w:after="120" w:line="276" w:lineRule="auto"/>
      </w:pPr>
      <w:r>
        <w:rPr>
          <w:rFonts w:ascii="Calibri" w:hAnsi="Calibri"/>
          <w:b w:val="0"/>
          <w:i w:val="0"/>
          <w:sz w:val="22"/>
        </w:rPr>
        <w:t>Ces FK sans index ne posent pas problème en lecture (qui passe par le pkey du côté pointé), mais peuvent dégrader DELETE et UPDATE en cascade. C'est un risque mesurable mais pas critique. Une seule migration de génération d'indexes en lot, sur les colonnes d'audit pointant vers auth.users, traiterait à elle seule probablement 40 des 67 entrées. Effort estimé : une demi-journée de rédaction de la migration, une nuit de surveillance après application.</w:t>
      </w:r>
    </w:p>
    <w:p>
      <w:pPr>
        <w:keepNext/>
        <w:spacing w:before="200" w:after="120"/>
      </w:pPr>
      <w:r>
        <w:rPr>
          <w:rFonts w:ascii="Calibri" w:hAnsi="Calibri"/>
          <w:b/>
          <w:sz w:val="28"/>
        </w:rPr>
        <w:t>8.3 Policies — 144 policies sur 100 tables RLS-actives</w:t>
      </w:r>
    </w:p>
    <w:p>
      <w:pPr>
        <w:spacing w:after="120" w:line="276" w:lineRule="auto"/>
      </w:pPr>
      <w:r>
        <w:rPr>
          <w:rFonts w:ascii="Calibri" w:hAnsi="Calibri"/>
          <w:b w:val="0"/>
          <w:i w:val="0"/>
          <w:sz w:val="22"/>
        </w:rPr>
        <w:t>La v13 mesurait 108 policies sur 82 tables. La v14 mesure 144 policies sur ≈100 tables (toutes les tables public sauf les 7 ingest qui ne le sont pas par décision, plus auth_rate_limits qui est en RLS sans policy par décision aussi). La densité moyenne est restée stable à environ 1,4 policy par table, ce qui est cohérent avec un modèle multi-rôles (lecture pour authenticated, lecture pour anon sur certaines tables publiques, écriture pour rôles bibliothèque).</w:t>
      </w:r>
    </w:p>
    <w:p>
      <w:pPr>
        <w:spacing w:after="120" w:line="276" w:lineRule="auto"/>
      </w:pPr>
      <w:r>
        <w:rPr>
          <w:rFonts w:ascii="Calibri" w:hAnsi="Calibri"/>
          <w:b w:val="0"/>
          <w:i w:val="0"/>
          <w:sz w:val="22"/>
        </w:rPr>
        <w:t>Le pattern dominant des policies v14, particulièrement net pour les nouvelles couches, est le couplage à api.my_access ou à un helper fn_library_*_mode. Cette convergence est saine : elle signifie que la politique de visibilité (qui voit quoi) est centralisée dans quelques helpers SECURITY DEFINER stables, plutôt que dispersée dans chaque policy. Le coût d'évolution est ainsi maintenu bas : modifier la sémantique de can_access_catalogacao met à jour automatiquement les policies de book_drafts, author_drafts, exemplar_drafts, catalog_batches, etc.</w:t>
      </w:r>
    </w:p>
    <w:p>
      <w:pPr>
        <w:keepNext/>
        <w:spacing w:before="280" w:after="120"/>
      </w:pPr>
      <w:r>
        <w:rPr>
          <w:rFonts w:ascii="Calibri" w:hAnsi="Calibri"/>
          <w:b/>
          <w:sz w:val="36"/>
        </w:rPr>
        <w:t>9. Doctrine v14 : ce que la cadence d'expansion change pour la fermeture</w:t>
      </w:r>
    </w:p>
    <w:p>
      <w:pPr>
        <w:spacing w:after="120" w:line="276" w:lineRule="auto"/>
      </w:pPr>
      <w:r>
        <w:rPr>
          <w:rFonts w:ascii="Calibri" w:hAnsi="Calibri"/>
          <w:b w:val="0"/>
          <w:i w:val="0"/>
          <w:sz w:val="22"/>
        </w:rPr>
        <w:t>La v14 ne propose pas de doctrine de rupture. Elle ajoute trois précisions doctrinales qui découlent directement de la mesure de la cadence v13 → v14.</w:t>
      </w:r>
    </w:p>
    <w:p>
      <w:pPr>
        <w:spacing w:after="120"/>
      </w:pPr>
      <w:r>
        <w:rPr>
          <w:sz w:val="22"/>
        </w:rPr>
        <w:t xml:space="preserve">— </w:t>
      </w:r>
      <w:r>
        <w:rPr>
          <w:b/>
          <w:sz w:val="22"/>
        </w:rPr>
        <w:t xml:space="preserve">Précision 1 : la fermeture backend ne suffit plus. </w:t>
      </w:r>
      <w:r>
        <w:rPr>
          <w:sz w:val="22"/>
        </w:rPr>
        <w:t>Le chantier consultation locale (séquence #2 v13) est désormais fermé backend. Le chantier admin réseau est livré backend ET frontend en même temps. Le chantier profils d'adoption est livré backend à 90 % mais frontend à 10 %. Cette divergence n'est pas neutre : tant qu'un chantier n'est pas accompagné en frontend, sa fermeture backend reste partielle pour les usagers réels. La doctrine v14 ajoute que toute future séquence d'exécution doit explicitement chiffrer les deux versants (backend + frontend) et ne considérer un chantier comme clos qu'à la jonction des deux. Cela ne signifie pas que les chantiers doivent attendre — la livraison incrémentale backend reste légitime — mais que la lecture chiffrée d'avancement doit refléter cette dualité.</w:t>
      </w:r>
    </w:p>
    <w:p>
      <w:pPr>
        <w:spacing w:after="120"/>
      </w:pPr>
      <w:r>
        <w:rPr>
          <w:sz w:val="22"/>
        </w:rPr>
        <w:t xml:space="preserve">— </w:t>
      </w:r>
      <w:r>
        <w:rPr>
          <w:b/>
          <w:sz w:val="22"/>
        </w:rPr>
        <w:t xml:space="preserve">Précision 2 : la dette SECURITY DEFINER n'est plus une dette globale, c'est une dette par famille. </w:t>
      </w:r>
      <w:r>
        <w:rPr>
          <w:sz w:val="22"/>
        </w:rPr>
        <w:t>La v13 envisageait un triage fonction par fonction (146 fonctions à examiner). La v14 mesure que cette approche n'est plus tenable à 250 fonctions et qu'elle ne le sera plus jamais. La doctrine v14 propose donc un cadre nouveau : classer les fonctions SECURITY DEFINER en trois catégories (« légitime par construction », « légitime par décision politique », « dette stricte »), traiter les deux premières comme acquises et documenter leur justification, ne durcir que la troisième. À la lecture v14, la dette stricte se réduit à environ 7 items isolés plus environ 67 clés étrangères sans index — soit un chantier bornable en deux semaines.</w:t>
      </w:r>
    </w:p>
    <w:p>
      <w:pPr>
        <w:spacing w:after="120"/>
      </w:pPr>
      <w:r>
        <w:rPr>
          <w:sz w:val="22"/>
        </w:rPr>
        <w:t xml:space="preserve">— </w:t>
      </w:r>
      <w:r>
        <w:rPr>
          <w:b/>
          <w:sz w:val="22"/>
        </w:rPr>
        <w:t xml:space="preserve">Précision 3 : la doctrine de création d'objets backend v2 du 18 mai est désormais la norme. </w:t>
      </w:r>
      <w:r>
        <w:rPr>
          <w:sz w:val="22"/>
        </w:rPr>
        <w:t>REVOKE étendu obligatoire (FROM PUBLIC, anon, authenticated, service_role) pour les fonctions privées. Triggers non-DEFINER appelant SECURITY DEFINER REVOKE-ed : patcher SECURITY DEFINER + search_path AVANT REVOKE. DO-block de vérification obligatoire. Hook git pré-commit bloque les violations (avec faux positif documenté sur SECURITY DEFINER en commentaires, à bypasser avec --no-verify). Cette doctrine est outillée et auto-vérifiée, elle ne demande plus de discipline individuelle pour être respectée. C'est l'aboutissement de la doctrine de lecture exacte v13 : la lecture exacte est devenue une exigence machine, pas seulement une exigence intellectuelle.</w:t>
      </w:r>
    </w:p>
    <w:p/>
    <w:tbl>
      <w:tblPr>
        <w:tblW w:type="auto" w:w="0"/>
        <w:tblLook w:firstColumn="1" w:firstRow="1" w:lastColumn="0" w:lastRow="0" w:noHBand="0" w:noVBand="1" w:val="04A0"/>
      </w:tblPr>
      <w:tblGrid>
        <w:gridCol w:w="9746"/>
      </w:tblGrid>
      <w:tr>
        <w:tc>
          <w:tcPr>
            <w:tcW w:type="dxa" w:w="9071"/>
            <w:shd w:val="clear" w:color="auto" w:fill="F4F1EA"/>
            <w:tcBorders>
              <w:top w:val="single" w:sz="6" w:color="C2B280"/>
              <w:left w:val="single" w:sz="6" w:color="C2B280"/>
              <w:bottom w:val="single" w:sz="6" w:color="C2B280"/>
              <w:right w:val="single" w:sz="6" w:color="C2B280"/>
            </w:tcBorders>
          </w:tcPr>
          <w:p>
            <w:pPr>
              <w:spacing w:after="0" w:line="288" w:lineRule="auto"/>
            </w:pPr>
            <w:r/>
            <w:r>
              <w:rPr>
                <w:b/>
                <w:sz w:val="21"/>
              </w:rPr>
              <w:t>Ajout doctrinal v14 :</w:t>
            </w:r>
            <w:r>
              <w:rPr>
                <w:sz w:val="21"/>
              </w:rPr>
              <w:t xml:space="preserve"> le primat de la concordance backend / frontend dans toute lecture chiffrée d'achèvement. La v13 disait que toute fermeture devait s'appuyer sur la lecture exacte du backend. La v14 ajoute que toute fermeture doit également s'appuyer sur la lecture exacte du frontend qui l'accompagne. Un chantier fermé backend dont le frontend ignore les RPC n'est pas un chantier fermé pour les usagers réels — il est un chantier en attente de jonction. Cette précision doctrinale modifie l'arbitrage des priorités : la séquence frontend PEB du backlog #PEB-1 doit être traitée avant l'ouverture de tout nouveau chantier backend de circulation, et le branchement frontal des profils d'adoption avant toute extension de leurs modes.</w:t>
            </w:r>
          </w:p>
        </w:tc>
      </w:tr>
    </w:tbl>
    <w:p>
      <w:pPr>
        <w:spacing w:after="0"/>
      </w:pPr>
    </w:p>
    <w:p/>
    <w:p/>
    <w:p>
      <w:pPr>
        <w:keepNext/>
        <w:spacing w:before="280" w:after="120"/>
      </w:pPr>
      <w:r>
        <w:rPr>
          <w:rFonts w:ascii="Calibri" w:hAnsi="Calibri"/>
          <w:b/>
          <w:sz w:val="36"/>
        </w:rPr>
        <w:t>9 bis. Acquis doctrinaux du chantier Biblioteca (21 mai 2026)</w:t>
      </w:r>
    </w:p>
    <w:p>
      <w:pPr>
        <w:spacing w:after="120" w:line="276" w:lineRule="auto"/>
      </w:pPr>
      <w:r>
        <w:rPr>
          <w:sz w:val="22"/>
        </w:rPr>
        <w:t>Cette section est un addendum à la v14, versé après la v14 mais avant la rédaction d’une v15 intégrante. Elle inscrit les acquis doctrinaux produits par le chantier-cadre Biblioteca, ouvert le 21 mai 2026 : un audit de parité fonctionnelle, qualitative et doctrinale de la page Biblioteca, conduit en dix étapes. Ce chantier est, par construction, un chantier de jonction backend / frontend — exactement le type d’avancement que la Précision 1 du chapitre 9 exigeait avant qu’une v15 puisse légitimement être produite. Les étapes livrées (EA-12 phase 1 notamment) réalisent la jonction frontend PEB que la formule de clôture v14 nommait comme condition. La présente section ne modifie pas la cartographie backend du corps de la v14, qui reste valide ; elle y ajoute trois acquis doctrinaux.</w:t>
      </w:r>
    </w:p>
    <w:p>
      <w:pPr>
        <w:keepNext/>
        <w:spacing w:before="200" w:after="120"/>
      </w:pPr>
      <w:r>
        <w:rPr>
          <w:rFonts w:ascii="Calibri" w:hAnsi="Calibri"/>
          <w:b/>
          <w:sz w:val="28"/>
        </w:rPr>
        <w:t>9 bis.1 Doctrine RPC v3 nuancée — doctrine transversale</w:t>
      </w:r>
    </w:p>
    <w:p>
      <w:pPr>
        <w:spacing w:after="120" w:line="276" w:lineRule="auto"/>
      </w:pPr>
      <w:r>
        <w:rPr>
          <w:sz w:val="22"/>
        </w:rPr>
        <w:t>La doctrine de création d’objets backend v2 du 18 mai (chapitre 9, Précision 3) portait sur la création côté base. Le chantier Biblioteca a fait émerger une question symétrique côté frontend : quand un composant React doit-il passer par une RPC, et quand peut-il interroger la base directement ? L’audit post-chantier #150 avait laissé planer une lecture maximaliste — tout passer par RPC. La doctrine RPC v3, actée le 21 mai, la nuance et la rend opérationnelle.</w:t>
      </w:r>
    </w:p>
    <w:p/>
    <w:tbl>
      <w:tblPr>
        <w:tblW w:type="auto" w:w="0"/>
        <w:tblLook w:firstColumn="1" w:firstRow="1" w:lastColumn="0" w:lastRow="0" w:noHBand="0" w:noVBand="1" w:val="04A0"/>
      </w:tblPr>
      <w:tblGrid>
        <w:gridCol w:w="9746"/>
      </w:tblGrid>
      <w:tr>
        <w:tc>
          <w:tcPr>
            <w:tcW w:type="dxa" w:w="9071"/>
            <w:shd w:val="clear" w:color="auto" w:fill="F4F1EA"/>
            <w:tcBorders>
              <w:top w:val="single" w:sz="6" w:color="C2B280"/>
              <w:left w:val="single" w:sz="6" w:color="C2B280"/>
              <w:bottom w:val="single" w:sz="6" w:color="C2B280"/>
              <w:right w:val="single" w:sz="6" w:color="C2B280"/>
            </w:tcBorders>
          </w:tcPr>
          <w:p>
            <w:pPr>
              <w:spacing w:after="80" w:line="288" w:lineRule="auto"/>
            </w:pPr>
            <w:r>
              <w:rPr>
                <w:b/>
                <w:sz w:val="21"/>
              </w:rPr>
              <w:t>Doctrine RPC v3 nuancée (actée 21/05/2026).</w:t>
            </w:r>
            <w:r>
              <w:rPr>
                <w:sz w:val="21"/>
              </w:rPr>
              <w:t xml:space="preserve"> Trois règles délimitent l’accès du frontend à la base.</w:t>
            </w:r>
          </w:p>
          <w:p>
            <w:pPr>
              <w:spacing w:after="80" w:line="288" w:lineRule="auto"/>
            </w:pPr>
            <w:r>
              <w:rPr>
                <w:b/>
                <w:sz w:val="21"/>
              </w:rPr>
              <w:t xml:space="preserve">(1) RPC obligatoire pour les actions DB. </w:t>
            </w:r>
            <w:r>
              <w:rPr>
                <w:sz w:val="21"/>
              </w:rPr>
              <w:t>Toute écriture (insert, update, delete), toute opération multi-tables, toute opération portant une validation métier passe impérativement par une RPC. Le frontend n’écrit jamais en base par appel direct.</w:t>
            </w:r>
          </w:p>
          <w:p>
            <w:pPr>
              <w:spacing w:after="80" w:line="288" w:lineRule="auto"/>
            </w:pPr>
            <w:r>
              <w:rPr>
                <w:b/>
                <w:sz w:val="21"/>
              </w:rPr>
              <w:t xml:space="preserve">(2) Lecture simple autorisée en accès direct. </w:t>
            </w:r>
            <w:r>
              <w:rPr>
                <w:sz w:val="21"/>
              </w:rPr>
              <w:t>Une lecture simple, protégée par une politique RLS, peut se faire par supabase.from() sans passer par une RPC. Alourdir les lectures triviales d’une couche RPC n’apporte aucune sécurité supplémentaire dès lors que la RLS filtre déjà.</w:t>
            </w:r>
          </w:p>
          <w:p>
            <w:pPr>
              <w:spacing w:after="80" w:line="288" w:lineRule="auto"/>
            </w:pPr>
            <w:r>
              <w:rPr>
                <w:b/>
                <w:sz w:val="21"/>
              </w:rPr>
              <w:t xml:space="preserve">(3) Storage hors périmètre. </w:t>
            </w:r>
            <w:r>
              <w:rPr>
                <w:sz w:val="21"/>
              </w:rPr>
              <w:t>supabase.storage.from() relève de l’API native de Storage : il est hors du périmètre de la doctrine RPC.</w:t>
            </w:r>
          </w:p>
          <w:p>
            <w:pPr>
              <w:spacing w:after="0" w:line="288" w:lineRule="auto"/>
            </w:pPr>
            <w:r>
              <w:rPr>
                <w:sz w:val="21"/>
              </w:rPr>
              <w:t>Cette doctrine est cohérente avec l’esprit post-#150 : concentrer l’effort de sécurité sur les opérations risquées plutôt que de ritualiser un passage par RPC sur des lectures sans enjeu. Le chantier Biblioteca l’a appliquée dès EA-08, EA-05 et EA-06 : lectures de configuration en accès direct, écritures par RPC dédiée.</w:t>
            </w:r>
          </w:p>
        </w:tc>
      </w:tr>
    </w:tbl>
    <w:p>
      <w:pPr>
        <w:spacing w:after="0"/>
      </w:pPr>
    </w:p>
    <w:p>
      <w:pPr>
        <w:keepNext/>
        <w:spacing w:before="200" w:after="120"/>
      </w:pPr>
      <w:r>
        <w:rPr>
          <w:rFonts w:ascii="Calibri" w:hAnsi="Calibri"/>
          <w:b/>
          <w:sz w:val="28"/>
        </w:rPr>
        <w:t>9 bis.2 Deux refontes tacites actées pour la traçabilité</w:t>
      </w:r>
    </w:p>
    <w:p>
      <w:pPr>
        <w:spacing w:after="120" w:line="276" w:lineRule="auto"/>
      </w:pPr>
      <w:r>
        <w:rPr>
          <w:sz w:val="22"/>
        </w:rPr>
        <w:t>Les deux points qui suivent ne sont pas des doctrines transversales : ce sont des décisions de produit déjà en production, validées par l’usage, mais qui n’avaient jamais été inscrites dans une spécification. Le chantier Biblioteca les a identifiées comme écarts de traçabilité (EA-04 et EA-18). Les acter ici clôt l’écart : la décision n’est plus tacite, elle est écrite.</w:t>
      </w:r>
    </w:p>
    <w:p>
      <w:pPr>
        <w:spacing w:after="120" w:line="276" w:lineRule="auto"/>
      </w:pPr>
      <w:r>
        <w:rPr>
          <w:b/>
          <w:sz w:val="22"/>
        </w:rPr>
        <w:t xml:space="preserve">EA-04 — négociation symétrique des créneaux. </w:t>
      </w:r>
      <w:r>
        <w:rPr>
          <w:sz w:val="22"/>
        </w:rPr>
        <w:t>Le patch du 8 mai a introduit, dans l’onglet de communication de la page Biblioteca, un paquet de négociation symétrique des créneaux : l’une et l’autre des deux bibliothèques peuvent proposer un créneau, avec un délai de réponse de 7 à 60 jours. Le HTML d’origine ne portait rien d’équivalent. C’est une refonte politique implicite — le passage d’une logique asymétrique à une logique symétrique des réservations entre bibliothèques. La décision actée : cette refonte est validée par l’usage en production ; la doctrine de symétrie des réservations est explicitée ici comme acquise.</w:t>
      </w:r>
    </w:p>
    <w:p>
      <w:pPr>
        <w:spacing w:after="120" w:line="276" w:lineRule="auto"/>
      </w:pPr>
      <w:r>
        <w:rPr>
          <w:b/>
          <w:sz w:val="22"/>
        </w:rPr>
        <w:t xml:space="preserve">EA-18 — deux onglets en refonte tacite. </w:t>
      </w:r>
      <w:r>
        <w:rPr>
          <w:sz w:val="22"/>
        </w:rPr>
        <w:t>Deux onglets de la page Biblioteca ont évolué sans que la spécification correspondante soit mise à jour. L’onglet identité est passé d’un paradigme de lecture à un paradigme d’édition. L’onglet de communication est passé d’une grille clé-valeur à quatre sous-sections structurées, dont le paquet 3A de négociation symétrique mentionné ci-dessus. Ces deux refontes sont validées par l’usage en production. La décision actée : elles sont inscrites ici comme « refontes validées par l’usage », en attendant leur report dans une spécification dédiée à la page Biblioteca, à créer.</w:t>
      </w:r>
    </w:p>
    <w:p/>
    <w:p>
      <w:pPr>
        <w:keepNext/>
        <w:spacing w:before="280" w:after="120"/>
      </w:pPr>
      <w:r>
        <w:rPr>
          <w:rFonts w:ascii="Calibri" w:hAnsi="Calibri"/>
          <w:b/>
          <w:sz w:val="36"/>
        </w:rPr>
        <w:t>10. Ordre d'exécution impératif v14</w:t>
      </w:r>
    </w:p>
    <w:p>
      <w:pPr>
        <w:spacing w:after="120" w:line="276" w:lineRule="auto"/>
      </w:pPr>
      <w:r>
        <w:rPr>
          <w:rFonts w:ascii="Calibri" w:hAnsi="Calibri"/>
          <w:b w:val="0"/>
          <w:i w:val="0"/>
          <w:sz w:val="22"/>
        </w:rPr>
        <w:t>L'ordre v14 réordonne quatre séquences à la lumière de la lecture v14. Les séquences strictement backend rétrogradent ; les séquences de jonction frontend remontent. La séquence #2 v13 (consultation locale) sort du tableau, fermée à environ 95 % comme indiqué au chapitre 6.</w:t>
      </w:r>
    </w:p>
    <w:tbl>
      <w:tblPr>
        <w:tblW w:type="auto" w:w="0"/>
        <w:jc w:val="center"/>
        <w:tblLook w:firstColumn="1" w:firstRow="1" w:lastColumn="0" w:lastRow="0" w:noHBand="0" w:noVBand="1" w:val="04A0"/>
      </w:tblPr>
      <w:tblGrid>
        <w:gridCol w:w="2436"/>
        <w:gridCol w:w="2436"/>
        <w:gridCol w:w="2436"/>
        <w:gridCol w:w="2436"/>
      </w:tblGrid>
      <w:tr>
        <w:tc>
          <w:tcPr>
            <w:tcW w:type="dxa" w:w="397"/>
            <w:shd w:val="clear" w:color="auto" w:fill="E8EAF0"/>
            <w:tcBorders>
              <w:top w:val="single" w:sz="4" w:color="999999"/>
              <w:left w:val="single" w:sz="4" w:color="999999"/>
              <w:bottom w:val="single" w:sz="4" w:color="999999"/>
              <w:right w:val="single" w:sz="4" w:color="999999"/>
            </w:tcBorders>
            <w:vAlign w:val="top"/>
          </w:tcPr>
          <w:p>
            <w:pPr>
              <w:spacing w:before="40" w:after="40"/>
            </w:pPr>
            <w:r/>
            <w:r>
              <w:rPr>
                <w:rFonts w:ascii="Calibri" w:hAnsi="Calibri"/>
                <w:b/>
                <w:sz w:val="20"/>
              </w:rPr>
              <w:t>#</w:t>
            </w:r>
          </w:p>
        </w:tc>
        <w:tc>
          <w:tcPr>
            <w:tcW w:type="dxa" w:w="2835"/>
            <w:shd w:val="clear" w:color="auto" w:fill="E8EAF0"/>
            <w:tcBorders>
              <w:top w:val="single" w:sz="4" w:color="999999"/>
              <w:left w:val="single" w:sz="4" w:color="999999"/>
              <w:bottom w:val="single" w:sz="4" w:color="999999"/>
              <w:right w:val="single" w:sz="4" w:color="999999"/>
            </w:tcBorders>
            <w:vAlign w:val="top"/>
          </w:tcPr>
          <w:p>
            <w:pPr>
              <w:spacing w:before="40" w:after="40"/>
            </w:pPr>
            <w:r/>
            <w:r>
              <w:rPr>
                <w:rFonts w:ascii="Calibri" w:hAnsi="Calibri"/>
                <w:b/>
                <w:sz w:val="20"/>
              </w:rPr>
              <w:t>Séquence</w:t>
            </w:r>
          </w:p>
        </w:tc>
        <w:tc>
          <w:tcPr>
            <w:tcW w:type="dxa" w:w="1984"/>
            <w:shd w:val="clear" w:color="auto" w:fill="E8EAF0"/>
            <w:tcBorders>
              <w:top w:val="single" w:sz="4" w:color="999999"/>
              <w:left w:val="single" w:sz="4" w:color="999999"/>
              <w:bottom w:val="single" w:sz="4" w:color="999999"/>
              <w:right w:val="single" w:sz="4" w:color="999999"/>
            </w:tcBorders>
            <w:vAlign w:val="top"/>
          </w:tcPr>
          <w:p>
            <w:pPr>
              <w:spacing w:before="40" w:after="40"/>
            </w:pPr>
            <w:r/>
            <w:r>
              <w:rPr>
                <w:rFonts w:ascii="Calibri" w:hAnsi="Calibri"/>
                <w:b/>
                <w:sz w:val="20"/>
              </w:rPr>
              <w:t>Statut v14</w:t>
            </w:r>
          </w:p>
        </w:tc>
        <w:tc>
          <w:tcPr>
            <w:tcW w:type="dxa" w:w="4139"/>
            <w:shd w:val="clear" w:color="auto" w:fill="E8EAF0"/>
            <w:tcBorders>
              <w:top w:val="single" w:sz="4" w:color="999999"/>
              <w:left w:val="single" w:sz="4" w:color="999999"/>
              <w:bottom w:val="single" w:sz="4" w:color="999999"/>
              <w:right w:val="single" w:sz="4" w:color="999999"/>
            </w:tcBorders>
            <w:vAlign w:val="top"/>
          </w:tcPr>
          <w:p>
            <w:pPr>
              <w:spacing w:before="40" w:after="40"/>
            </w:pPr>
            <w:r/>
            <w:r>
              <w:rPr>
                <w:rFonts w:ascii="Calibri" w:hAnsi="Calibri"/>
                <w:b/>
                <w:sz w:val="20"/>
              </w:rPr>
              <w:t>Sortie attendue / vigilance</w:t>
            </w:r>
          </w:p>
        </w:tc>
      </w:tr>
      <w:tr>
        <w:tc>
          <w:tcPr>
            <w:tcW w:type="dxa" w:w="397"/>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0</w:t>
            </w:r>
          </w:p>
        </w:tc>
        <w:tc>
          <w:tcPr>
            <w:tcW w:type="dxa" w:w="2835"/>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Doctrine, sécurité, nomenclature et vocabulaire</w:t>
            </w:r>
          </w:p>
        </w:tc>
        <w:tc>
          <w:tcPr>
            <w:tcW w:type="dxa" w:w="198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Renforcée par doctrine v2 du 18/05</w:t>
            </w:r>
          </w:p>
        </w:tc>
        <w:tc>
          <w:tcPr>
            <w:tcW w:type="dxa" w:w="4139"/>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Maintenir tous les invariants. Aucun pivot doctrinal rouvert.</w:t>
            </w:r>
          </w:p>
        </w:tc>
      </w:tr>
      <w:tr>
        <w:tc>
          <w:tcPr>
            <w:tcW w:type="dxa" w:w="397"/>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1</w:t>
            </w:r>
          </w:p>
        </w:tc>
        <w:tc>
          <w:tcPr>
            <w:tcW w:type="dxa" w:w="2835"/>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Jonction frontend PEB (chantier #PEB-1)</w:t>
            </w:r>
          </w:p>
        </w:tc>
        <w:tc>
          <w:tcPr>
            <w:tcW w:type="dxa" w:w="198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PRIORITAIRE — backend triple-défense fermé, frontend BibliotecaPage encore en .from() direct</w:t>
            </w:r>
          </w:p>
        </w:tc>
        <w:tc>
          <w:tcPr>
            <w:tcW w:type="dxa" w:w="4139"/>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Câbler les trois RPC api.fn_peb_authorized / fn_peb_check_create / fn_peb_check_renew dans le panel BTL. 3 à 5 heures. Cf. CHANTIER_peb_frontend_diagnostic_2026-05-19.md</w:t>
            </w:r>
          </w:p>
        </w:tc>
      </w:tr>
      <w:tr>
        <w:tc>
          <w:tcPr>
            <w:tcW w:type="dxa" w:w="397"/>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2</w:t>
            </w:r>
          </w:p>
        </w:tc>
        <w:tc>
          <w:tcPr>
            <w:tcW w:type="dxa" w:w="2835"/>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Jonction frontend profils d'adoption (paquet E + F du chantier #98)</w:t>
            </w:r>
          </w:p>
        </w:tc>
        <w:tc>
          <w:tcPr>
            <w:tcW w:type="dxa" w:w="198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Prioritaire — backend livré, frontend painel adaptatif inexistant</w:t>
            </w:r>
          </w:p>
        </w:tc>
        <w:tc>
          <w:tcPr>
            <w:tcW w:type="dxa" w:w="4139"/>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Rendre les onglets painel adaptatifs selon catalog_mode, circulation_mode, network_mode, governance_mode. Refondre l'onboarding pour proposer un profil par défaut. ≈5 jours.</w:t>
            </w:r>
          </w:p>
        </w:tc>
      </w:tr>
      <w:tr>
        <w:tc>
          <w:tcPr>
            <w:tcW w:type="dxa" w:w="397"/>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3</w:t>
            </w:r>
          </w:p>
        </w:tc>
        <w:tc>
          <w:tcPr>
            <w:tcW w:type="dxa" w:w="2835"/>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Durcissement de la dette stricte (7 items + indexes FK)</w:t>
            </w:r>
          </w:p>
        </w:tc>
        <w:tc>
          <w:tcPr>
            <w:tcW w:type="dxa" w:w="198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Bornable, planifiable en lot</w:t>
            </w:r>
          </w:p>
        </w:tc>
        <w:tc>
          <w:tcPr>
            <w:tcW w:type="dxa" w:w="4139"/>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Wrapper v_active_memberships ; api.library_email_identity → INVOKER ; SET search_path sur fn_block_lph_modification ; restreindre policies SELECT sur 2 buckets storage ; clarifier statut des 5 vues v_author_alias_* et v_terra_livre_* ; migration d'indexes de support FK (≈67 FK).</w:t>
            </w:r>
          </w:p>
        </w:tc>
      </w:tr>
      <w:tr>
        <w:tc>
          <w:tcPr>
            <w:tcW w:type="dxa" w:w="397"/>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4</w:t>
            </w:r>
          </w:p>
        </w:tc>
        <w:tc>
          <w:tcPr>
            <w:tcW w:type="dxa" w:w="2835"/>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Migration mail Brevo → Resend (#110 backlog)</w:t>
            </w:r>
          </w:p>
        </w:tc>
        <w:tc>
          <w:tcPr>
            <w:tcW w:type="dxa" w:w="198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En attente</w:t>
            </w:r>
          </w:p>
        </w:tc>
        <w:tc>
          <w:tcPr>
            <w:tcW w:type="dxa" w:w="4139"/>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Décision politique tracée (Brevo tracké via sendibt3.com inaccessible aux usagers VPN). Implémentation à reprendre après séquences #1 et #2.</w:t>
            </w:r>
          </w:p>
        </w:tc>
      </w:tr>
      <w:tr>
        <w:tc>
          <w:tcPr>
            <w:tcW w:type="dxa" w:w="397"/>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5</w:t>
            </w:r>
          </w:p>
        </w:tc>
        <w:tc>
          <w:tcPr>
            <w:tcW w:type="dxa" w:w="2835"/>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Gestion cotisations frontend (#33 backlog)</w:t>
            </w:r>
          </w:p>
        </w:tc>
        <w:tc>
          <w:tcPr>
            <w:tcW w:type="dxa" w:w="198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Backend prêt, frontend à compléter</w:t>
            </w:r>
          </w:p>
        </w:tc>
        <w:tc>
          <w:tcPr>
            <w:tcW w:type="dxa" w:w="4139"/>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Composant TeamPanel à enrichir, parcours lecteur·rice·x à exposer.</w:t>
            </w:r>
          </w:p>
        </w:tc>
      </w:tr>
      <w:tr>
        <w:tc>
          <w:tcPr>
            <w:tcW w:type="dxa" w:w="397"/>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6</w:t>
            </w:r>
          </w:p>
        </w:tc>
        <w:tc>
          <w:tcPr>
            <w:tcW w:type="dxa" w:w="2835"/>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Onboarding CIRA Marseille (#36 backlog)</w:t>
            </w:r>
          </w:p>
        </w:tc>
        <w:tc>
          <w:tcPr>
            <w:tcW w:type="dxa" w:w="198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Conditionné par #1, #2 et #4</w:t>
            </w:r>
          </w:p>
        </w:tc>
        <w:tc>
          <w:tcPr>
            <w:tcW w:type="dxa" w:w="4139"/>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Première bibliothèque tierce à activer après fermeture des trois séquences précédentes.</w:t>
            </w:r>
          </w:p>
        </w:tc>
      </w:tr>
      <w:tr>
        <w:tc>
          <w:tcPr>
            <w:tcW w:type="dxa" w:w="397"/>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7</w:t>
            </w:r>
          </w:p>
        </w:tc>
        <w:tc>
          <w:tcPr>
            <w:tcW w:type="dxa" w:w="2835"/>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RBAC catalogação (#79 backlog, 12 sous-items)</w:t>
            </w:r>
          </w:p>
        </w:tc>
        <w:tc>
          <w:tcPr>
            <w:tcW w:type="dxa" w:w="198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Non urgent</w:t>
            </w:r>
          </w:p>
        </w:tc>
        <w:tc>
          <w:tcPr>
            <w:tcW w:type="dxa" w:w="4139"/>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Granularité de rôle dans la catalogação. Conserver SECURITY DEFINER, ajouter contrôles fins en début de fonction.</w:t>
            </w:r>
          </w:p>
        </w:tc>
      </w:tr>
      <w:tr>
        <w:tc>
          <w:tcPr>
            <w:tcW w:type="dxa" w:w="397"/>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8</w:t>
            </w:r>
          </w:p>
        </w:tc>
        <w:tc>
          <w:tcPr>
            <w:tcW w:type="dxa" w:w="2835"/>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Audit i18n des 6 locales</w:t>
            </w:r>
          </w:p>
        </w:tc>
        <w:tc>
          <w:tcPr>
            <w:tcW w:type="dxa" w:w="198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Permanent</w:t>
            </w:r>
          </w:p>
        </w:tc>
        <w:tc>
          <w:tcPr>
            <w:tcW w:type="dxa" w:w="4139"/>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Vérifier que les 360 strings militantes du chantier B.3 (consultation) + les ≈360 strings du chantier transitions profils sont complètes.</w:t>
            </w:r>
          </w:p>
        </w:tc>
      </w:tr>
      <w:tr>
        <w:tc>
          <w:tcPr>
            <w:tcW w:type="dxa" w:w="397"/>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9</w:t>
            </w:r>
          </w:p>
        </w:tc>
        <w:tc>
          <w:tcPr>
            <w:tcW w:type="dxa" w:w="2835"/>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Préparation pilotée des imports partenaires et lot pilote BTL</w:t>
            </w:r>
          </w:p>
        </w:tc>
        <w:tc>
          <w:tcPr>
            <w:tcW w:type="dxa" w:w="198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Reste conditionnelle</w:t>
            </w:r>
          </w:p>
        </w:tc>
        <w:tc>
          <w:tcPr>
            <w:tcW w:type="dxa" w:w="4139"/>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Avancer sur base de contrats stables, sans confondre import et fédération.</w:t>
            </w:r>
          </w:p>
        </w:tc>
      </w:tr>
      <w:tr>
        <w:tc>
          <w:tcPr>
            <w:tcW w:type="dxa" w:w="397"/>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10</w:t>
            </w:r>
          </w:p>
        </w:tc>
        <w:tc>
          <w:tcPr>
            <w:tcW w:type="dxa" w:w="2835"/>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Diffusion multilingue et adoption élargie</w:t>
            </w:r>
          </w:p>
        </w:tc>
        <w:tc>
          <w:tcPr>
            <w:tcW w:type="dxa" w:w="198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Activable après #6</w:t>
            </w:r>
          </w:p>
        </w:tc>
        <w:tc>
          <w:tcPr>
            <w:tcW w:type="dxa" w:w="4139"/>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Compléter les strings manquantes, retirer les orphelines, rétablir la parité pt-BR.</w:t>
            </w:r>
          </w:p>
        </w:tc>
      </w:tr>
    </w:tbl>
    <w:p/>
    <w:p>
      <w:pPr>
        <w:keepNext/>
        <w:spacing w:before="280" w:after="120"/>
      </w:pPr>
      <w:r>
        <w:rPr>
          <w:rFonts w:ascii="Calibri" w:hAnsi="Calibri"/>
          <w:b/>
          <w:sz w:val="36"/>
        </w:rPr>
        <w:t>11. Registre des invariants, lignes rouges et arbitrages</w:t>
      </w:r>
    </w:p>
    <w:p>
      <w:pPr>
        <w:spacing w:after="80" w:line="276" w:lineRule="auto"/>
      </w:pPr>
      <w:r>
        <w:rPr>
          <w:rFonts w:ascii="Calibri" w:hAnsi="Calibri"/>
          <w:b w:val="0"/>
          <w:i w:val="0"/>
          <w:sz w:val="22"/>
        </w:rPr>
        <w:t>La v14 ne lève aucune ligne rouge. Elle en ajoute deux, propres au régime de divergence backend / frontend et à la dimension de cotisations.</w:t>
      </w:r>
    </w:p>
    <w:p>
      <w:pPr>
        <w:spacing w:after="80" w:line="276" w:lineRule="auto"/>
      </w:pPr>
      <w:r>
        <w:rPr>
          <w:rFonts w:ascii="Calibri" w:hAnsi="Calibri"/>
          <w:b/>
          <w:i w:val="0"/>
          <w:sz w:val="22"/>
        </w:rPr>
        <w:t>Lignes rouges maintenues (v13 + v14)</w:t>
      </w:r>
    </w:p>
    <w:p>
      <w:pPr>
        <w:spacing w:after="40"/>
        <w:ind w:left="340"/>
      </w:pPr>
      <w:r>
        <w:rPr>
          <w:sz w:val="22"/>
        </w:rPr>
        <w:t>— Patchs minimaux, localisés, réversibles, à partir des fichiers canoniques exacts.</w:t>
      </w:r>
    </w:p>
    <w:p>
      <w:pPr>
        <w:spacing w:after="40"/>
        <w:ind w:left="340"/>
      </w:pPr>
      <w:r>
        <w:rPr>
          <w:sz w:val="22"/>
        </w:rPr>
        <w:t>— Pas de logique localiste sous habillage réseau.</w:t>
      </w:r>
    </w:p>
    <w:p>
      <w:pPr>
        <w:spacing w:after="40"/>
        <w:ind w:left="340"/>
      </w:pPr>
      <w:r>
        <w:rPr>
          <w:sz w:val="22"/>
        </w:rPr>
        <w:t>— Pas de confusion entre matérialisation et fermeture de couche.</w:t>
      </w:r>
    </w:p>
    <w:p>
      <w:pPr>
        <w:spacing w:after="40"/>
        <w:ind w:left="340"/>
      </w:pPr>
      <w:r>
        <w:rPr>
          <w:sz w:val="22"/>
        </w:rPr>
        <w:t>— Pas de confusion entre montée du parc Edge Functions et fermeture de la refonte mails.</w:t>
      </w:r>
    </w:p>
    <w:p>
      <w:pPr>
        <w:spacing w:after="40"/>
        <w:ind w:left="340"/>
      </w:pPr>
      <w:r>
        <w:rPr>
          <w:sz w:val="22"/>
        </w:rPr>
        <w:t>— Pas de catalogação absorbant silencieusement la complexité réseau.</w:t>
      </w:r>
    </w:p>
    <w:p>
      <w:pPr>
        <w:spacing w:after="40"/>
        <w:ind w:left="340"/>
      </w:pPr>
      <w:r>
        <w:rPr>
          <w:sz w:val="22"/>
        </w:rPr>
        <w:t>— Aucune migration sans palier réversible.</w:t>
      </w:r>
    </w:p>
    <w:p>
      <w:pPr>
        <w:spacing w:after="40"/>
        <w:ind w:left="340"/>
      </w:pPr>
      <w:r>
        <w:rPr>
          <w:sz w:val="22"/>
        </w:rPr>
        <w:t>— Aucun déploiement Edge Function non rétro-compatible.</w:t>
      </w:r>
    </w:p>
    <w:p>
      <w:pPr>
        <w:spacing w:after="40"/>
        <w:ind w:left="340"/>
      </w:pPr>
      <w:r>
        <w:rPr>
          <w:sz w:val="22"/>
        </w:rPr>
        <w:t>— Aucun chantier nouveau ouvert au prétexte que le système est encore observé seul.</w:t>
      </w:r>
    </w:p>
    <w:p>
      <w:pPr>
        <w:spacing w:after="40"/>
        <w:ind w:left="340"/>
      </w:pPr>
      <w:r>
        <w:rPr>
          <w:sz w:val="22"/>
        </w:rPr>
        <w:t>— Aucune décision d'infrastructure sans lecture politique.</w:t>
      </w:r>
    </w:p>
    <w:p>
      <w:pPr>
        <w:spacing w:after="40"/>
        <w:ind w:left="340"/>
      </w:pPr>
      <w:r>
        <w:rPr>
          <w:sz w:val="22"/>
        </w:rPr>
        <w:t>— Aucune chaîne de texte hardcodée ajoutée, dans aucune langue.</w:t>
      </w:r>
    </w:p>
    <w:p>
      <w:pPr>
        <w:spacing w:after="40"/>
        <w:ind w:left="340"/>
      </w:pPr>
      <w:r>
        <w:rPr>
          <w:sz w:val="22"/>
        </w:rPr>
        <w:t>— Aucun durcissement de sécurité sans lecture du dump à jour (ligne rouge v13).</w:t>
      </w:r>
    </w:p>
    <w:p>
      <w:pPr>
        <w:spacing w:after="80" w:line="276" w:lineRule="auto"/>
      </w:pPr>
      <w:r>
        <w:rPr>
          <w:rFonts w:ascii="Calibri" w:hAnsi="Calibri"/>
          <w:b/>
          <w:i w:val="0"/>
          <w:sz w:val="22"/>
        </w:rPr>
        <w:t>Lignes rouges nouvelles, propres à v14</w:t>
      </w:r>
    </w:p>
    <w:p>
      <w:pPr>
        <w:spacing w:after="120"/>
        <w:ind w:left="340"/>
      </w:pPr>
      <w:r>
        <w:rPr>
          <w:sz w:val="22"/>
        </w:rPr>
        <w:t xml:space="preserve">— </w:t>
      </w:r>
      <w:r>
        <w:rPr>
          <w:b/>
          <w:sz w:val="22"/>
        </w:rPr>
        <w:t xml:space="preserve">Aucune fermeture de chantier déclarée close avant audit frontend explicite. </w:t>
      </w:r>
      <w:r>
        <w:rPr>
          <w:sz w:val="22"/>
        </w:rPr>
        <w:t>Un chantier dont les RPC backend ne sont pas appelées par le frontend correspondant n'est pas un chantier fermé : c'est un chantier en attente de jonction. La doctrine v14 (Précision 1) interdit de reporter un chantier dans la colonne « bouclé » d'un backlog sans avoir vérifié que le frontend l'utilise. Cas exemplaire : la triple-défense PEB backend est fermée, le frontend BibliotecaPage ne l'appelle pas — donc le chantier PEB reste ouvert.</w:t>
      </w:r>
    </w:p>
    <w:p>
      <w:pPr>
        <w:spacing w:after="120"/>
        <w:ind w:left="340"/>
      </w:pPr>
      <w:r>
        <w:rPr>
          <w:sz w:val="22"/>
        </w:rPr>
        <w:t xml:space="preserve">— </w:t>
      </w:r>
      <w:r>
        <w:rPr>
          <w:b/>
          <w:sz w:val="22"/>
        </w:rPr>
        <w:t xml:space="preserve">Aucun helper SECURITY DEFINER exposé à anon sans justification politique écrite. </w:t>
      </w:r>
      <w:r>
        <w:rPr>
          <w:sz w:val="22"/>
        </w:rPr>
        <w:t>Les 24 fonctions WARN anon SECURITY DEFINER de v14 doivent toutes être documentées par un commentaire SQL explicite (« exposé à anon par décision politique pour ... »). Cette ligne rouge protège contre la dérive technique : un helper anon exposé sans raison politique nommée est un risque de fuite déguisé en commodité de développement.</w:t>
      </w:r>
    </w:p>
    <w:p>
      <w:pPr>
        <w:spacing w:after="80" w:line="276" w:lineRule="auto"/>
      </w:pPr>
      <w:r>
        <w:rPr>
          <w:rFonts w:ascii="Calibri" w:hAnsi="Calibri"/>
          <w:b/>
          <w:i w:val="0"/>
          <w:sz w:val="22"/>
        </w:rPr>
        <w:t>Arbitrages devenus pressants</w:t>
      </w:r>
    </w:p>
    <w:p>
      <w:pPr>
        <w:spacing w:after="80"/>
        <w:ind w:left="340"/>
      </w:pPr>
      <w:r>
        <w:rPr>
          <w:sz w:val="22"/>
        </w:rPr>
        <w:t>— Quel ordre exact entre la jonction frontend PEB (séquence #1) et la jonction frontend profils d'adoption (séquence #2) ? Les deux sont prioritaires, le premier est plus court (3-5h) mais le second a un effet de levier plus important (déverrouille la séquence #6).</w:t>
      </w:r>
    </w:p>
    <w:p>
      <w:pPr>
        <w:spacing w:after="80"/>
        <w:ind w:left="340"/>
      </w:pPr>
      <w:r>
        <w:rPr>
          <w:sz w:val="22"/>
        </w:rPr>
        <w:t>— Faut-il déclencher la première activation tierce (CIRA Marseille, #36 backlog) avant ou après la fermeture complète des séquences #1, #2 et #4 ? L'expérience BTL et BLMF en production sans plainte suggère que l'activation peut avoir lieu après #1 et #2, sans attendre #4.</w:t>
      </w:r>
    </w:p>
    <w:p>
      <w:pPr>
        <w:spacing w:after="80"/>
        <w:ind w:left="340"/>
      </w:pPr>
      <w:r>
        <w:rPr>
          <w:sz w:val="22"/>
        </w:rPr>
        <w:t>— La vue v_active_memberships demande un traitement de bascule particulier — wrapper api en INVOKER, ou abandon au profit d'une RPC SECURITY DEFINER api.fn_get_my_active_membership avec contrôle d'identité ? La seconde option est plus propre architecturalement mais demande plus de refactoring frontend.</w:t>
      </w:r>
    </w:p>
    <w:p>
      <w:pPr>
        <w:spacing w:after="80"/>
        <w:ind w:left="340"/>
      </w:pPr>
      <w:r>
        <w:rPr>
          <w:sz w:val="22"/>
        </w:rPr>
        <w:t>— Le hook git pré-commit produit un faux positif sur SECURITY DEFINER en commentaires (item #80 du backlog). Faut-il l'améliorer ou maintenir l'usage de --no-verify documenté ?</w:t>
      </w:r>
    </w:p>
    <w:p>
      <w:pPr>
        <w:keepNext/>
        <w:spacing w:before="280" w:after="120"/>
      </w:pPr>
      <w:r>
        <w:rPr>
          <w:rFonts w:ascii="Calibri" w:hAnsi="Calibri"/>
          <w:b/>
          <w:sz w:val="36"/>
        </w:rPr>
        <w:t>12. Formule de clôture</w:t>
      </w:r>
    </w:p>
    <w:p>
      <w:pPr>
        <w:spacing w:after="120" w:line="276" w:lineRule="auto"/>
      </w:pPr>
      <w:r>
        <w:rPr>
          <w:rFonts w:ascii="Calibri" w:hAnsi="Calibri"/>
          <w:b w:val="0"/>
          <w:i w:val="0"/>
          <w:sz w:val="22"/>
        </w:rPr>
        <w:t>La v9.7 avait posé la colonne vertébrale stratégique. La v10 avait constaté qu'elle portait du volume. La v11 avait dit qu'elle s'était mise debout. La v12 avait dit qu'elle parlait désormais d'une voix politique alignée. La v13 avait dit qu'elle était lisible exactement, dans son anatomie complète. La v14 doit dire encore autre chose : la colonne vertébrale a poussé trois membres nouveaux (profils d'adoption, admin réseau, gouvernance staff), et il faut désormais que ces membres soient câblés au système nerveux frontal pour que les usagers réels puissent les utiliser.</w:t>
      </w:r>
    </w:p>
    <w:p>
      <w:pPr>
        <w:spacing w:after="120" w:line="276" w:lineRule="auto"/>
      </w:pPr>
      <w:r>
        <w:rPr>
          <w:rFonts w:ascii="Calibri" w:hAnsi="Calibri"/>
          <w:b w:val="0"/>
          <w:i w:val="0"/>
          <w:sz w:val="22"/>
        </w:rPr>
        <w:t>Cette dualité est ce que la v14 mesure pour la première fois. Le backend continue de croître à une cadence soutenue (+82 fonctions en dix-neuf jours), parce que c'est là que se joue la précision politique d'AnarBib : profils d'adoption à quatre axes orthogonaux, cooptation d'admin réseau à l'unanimité avec carence, gouvernance staff avec audit immuable, cotisations avec validité computée. Mais cette précision politique exige désormais sa contrepartie frontale : un usager ne participe pas à la cooptation par RPC, il y participe par interface. Un lecteur·rice·x ne consulte pas le profil d'adoption d'une bibliothèque par requête SQL, il le lit dans la page de la bibliothèque.</w:t>
      </w:r>
    </w:p>
    <w:p>
      <w:pPr>
        <w:spacing w:after="120" w:line="276" w:lineRule="auto"/>
      </w:pPr>
      <w:r>
        <w:rPr>
          <w:rFonts w:ascii="Calibri" w:hAnsi="Calibri"/>
          <w:b w:val="0"/>
          <w:i w:val="0"/>
          <w:sz w:val="22"/>
        </w:rPr>
        <w:t>La conclusion juste n'est ni l'enthousiasme prématuré (le backend est mature, mais le frontend a pris du retard sur trois paliers) ni la prudence paralysante (chacun des écarts est identifié, mesurable, planifiable, et la fenêtre stratégique reste ouverte). Elle est plus exigeante : AnarBib doit désormais cesser temporairement d'ajouter des paliers backend, et consacrer les semaines qui viennent à câbler ce qui a été posé. La doctrine de pilotage à la fonction près (v13) se précise en doctrine de jonction (v14) : aucune fermeture sans accompagnement frontal explicite, aucune lecture chiffrée sans dimension backend ET frontend.</w:t>
      </w:r>
    </w:p>
    <w:p/>
    <w:tbl>
      <w:tblPr>
        <w:tblW w:type="auto" w:w="0"/>
        <w:tblLook w:firstColumn="1" w:firstRow="1" w:lastColumn="0" w:lastRow="0" w:noHBand="0" w:noVBand="1" w:val="04A0"/>
      </w:tblPr>
      <w:tblGrid>
        <w:gridCol w:w="9746"/>
      </w:tblGrid>
      <w:tr>
        <w:tc>
          <w:tcPr>
            <w:tcW w:type="dxa" w:w="9071"/>
            <w:shd w:val="clear" w:color="auto" w:fill="F4F1EA"/>
            <w:tcBorders>
              <w:top w:val="single" w:sz="6" w:color="C2B280"/>
              <w:left w:val="single" w:sz="6" w:color="C2B280"/>
              <w:bottom w:val="single" w:sz="6" w:color="C2B280"/>
              <w:right w:val="single" w:sz="6" w:color="C2B280"/>
            </w:tcBorders>
          </w:tcPr>
          <w:p>
            <w:pPr>
              <w:spacing w:after="0" w:line="288" w:lineRule="auto"/>
            </w:pPr>
            <w:r/>
            <w:r>
              <w:rPr>
                <w:b/>
                <w:sz w:val="21"/>
              </w:rPr>
              <w:t>Formule courte du v14.</w:t>
            </w:r>
            <w:r>
              <w:rPr>
                <w:sz w:val="21"/>
              </w:rPr>
              <w:t xml:space="preserve"> Le projet a désormais son anatomie complète et sa cartographie cumulative. La fermeture des derniers chantiers — jonction frontend PEB (proche), jonction frontend profils d'adoption (5 jours), durcissement de la dette stricte (bornable), migration mail Resend (en attente), gestion cotisations frontend (chantier propre) — peut être planifiée à la séquence près. La fenêtre sans usagers tiers reste l'atout stratégique principal ; elle doit être consacrée aux jonctions backend / frontend, pas à de nouveaux paliers, et tenue avec une discipline plus serrée qu'aux trois mois précédents, parce que chaque palier ajouté qui n'est pas accompagné élargit la divergence.</w:t>
            </w:r>
          </w:p>
        </w:tc>
      </w:tr>
    </w:tbl>
    <w:p>
      <w:pPr>
        <w:spacing w:after="0"/>
      </w:pPr>
    </w:p>
    <w:p/>
    <w:p>
      <w:pPr>
        <w:keepNext/>
        <w:spacing w:before="280" w:after="120"/>
      </w:pPr>
      <w:r>
        <w:rPr>
          <w:rFonts w:ascii="Calibri" w:hAnsi="Calibri"/>
          <w:b/>
          <w:sz w:val="36"/>
        </w:rPr>
        <w:t>13. Bilan chiffré final v14</w:t>
      </w:r>
    </w:p>
    <w:p/>
    <w:tbl>
      <w:tblPr>
        <w:tblW w:type="auto" w:w="0"/>
        <w:tblLook w:firstColumn="1" w:firstRow="1" w:lastColumn="0" w:lastRow="0" w:noHBand="0" w:noVBand="1" w:val="04A0"/>
      </w:tblPr>
      <w:tblGrid>
        <w:gridCol w:w="9746"/>
      </w:tblGrid>
      <w:tr>
        <w:tc>
          <w:tcPr>
            <w:tcW w:type="dxa" w:w="9071"/>
            <w:shd w:val="clear" w:color="auto" w:fill="F4F1EA"/>
            <w:tcBorders>
              <w:top w:val="single" w:sz="6" w:color="C2B280"/>
              <w:left w:val="single" w:sz="6" w:color="C2B280"/>
              <w:bottom w:val="single" w:sz="6" w:color="C2B280"/>
              <w:right w:val="single" w:sz="6" w:color="C2B280"/>
            </w:tcBorders>
          </w:tcPr>
          <w:p>
            <w:pPr>
              <w:spacing w:after="0" w:line="288" w:lineRule="auto"/>
            </w:pPr>
            <w:r/>
            <w:r>
              <w:rPr>
                <w:b/>
                <w:sz w:val="21"/>
              </w:rPr>
              <w:t>Note méthodologique :</w:t>
            </w:r>
            <w:r>
              <w:rPr>
                <w:sz w:val="21"/>
              </w:rPr>
              <w:t xml:space="preserve"> la v14 est la première version du Livre blanc qui dispose de deux lectures exactes successives du même backend (v13 le 30 avril, v14 le 19 mai). Cette comparaison directe permet une mesure de cadence qu'aucune version antérieure ne permettait. Elle permet aussi de qualifier ce qui constitue véritablement un avancement (fermeture de la consultation locale, des 5 vues SECURITY DEFINER critiques, des 3 couches métier nouvelles à 90 % backend) et ce qui constitue un coût attendu de la croissance (+99 fonctions WARN authenticated SECURITY DEFINER). La progression v13 → v14 (≈90 % → ≈93 %) reflète à la fois les fermetures effectives et la mesure plus juste de la dette résiduelle.</w:t>
            </w:r>
          </w:p>
        </w:tc>
      </w:tr>
    </w:tbl>
    <w:p>
      <w:pPr>
        <w:spacing w:after="0"/>
      </w:pPr>
    </w:p>
    <w:p/>
    <w:tbl>
      <w:tblPr>
        <w:tblW w:type="auto" w:w="0"/>
        <w:jc w:val="center"/>
        <w:tblLook w:firstColumn="1" w:firstRow="1" w:lastColumn="0" w:lastRow="0" w:noHBand="0" w:noVBand="1" w:val="04A0"/>
      </w:tblPr>
      <w:tblGrid>
        <w:gridCol w:w="1624"/>
        <w:gridCol w:w="1624"/>
        <w:gridCol w:w="1624"/>
        <w:gridCol w:w="1624"/>
        <w:gridCol w:w="1624"/>
        <w:gridCol w:w="1624"/>
      </w:tblGrid>
      <w:tr>
        <w:tc>
          <w:tcPr>
            <w:tcW w:type="dxa" w:w="1531"/>
            <w:shd w:val="clear" w:color="auto" w:fill="E8EAF0"/>
            <w:tcBorders>
              <w:top w:val="single" w:sz="4" w:color="999999"/>
              <w:left w:val="single" w:sz="4" w:color="999999"/>
              <w:bottom w:val="single" w:sz="4" w:color="999999"/>
              <w:right w:val="single" w:sz="4" w:color="999999"/>
            </w:tcBorders>
            <w:vAlign w:val="top"/>
          </w:tcPr>
          <w:p>
            <w:pPr>
              <w:spacing w:before="40" w:after="40"/>
            </w:pPr>
            <w:r/>
            <w:r>
              <w:rPr>
                <w:rFonts w:ascii="Calibri" w:hAnsi="Calibri"/>
                <w:b/>
                <w:sz w:val="20"/>
              </w:rPr>
              <w:t>v9.7</w:t>
            </w:r>
          </w:p>
        </w:tc>
        <w:tc>
          <w:tcPr>
            <w:tcW w:type="dxa" w:w="1531"/>
            <w:shd w:val="clear" w:color="auto" w:fill="E8EAF0"/>
            <w:tcBorders>
              <w:top w:val="single" w:sz="4" w:color="999999"/>
              <w:left w:val="single" w:sz="4" w:color="999999"/>
              <w:bottom w:val="single" w:sz="4" w:color="999999"/>
              <w:right w:val="single" w:sz="4" w:color="999999"/>
            </w:tcBorders>
            <w:vAlign w:val="top"/>
          </w:tcPr>
          <w:p>
            <w:pPr>
              <w:spacing w:before="40" w:after="40"/>
            </w:pPr>
            <w:r/>
            <w:r>
              <w:rPr>
                <w:rFonts w:ascii="Calibri" w:hAnsi="Calibri"/>
                <w:b/>
                <w:sz w:val="20"/>
              </w:rPr>
              <w:t>v10</w:t>
            </w:r>
          </w:p>
        </w:tc>
        <w:tc>
          <w:tcPr>
            <w:tcW w:type="dxa" w:w="1531"/>
            <w:shd w:val="clear" w:color="auto" w:fill="E8EAF0"/>
            <w:tcBorders>
              <w:top w:val="single" w:sz="4" w:color="999999"/>
              <w:left w:val="single" w:sz="4" w:color="999999"/>
              <w:bottom w:val="single" w:sz="4" w:color="999999"/>
              <w:right w:val="single" w:sz="4" w:color="999999"/>
            </w:tcBorders>
            <w:vAlign w:val="top"/>
          </w:tcPr>
          <w:p>
            <w:pPr>
              <w:spacing w:before="40" w:after="40"/>
            </w:pPr>
            <w:r/>
            <w:r>
              <w:rPr>
                <w:rFonts w:ascii="Calibri" w:hAnsi="Calibri"/>
                <w:b/>
                <w:sz w:val="20"/>
              </w:rPr>
              <w:t>v11</w:t>
            </w:r>
          </w:p>
        </w:tc>
        <w:tc>
          <w:tcPr>
            <w:tcW w:type="dxa" w:w="1531"/>
            <w:shd w:val="clear" w:color="auto" w:fill="E8EAF0"/>
            <w:tcBorders>
              <w:top w:val="single" w:sz="4" w:color="999999"/>
              <w:left w:val="single" w:sz="4" w:color="999999"/>
              <w:bottom w:val="single" w:sz="4" w:color="999999"/>
              <w:right w:val="single" w:sz="4" w:color="999999"/>
            </w:tcBorders>
            <w:vAlign w:val="top"/>
          </w:tcPr>
          <w:p>
            <w:pPr>
              <w:spacing w:before="40" w:after="40"/>
            </w:pPr>
            <w:r/>
            <w:r>
              <w:rPr>
                <w:rFonts w:ascii="Calibri" w:hAnsi="Calibri"/>
                <w:b/>
                <w:sz w:val="20"/>
              </w:rPr>
              <w:t>v12</w:t>
            </w:r>
          </w:p>
        </w:tc>
        <w:tc>
          <w:tcPr>
            <w:tcW w:type="dxa" w:w="1531"/>
            <w:shd w:val="clear" w:color="auto" w:fill="E8EAF0"/>
            <w:tcBorders>
              <w:top w:val="single" w:sz="4" w:color="999999"/>
              <w:left w:val="single" w:sz="4" w:color="999999"/>
              <w:bottom w:val="single" w:sz="4" w:color="999999"/>
              <w:right w:val="single" w:sz="4" w:color="999999"/>
            </w:tcBorders>
            <w:vAlign w:val="top"/>
          </w:tcPr>
          <w:p>
            <w:pPr>
              <w:spacing w:before="40" w:after="40"/>
            </w:pPr>
            <w:r/>
            <w:r>
              <w:rPr>
                <w:rFonts w:ascii="Calibri" w:hAnsi="Calibri"/>
                <w:b/>
                <w:sz w:val="20"/>
              </w:rPr>
              <w:t>v13</w:t>
            </w:r>
          </w:p>
        </w:tc>
        <w:tc>
          <w:tcPr>
            <w:tcW w:type="dxa" w:w="1531"/>
            <w:shd w:val="clear" w:color="auto" w:fill="E8EAF0"/>
            <w:tcBorders>
              <w:top w:val="single" w:sz="4" w:color="999999"/>
              <w:left w:val="single" w:sz="4" w:color="999999"/>
              <w:bottom w:val="single" w:sz="4" w:color="999999"/>
              <w:right w:val="single" w:sz="4" w:color="999999"/>
            </w:tcBorders>
            <w:vAlign w:val="top"/>
          </w:tcPr>
          <w:p>
            <w:pPr>
              <w:spacing w:before="40" w:after="40"/>
            </w:pPr>
            <w:r/>
            <w:r>
              <w:rPr>
                <w:rFonts w:ascii="Calibri" w:hAnsi="Calibri"/>
                <w:b/>
                <w:sz w:val="20"/>
              </w:rPr>
              <w:t>v14</w:t>
            </w:r>
          </w:p>
        </w:tc>
      </w:tr>
      <w:tr>
        <w:tc>
          <w:tcPr>
            <w:tcW w:type="dxa" w:w="1531"/>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61 %</w:t>
            </w:r>
          </w:p>
        </w:tc>
        <w:tc>
          <w:tcPr>
            <w:tcW w:type="dxa" w:w="1531"/>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74 %</w:t>
            </w:r>
          </w:p>
        </w:tc>
        <w:tc>
          <w:tcPr>
            <w:tcW w:type="dxa" w:w="1531"/>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≈86 %</w:t>
            </w:r>
          </w:p>
        </w:tc>
        <w:tc>
          <w:tcPr>
            <w:tcW w:type="dxa" w:w="1531"/>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≈89 %</w:t>
            </w:r>
          </w:p>
        </w:tc>
        <w:tc>
          <w:tcPr>
            <w:tcW w:type="dxa" w:w="1531"/>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≈90 %</w:t>
            </w:r>
          </w:p>
        </w:tc>
        <w:tc>
          <w:tcPr>
            <w:tcW w:type="dxa" w:w="1531"/>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≈93 %</w:t>
            </w:r>
          </w:p>
        </w:tc>
      </w:tr>
    </w:tbl>
    <w:p/>
    <w:p>
      <w:pPr>
        <w:keepNext/>
        <w:spacing w:before="200" w:after="120"/>
      </w:pPr>
      <w:r>
        <w:rPr>
          <w:rFonts w:ascii="Calibri" w:hAnsi="Calibri"/>
          <w:b/>
          <w:sz w:val="28"/>
        </w:rPr>
        <w:t>13.1 Grand tableau de progression par axe</w:t>
      </w:r>
    </w:p>
    <w:tbl>
      <w:tblPr>
        <w:tblW w:type="auto" w:w="0"/>
        <w:jc w:val="center"/>
        <w:tblLook w:firstColumn="1" w:firstRow="1" w:lastColumn="0" w:lastRow="0" w:noHBand="0" w:noVBand="1" w:val="04A0"/>
      </w:tblPr>
      <w:tblGrid>
        <w:gridCol w:w="2436"/>
        <w:gridCol w:w="2436"/>
        <w:gridCol w:w="2436"/>
        <w:gridCol w:w="2436"/>
      </w:tblGrid>
      <w:tr>
        <w:tc>
          <w:tcPr>
            <w:tcW w:type="dxa" w:w="3402"/>
            <w:shd w:val="clear" w:color="auto" w:fill="E8EAF0"/>
            <w:tcBorders>
              <w:top w:val="single" w:sz="4" w:color="999999"/>
              <w:left w:val="single" w:sz="4" w:color="999999"/>
              <w:bottom w:val="single" w:sz="4" w:color="999999"/>
              <w:right w:val="single" w:sz="4" w:color="999999"/>
            </w:tcBorders>
            <w:vAlign w:val="top"/>
          </w:tcPr>
          <w:p>
            <w:pPr>
              <w:spacing w:before="40" w:after="40"/>
            </w:pPr>
            <w:r/>
            <w:r>
              <w:rPr>
                <w:rFonts w:ascii="Calibri" w:hAnsi="Calibri"/>
                <w:b/>
                <w:sz w:val="20"/>
              </w:rPr>
              <w:t>Grand axe</w:t>
            </w:r>
          </w:p>
        </w:tc>
        <w:tc>
          <w:tcPr>
            <w:tcW w:type="dxa" w:w="964"/>
            <w:shd w:val="clear" w:color="auto" w:fill="E8EAF0"/>
            <w:tcBorders>
              <w:top w:val="single" w:sz="4" w:color="999999"/>
              <w:left w:val="single" w:sz="4" w:color="999999"/>
              <w:bottom w:val="single" w:sz="4" w:color="999999"/>
              <w:right w:val="single" w:sz="4" w:color="999999"/>
            </w:tcBorders>
            <w:vAlign w:val="top"/>
          </w:tcPr>
          <w:p>
            <w:pPr>
              <w:spacing w:before="40" w:after="40"/>
            </w:pPr>
            <w:r/>
            <w:r>
              <w:rPr>
                <w:rFonts w:ascii="Calibri" w:hAnsi="Calibri"/>
                <w:b/>
                <w:sz w:val="20"/>
              </w:rPr>
              <w:t>v13 (30/04)</w:t>
            </w:r>
          </w:p>
        </w:tc>
        <w:tc>
          <w:tcPr>
            <w:tcW w:type="dxa" w:w="964"/>
            <w:shd w:val="clear" w:color="auto" w:fill="E8EAF0"/>
            <w:tcBorders>
              <w:top w:val="single" w:sz="4" w:color="999999"/>
              <w:left w:val="single" w:sz="4" w:color="999999"/>
              <w:bottom w:val="single" w:sz="4" w:color="999999"/>
              <w:right w:val="single" w:sz="4" w:color="999999"/>
            </w:tcBorders>
            <w:vAlign w:val="top"/>
          </w:tcPr>
          <w:p>
            <w:pPr>
              <w:spacing w:before="40" w:after="40"/>
            </w:pPr>
            <w:r/>
            <w:r>
              <w:rPr>
                <w:rFonts w:ascii="Calibri" w:hAnsi="Calibri"/>
                <w:b/>
                <w:sz w:val="20"/>
              </w:rPr>
              <w:t>v14 (19/05)</w:t>
            </w:r>
          </w:p>
        </w:tc>
        <w:tc>
          <w:tcPr>
            <w:tcW w:type="dxa" w:w="3742"/>
            <w:shd w:val="clear" w:color="auto" w:fill="E8EAF0"/>
            <w:tcBorders>
              <w:top w:val="single" w:sz="4" w:color="999999"/>
              <w:left w:val="single" w:sz="4" w:color="999999"/>
              <w:bottom w:val="single" w:sz="4" w:color="999999"/>
              <w:right w:val="single" w:sz="4" w:color="999999"/>
            </w:tcBorders>
            <w:vAlign w:val="top"/>
          </w:tcPr>
          <w:p>
            <w:pPr>
              <w:spacing w:before="40" w:after="40"/>
            </w:pPr>
            <w:r/>
            <w:r>
              <w:rPr>
                <w:rFonts w:ascii="Calibri" w:hAnsi="Calibri"/>
                <w:b/>
                <w:sz w:val="20"/>
              </w:rPr>
              <w:t>Précision apportée</w:t>
            </w:r>
          </w:p>
        </w:tc>
      </w:tr>
      <w:tr>
        <w:tc>
          <w:tcPr>
            <w:tcW w:type="dxa" w:w="3402"/>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Socle transversal et architecture commune</w:t>
            </w:r>
          </w:p>
        </w:tc>
        <w:tc>
          <w:tcPr>
            <w:tcW w:type="dxa" w:w="96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89 %</w:t>
            </w:r>
          </w:p>
        </w:tc>
        <w:tc>
          <w:tcPr>
            <w:tcW w:type="dxa" w:w="96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92 %</w:t>
            </w:r>
          </w:p>
        </w:tc>
        <w:tc>
          <w:tcPr>
            <w:tcW w:type="dxa" w:w="3742"/>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Renforcé : 107 tables, 384 indexes, doctrine v2 outillée par hook git</w:t>
            </w:r>
          </w:p>
        </w:tc>
      </w:tr>
      <w:tr>
        <w:tc>
          <w:tcPr>
            <w:tcW w:type="dxa" w:w="3402"/>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Front public</w:t>
            </w:r>
          </w:p>
        </w:tc>
        <w:tc>
          <w:tcPr>
            <w:tcW w:type="dxa" w:w="96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92 %</w:t>
            </w:r>
          </w:p>
        </w:tc>
        <w:tc>
          <w:tcPr>
            <w:tcW w:type="dxa" w:w="96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92 %</w:t>
            </w:r>
          </w:p>
        </w:tc>
        <w:tc>
          <w:tcPr>
            <w:tcW w:type="dxa" w:w="3742"/>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Stable. Pages publiques inchangées en structure ; quelques bugfixes d'anon-availability le 19/05</w:t>
            </w:r>
          </w:p>
        </w:tc>
      </w:tr>
      <w:tr>
        <w:tc>
          <w:tcPr>
            <w:tcW w:type="dxa" w:w="3402"/>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Produit local lecteur</w:t>
            </w:r>
          </w:p>
        </w:tc>
        <w:tc>
          <w:tcPr>
            <w:tcW w:type="dxa" w:w="96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94 %</w:t>
            </w:r>
          </w:p>
        </w:tc>
        <w:tc>
          <w:tcPr>
            <w:tcW w:type="dxa" w:w="96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95 %</w:t>
            </w:r>
          </w:p>
        </w:tc>
        <w:tc>
          <w:tcPr>
            <w:tcW w:type="dxa" w:w="3742"/>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Cotisations et notifications consulta enrichies</w:t>
            </w:r>
          </w:p>
        </w:tc>
      </w:tr>
      <w:tr>
        <w:tc>
          <w:tcPr>
            <w:tcW w:type="dxa" w:w="3402"/>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Produit local bibliothécaire</w:t>
            </w:r>
          </w:p>
        </w:tc>
        <w:tc>
          <w:tcPr>
            <w:tcW w:type="dxa" w:w="96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91 %</w:t>
            </w:r>
          </w:p>
        </w:tc>
        <w:tc>
          <w:tcPr>
            <w:tcW w:type="dxa" w:w="96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92 %</w:t>
            </w:r>
          </w:p>
        </w:tc>
        <w:tc>
          <w:tcPr>
            <w:tcW w:type="dxa" w:w="3742"/>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TeamPanel et historique painel ajoutés, gouvernance staff backend complète</w:t>
            </w:r>
          </w:p>
        </w:tc>
      </w:tr>
      <w:tr>
        <w:tc>
          <w:tcPr>
            <w:tcW w:type="dxa" w:w="3402"/>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Circulation, réservations v2 et extinction du legacy</w:t>
            </w:r>
          </w:p>
        </w:tc>
        <w:tc>
          <w:tcPr>
            <w:tcW w:type="dxa" w:w="96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90 %</w:t>
            </w:r>
          </w:p>
        </w:tc>
        <w:tc>
          <w:tcPr>
            <w:tcW w:type="dxa" w:w="96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93 %</w:t>
            </w:r>
          </w:p>
        </w:tc>
        <w:tc>
          <w:tcPr>
            <w:tcW w:type="dxa" w:w="3742"/>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Consultation locale fermée backend + RPC api couche fine</w:t>
            </w:r>
          </w:p>
        </w:tc>
      </w:tr>
      <w:tr>
        <w:tc>
          <w:tcPr>
            <w:tcW w:type="dxa" w:w="3402"/>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Catalogação</w:t>
            </w:r>
          </w:p>
        </w:tc>
        <w:tc>
          <w:tcPr>
            <w:tcW w:type="dxa" w:w="96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84 %</w:t>
            </w:r>
          </w:p>
        </w:tc>
        <w:tc>
          <w:tcPr>
            <w:tcW w:type="dxa" w:w="96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85 %</w:t>
            </w:r>
          </w:p>
        </w:tc>
        <w:tc>
          <w:tcPr>
            <w:tcW w:type="dxa" w:w="3742"/>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Stable. Pattern api.my_access généralisé dans les policies</w:t>
            </w:r>
          </w:p>
        </w:tc>
      </w:tr>
      <w:tr>
        <w:tc>
          <w:tcPr>
            <w:tcW w:type="dxa" w:w="3402"/>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Backend SQL, sécurité et gouvernance</w:t>
            </w:r>
          </w:p>
        </w:tc>
        <w:tc>
          <w:tcPr>
            <w:tcW w:type="dxa" w:w="96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93 %</w:t>
            </w:r>
          </w:p>
        </w:tc>
        <w:tc>
          <w:tcPr>
            <w:tcW w:type="dxa" w:w="96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94 %</w:t>
            </w:r>
          </w:p>
        </w:tc>
        <w:tc>
          <w:tcPr>
            <w:tcW w:type="dxa" w:w="3742"/>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5 des 6 vues ERROR fermées, doctrine v2 outillée, dette requalifiée par familles</w:t>
            </w:r>
          </w:p>
        </w:tc>
      </w:tr>
      <w:tr>
        <w:tc>
          <w:tcPr>
            <w:tcW w:type="dxa" w:w="3402"/>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Ressources numériques et lecture</w:t>
            </w:r>
          </w:p>
        </w:tc>
        <w:tc>
          <w:tcPr>
            <w:tcW w:type="dxa" w:w="96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76 %</w:t>
            </w:r>
          </w:p>
        </w:tc>
        <w:tc>
          <w:tcPr>
            <w:tcW w:type="dxa" w:w="96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76 %</w:t>
            </w:r>
          </w:p>
        </w:tc>
        <w:tc>
          <w:tcPr>
            <w:tcW w:type="dxa" w:w="3742"/>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Stable</w:t>
            </w:r>
          </w:p>
        </w:tc>
      </w:tr>
      <w:tr>
        <w:tc>
          <w:tcPr>
            <w:tcW w:type="dxa" w:w="3402"/>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Edge Functions, mails et notifications</w:t>
            </w:r>
          </w:p>
        </w:tc>
        <w:tc>
          <w:tcPr>
            <w:tcW w:type="dxa" w:w="96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86 %</w:t>
            </w:r>
          </w:p>
        </w:tc>
        <w:tc>
          <w:tcPr>
            <w:tcW w:type="dxa" w:w="96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90 %</w:t>
            </w:r>
          </w:p>
        </w:tc>
        <w:tc>
          <w:tcPr>
            <w:tcW w:type="dxa" w:w="3742"/>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Layout mail i18n bouclé 18/05, 16 triggers de notification, fan-out team/network symétrique</w:t>
            </w:r>
          </w:p>
        </w:tc>
      </w:tr>
      <w:tr>
        <w:tc>
          <w:tcPr>
            <w:tcW w:type="dxa" w:w="3402"/>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Multi-bibliothèques, fédération et imports</w:t>
            </w:r>
          </w:p>
        </w:tc>
        <w:tc>
          <w:tcPr>
            <w:tcW w:type="dxa" w:w="96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70 %</w:t>
            </w:r>
          </w:p>
        </w:tc>
        <w:tc>
          <w:tcPr>
            <w:tcW w:type="dxa" w:w="96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78 %</w:t>
            </w:r>
          </w:p>
        </w:tc>
        <w:tc>
          <w:tcPr>
            <w:tcW w:type="dxa" w:w="3742"/>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Couche admin réseau complète backend et frontend, première fermeture du palier fédération</w:t>
            </w:r>
          </w:p>
        </w:tc>
      </w:tr>
      <w:tr>
        <w:tc>
          <w:tcPr>
            <w:tcW w:type="dxa" w:w="3402"/>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Multilingue et internationalisation</w:t>
            </w:r>
          </w:p>
        </w:tc>
        <w:tc>
          <w:tcPr>
            <w:tcW w:type="dxa" w:w="96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87 %</w:t>
            </w:r>
          </w:p>
        </w:tc>
        <w:tc>
          <w:tcPr>
            <w:tcW w:type="dxa" w:w="96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87 %</w:t>
            </w:r>
          </w:p>
        </w:tc>
        <w:tc>
          <w:tcPr>
            <w:tcW w:type="dxa" w:w="3742"/>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Stable. Chantier B.3 (i18n consultation, 360 strings militantes) + chantier transitions profils (≈360 strings) livrés</w:t>
            </w:r>
          </w:p>
        </w:tc>
      </w:tr>
      <w:tr>
        <w:tc>
          <w:tcPr>
            <w:tcW w:type="dxa" w:w="3402"/>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Documentation, cadrage et pilotage stratégique</w:t>
            </w:r>
          </w:p>
        </w:tc>
        <w:tc>
          <w:tcPr>
            <w:tcW w:type="dxa" w:w="96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92 %</w:t>
            </w:r>
          </w:p>
        </w:tc>
        <w:tc>
          <w:tcPr>
            <w:tcW w:type="dxa" w:w="96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94 %</w:t>
            </w:r>
          </w:p>
        </w:tc>
        <w:tc>
          <w:tcPr>
            <w:tcW w:type="dxa" w:w="3742"/>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Doctrines outillées (hook pré-commit), BILAN de chantier systématique, lecture chiffrée comparée v13 → v14</w:t>
            </w:r>
          </w:p>
        </w:tc>
      </w:tr>
      <w:tr>
        <w:tc>
          <w:tcPr>
            <w:tcW w:type="dxa" w:w="3402"/>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Continuité d'exploitation et discipline anticipée</w:t>
            </w:r>
          </w:p>
        </w:tc>
        <w:tc>
          <w:tcPr>
            <w:tcW w:type="dxa" w:w="96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87 %</w:t>
            </w:r>
          </w:p>
        </w:tc>
        <w:tc>
          <w:tcPr>
            <w:tcW w:type="dxa" w:w="96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89 %</w:t>
            </w:r>
          </w:p>
        </w:tc>
        <w:tc>
          <w:tcPr>
            <w:tcW w:type="dxa" w:w="3742"/>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Cadence d'expansion mesurée et nommée comme variable stratégique</w:t>
            </w:r>
          </w:p>
        </w:tc>
      </w:tr>
      <w:tr>
        <w:tc>
          <w:tcPr>
            <w:tcW w:type="dxa" w:w="3402"/>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Alignement politique et linguistique</w:t>
            </w:r>
          </w:p>
        </w:tc>
        <w:tc>
          <w:tcPr>
            <w:tcW w:type="dxa" w:w="96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84 %</w:t>
            </w:r>
          </w:p>
        </w:tc>
        <w:tc>
          <w:tcPr>
            <w:tcW w:type="dxa" w:w="96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86 %</w:t>
            </w:r>
          </w:p>
        </w:tc>
        <w:tc>
          <w:tcPr>
            <w:tcW w:type="dxa" w:w="3742"/>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Décisions politiques explicites tracées dans commentaires SQL (helpers anon, archivage réversible, REVOKE étendu)</w:t>
            </w:r>
          </w:p>
        </w:tc>
      </w:tr>
      <w:tr>
        <w:tc>
          <w:tcPr>
            <w:tcW w:type="dxa" w:w="3402"/>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Consultation locale</w:t>
            </w:r>
          </w:p>
        </w:tc>
        <w:tc>
          <w:tcPr>
            <w:tcW w:type="dxa" w:w="96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80 %</w:t>
            </w:r>
          </w:p>
        </w:tc>
        <w:tc>
          <w:tcPr>
            <w:tcW w:type="dxa" w:w="96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95 %</w:t>
            </w:r>
          </w:p>
        </w:tc>
        <w:tc>
          <w:tcPr>
            <w:tcW w:type="dxa" w:w="3742"/>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Triggers notify_consulta en prod, RPC api couche fine, handler EF livré, manque painel adaptatif frontal</w:t>
            </w:r>
          </w:p>
        </w:tc>
      </w:tr>
      <w:tr>
        <w:tc>
          <w:tcPr>
            <w:tcW w:type="dxa" w:w="3402"/>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Profils d'adoption (axe nouveau v14)</w:t>
            </w:r>
          </w:p>
        </w:tc>
        <w:tc>
          <w:tcPr>
            <w:tcW w:type="dxa" w:w="96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w:t>
            </w:r>
          </w:p>
        </w:tc>
        <w:tc>
          <w:tcPr>
            <w:tcW w:type="dxa" w:w="96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75 %</w:t>
            </w:r>
          </w:p>
        </w:tc>
        <w:tc>
          <w:tcPr>
            <w:tcW w:type="dxa" w:w="3742"/>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Backend ≈90 % + frontend ≈10 % + spec v0.6 en révision interne</w:t>
            </w:r>
          </w:p>
        </w:tc>
      </w:tr>
      <w:tr>
        <w:tc>
          <w:tcPr>
            <w:tcW w:type="dxa" w:w="3402"/>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Admin réseau (axe nouveau v14)</w:t>
            </w:r>
          </w:p>
        </w:tc>
        <w:tc>
          <w:tcPr>
            <w:tcW w:type="dxa" w:w="96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w:t>
            </w:r>
          </w:p>
        </w:tc>
        <w:tc>
          <w:tcPr>
            <w:tcW w:type="dxa" w:w="96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85 %</w:t>
            </w:r>
          </w:p>
        </w:tc>
        <w:tc>
          <w:tcPr>
            <w:tcW w:type="dxa" w:w="3742"/>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Backend 95 % + frontend ≈70 % (6 composants react livrés)</w:t>
            </w:r>
          </w:p>
        </w:tc>
      </w:tr>
      <w:tr>
        <w:tc>
          <w:tcPr>
            <w:tcW w:type="dxa" w:w="3402"/>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Gouvernance staff (axe nouveau v14)</w:t>
            </w:r>
          </w:p>
        </w:tc>
        <w:tc>
          <w:tcPr>
            <w:tcW w:type="dxa" w:w="96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w:t>
            </w:r>
          </w:p>
        </w:tc>
        <w:tc>
          <w:tcPr>
            <w:tcW w:type="dxa" w:w="96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75 %</w:t>
            </w:r>
          </w:p>
        </w:tc>
        <w:tc>
          <w:tcPr>
            <w:tcW w:type="dxa" w:w="3742"/>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Backend ≈90 % + frontend ≈50 % (TeamPanel partiel)</w:t>
            </w:r>
          </w:p>
        </w:tc>
      </w:tr>
      <w:tr>
        <w:tc>
          <w:tcPr>
            <w:tcW w:type="dxa" w:w="3402"/>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Jonction backend / frontend (axe nouveau v14)</w:t>
            </w:r>
          </w:p>
        </w:tc>
        <w:tc>
          <w:tcPr>
            <w:tcW w:type="dxa" w:w="96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w:t>
            </w:r>
          </w:p>
        </w:tc>
        <w:tc>
          <w:tcPr>
            <w:tcW w:type="dxa" w:w="96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65 %</w:t>
            </w:r>
          </w:p>
        </w:tc>
        <w:tc>
          <w:tcPr>
            <w:tcW w:type="dxa" w:w="3742"/>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Mesure inédite : divergence sur PEB (5 %), profils d'adoption (10 %), gouvernance staff (50 %), admin réseau (70 %)</w:t>
            </w:r>
          </w:p>
        </w:tc>
      </w:tr>
    </w:tbl>
    <w:p/>
    <w:p>
      <w:pPr>
        <w:keepNext/>
        <w:spacing w:before="200" w:after="120"/>
      </w:pPr>
      <w:r>
        <w:rPr>
          <w:rFonts w:ascii="Calibri" w:hAnsi="Calibri"/>
          <w:b/>
          <w:sz w:val="28"/>
        </w:rPr>
        <w:t>13.2 Lecture des gains v13 → v14</w:t>
      </w:r>
    </w:p>
    <w:p>
      <w:pPr>
        <w:spacing w:after="120" w:line="276" w:lineRule="auto"/>
      </w:pPr>
      <w:r>
        <w:rPr>
          <w:rFonts w:ascii="Calibri" w:hAnsi="Calibri"/>
          <w:b w:val="0"/>
          <w:i w:val="0"/>
          <w:sz w:val="22"/>
        </w:rPr>
        <w:t>Les gains v13 → v14 sont modérés à conséquents en valeur (+1 à +15 points par axe) et structurants en signification : ils ne traduisent pas une accélération du projet, mais la conjonction d'une fermeture nette (consultation locale, +15 points) et de l'apparition de quatre paliers nouveaux qui n'étaient pas mesurables en v13. Trois axes méritent un commentaire.</w:t>
      </w:r>
    </w:p>
    <w:p>
      <w:pPr>
        <w:spacing w:after="120" w:line="276" w:lineRule="auto"/>
      </w:pPr>
      <w:r>
        <w:rPr>
          <w:rFonts w:ascii="Calibri" w:hAnsi="Calibri"/>
          <w:b w:val="0"/>
          <w:i w:val="0"/>
          <w:sz w:val="22"/>
        </w:rPr>
        <w:t>L'axe consultation locale gagne quinze points (80 % → 95 %) parce que les deux triggers manquants signalés en v13 sont en production. Cette fermeture nette est l'aboutissement de la séquence #2 v13 et illustre la doctrine v13 selon laquelle une fermeture par patches localisés est possible quand la cartographie est exacte.</w:t>
      </w:r>
    </w:p>
    <w:p>
      <w:pPr>
        <w:spacing w:after="120" w:line="276" w:lineRule="auto"/>
      </w:pPr>
      <w:r>
        <w:rPr>
          <w:rFonts w:ascii="Calibri" w:hAnsi="Calibri"/>
          <w:b w:val="0"/>
          <w:i w:val="0"/>
          <w:sz w:val="22"/>
        </w:rPr>
        <w:t>L'axe multi-bibliothèques / fédération gagne huit points (70 % → 78 %) parce que la couche admin réseau est livrée intégralement (backend + frontend) entre les deux versions. C'est l'illustration positive de la doctrine de jonction v14 : un palier livré dans la même fenêtre backend et frontend est un palier qui se ferme effectivement.</w:t>
      </w:r>
    </w:p>
    <w:p>
      <w:pPr>
        <w:spacing w:after="120" w:line="276" w:lineRule="auto"/>
      </w:pPr>
      <w:r>
        <w:rPr>
          <w:rFonts w:ascii="Calibri" w:hAnsi="Calibri"/>
          <w:b w:val="0"/>
          <w:i w:val="0"/>
          <w:sz w:val="22"/>
        </w:rPr>
        <w:t>Trois axes nouveaux entrent dans la cartographie (profils d'adoption à 75 %, admin réseau à 85 %, gouvernance staff à 75 %) et un quatrième axe transversal apparaît (jonction backend / frontend à 65 %). Cette ré-isolation suit la doctrine v13 (« traiter comme axe à part entière ce qui mérite d'être piloté spécifiquement »). Elle permettra en v15 de mesurer la progression de la jonction comme variable principale, alors que les axes précédents resteront stables ou progresseront modestement.</w:t>
      </w:r>
    </w:p>
    <w:p>
      <w:pPr>
        <w:keepNext/>
        <w:spacing w:before="200" w:after="120"/>
      </w:pPr>
      <w:r>
        <w:rPr>
          <w:rFonts w:ascii="Calibri" w:hAnsi="Calibri"/>
          <w:b/>
          <w:sz w:val="28"/>
        </w:rPr>
        <w:t>13.3 Lecture séquentielle v14</w:t>
      </w:r>
    </w:p>
    <w:tbl>
      <w:tblPr>
        <w:tblW w:type="auto" w:w="0"/>
        <w:jc w:val="center"/>
        <w:tblLook w:firstColumn="1" w:firstRow="1" w:lastColumn="0" w:lastRow="0" w:noHBand="0" w:noVBand="1" w:val="04A0"/>
      </w:tblPr>
      <w:tblGrid>
        <w:gridCol w:w="2436"/>
        <w:gridCol w:w="2436"/>
        <w:gridCol w:w="2436"/>
        <w:gridCol w:w="2436"/>
      </w:tblGrid>
      <w:tr>
        <w:tc>
          <w:tcPr>
            <w:tcW w:type="dxa" w:w="2948"/>
            <w:shd w:val="clear" w:color="auto" w:fill="E8EAF0"/>
            <w:tcBorders>
              <w:top w:val="single" w:sz="4" w:color="999999"/>
              <w:left w:val="single" w:sz="4" w:color="999999"/>
              <w:bottom w:val="single" w:sz="4" w:color="999999"/>
              <w:right w:val="single" w:sz="4" w:color="999999"/>
            </w:tcBorders>
            <w:vAlign w:val="top"/>
          </w:tcPr>
          <w:p>
            <w:pPr>
              <w:spacing w:before="40" w:after="40"/>
            </w:pPr>
            <w:r/>
            <w:r>
              <w:rPr>
                <w:rFonts w:ascii="Calibri" w:hAnsi="Calibri"/>
                <w:b/>
                <w:sz w:val="20"/>
              </w:rPr>
              <w:t>Séquence</w:t>
            </w:r>
          </w:p>
        </w:tc>
        <w:tc>
          <w:tcPr>
            <w:tcW w:type="dxa" w:w="964"/>
            <w:shd w:val="clear" w:color="auto" w:fill="E8EAF0"/>
            <w:tcBorders>
              <w:top w:val="single" w:sz="4" w:color="999999"/>
              <w:left w:val="single" w:sz="4" w:color="999999"/>
              <w:bottom w:val="single" w:sz="4" w:color="999999"/>
              <w:right w:val="single" w:sz="4" w:color="999999"/>
            </w:tcBorders>
            <w:vAlign w:val="top"/>
          </w:tcPr>
          <w:p>
            <w:pPr>
              <w:spacing w:before="40" w:after="40"/>
            </w:pPr>
            <w:r/>
            <w:r>
              <w:rPr>
                <w:rFonts w:ascii="Calibri" w:hAnsi="Calibri"/>
                <w:b/>
                <w:sz w:val="20"/>
              </w:rPr>
              <w:t>v13 (30/04)</w:t>
            </w:r>
          </w:p>
        </w:tc>
        <w:tc>
          <w:tcPr>
            <w:tcW w:type="dxa" w:w="964"/>
            <w:shd w:val="clear" w:color="auto" w:fill="E8EAF0"/>
            <w:tcBorders>
              <w:top w:val="single" w:sz="4" w:color="999999"/>
              <w:left w:val="single" w:sz="4" w:color="999999"/>
              <w:bottom w:val="single" w:sz="4" w:color="999999"/>
              <w:right w:val="single" w:sz="4" w:color="999999"/>
            </w:tcBorders>
            <w:vAlign w:val="top"/>
          </w:tcPr>
          <w:p>
            <w:pPr>
              <w:spacing w:before="40" w:after="40"/>
            </w:pPr>
            <w:r/>
            <w:r>
              <w:rPr>
                <w:rFonts w:ascii="Calibri" w:hAnsi="Calibri"/>
                <w:b/>
                <w:sz w:val="20"/>
              </w:rPr>
              <w:t>v14 (19/05)</w:t>
            </w:r>
          </w:p>
        </w:tc>
        <w:tc>
          <w:tcPr>
            <w:tcW w:type="dxa" w:w="4195"/>
            <w:shd w:val="clear" w:color="auto" w:fill="E8EAF0"/>
            <w:tcBorders>
              <w:top w:val="single" w:sz="4" w:color="999999"/>
              <w:left w:val="single" w:sz="4" w:color="999999"/>
              <w:bottom w:val="single" w:sz="4" w:color="999999"/>
              <w:right w:val="single" w:sz="4" w:color="999999"/>
            </w:tcBorders>
            <w:vAlign w:val="top"/>
          </w:tcPr>
          <w:p>
            <w:pPr>
              <w:spacing w:before="40" w:after="40"/>
            </w:pPr>
            <w:r/>
            <w:r>
              <w:rPr>
                <w:rFonts w:ascii="Calibri" w:hAnsi="Calibri"/>
                <w:b/>
                <w:sz w:val="20"/>
              </w:rPr>
              <w:t>Lecture</w:t>
            </w:r>
          </w:p>
        </w:tc>
      </w:tr>
      <w:tr>
        <w:tc>
          <w:tcPr>
            <w:tcW w:type="dxa" w:w="294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0. Doctrine, sécurité, nomenclature</w:t>
            </w:r>
          </w:p>
        </w:tc>
        <w:tc>
          <w:tcPr>
            <w:tcW w:type="dxa" w:w="96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94 %</w:t>
            </w:r>
          </w:p>
        </w:tc>
        <w:tc>
          <w:tcPr>
            <w:tcW w:type="dxa" w:w="96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95 %</w:t>
            </w:r>
          </w:p>
        </w:tc>
        <w:tc>
          <w:tcPr>
            <w:tcW w:type="dxa" w:w="4195"/>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Doctrine v2 outillée par hook git pré-commit</w:t>
            </w:r>
          </w:p>
        </w:tc>
      </w:tr>
      <w:tr>
        <w:tc>
          <w:tcPr>
            <w:tcW w:type="dxa" w:w="294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1. Jonction frontend PEB (NOUVELLE v14)</w:t>
            </w:r>
          </w:p>
        </w:tc>
        <w:tc>
          <w:tcPr>
            <w:tcW w:type="dxa" w:w="96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w:t>
            </w:r>
          </w:p>
        </w:tc>
        <w:tc>
          <w:tcPr>
            <w:tcW w:type="dxa" w:w="96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5 %</w:t>
            </w:r>
          </w:p>
        </w:tc>
        <w:tc>
          <w:tcPr>
            <w:tcW w:type="dxa" w:w="4195"/>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Backend triple-défense fermé, frontend en .from() direct</w:t>
            </w:r>
          </w:p>
        </w:tc>
      </w:tr>
      <w:tr>
        <w:tc>
          <w:tcPr>
            <w:tcW w:type="dxa" w:w="294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2. Jonction frontend profils d'adoption (NOUVELLE v14)</w:t>
            </w:r>
          </w:p>
        </w:tc>
        <w:tc>
          <w:tcPr>
            <w:tcW w:type="dxa" w:w="96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w:t>
            </w:r>
          </w:p>
        </w:tc>
        <w:tc>
          <w:tcPr>
            <w:tcW w:type="dxa" w:w="96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10 %</w:t>
            </w:r>
          </w:p>
        </w:tc>
        <w:tc>
          <w:tcPr>
            <w:tcW w:type="dxa" w:w="4195"/>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Spec v0.6 en révision, backend livré, painel non adaptatif</w:t>
            </w:r>
          </w:p>
        </w:tc>
      </w:tr>
      <w:tr>
        <w:tc>
          <w:tcPr>
            <w:tcW w:type="dxa" w:w="294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3. Durcissement dette stricte (7 items + indexes FK)</w:t>
            </w:r>
          </w:p>
        </w:tc>
        <w:tc>
          <w:tcPr>
            <w:tcW w:type="dxa" w:w="96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(était dans #7 v13)</w:t>
            </w:r>
          </w:p>
        </w:tc>
        <w:tc>
          <w:tcPr>
            <w:tcW w:type="dxa" w:w="96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60 %</w:t>
            </w:r>
          </w:p>
        </w:tc>
        <w:tc>
          <w:tcPr>
            <w:tcW w:type="dxa" w:w="4195"/>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Périmètre clarifié : 7 items isolés + ≈67 FK</w:t>
            </w:r>
          </w:p>
        </w:tc>
      </w:tr>
      <w:tr>
        <w:tc>
          <w:tcPr>
            <w:tcW w:type="dxa" w:w="294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4. Consultation locale</w:t>
            </w:r>
          </w:p>
        </w:tc>
        <w:tc>
          <w:tcPr>
            <w:tcW w:type="dxa" w:w="96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80 %</w:t>
            </w:r>
          </w:p>
        </w:tc>
        <w:tc>
          <w:tcPr>
            <w:tcW w:type="dxa" w:w="96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95 %</w:t>
            </w:r>
          </w:p>
        </w:tc>
        <w:tc>
          <w:tcPr>
            <w:tcW w:type="dxa" w:w="4195"/>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Fermeture backend acquise</w:t>
            </w:r>
          </w:p>
        </w:tc>
      </w:tr>
      <w:tr>
        <w:tc>
          <w:tcPr>
            <w:tcW w:type="dxa" w:w="294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5. Migration mail Resend (#110)</w:t>
            </w:r>
          </w:p>
        </w:tc>
        <w:tc>
          <w:tcPr>
            <w:tcW w:type="dxa" w:w="96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w:t>
            </w:r>
          </w:p>
        </w:tc>
        <w:tc>
          <w:tcPr>
            <w:tcW w:type="dxa" w:w="96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30 %</w:t>
            </w:r>
          </w:p>
        </w:tc>
        <w:tc>
          <w:tcPr>
            <w:tcW w:type="dxa" w:w="4195"/>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Décision politique prise, sous-domaine configuré, implémentation à reprendre</w:t>
            </w:r>
          </w:p>
        </w:tc>
      </w:tr>
      <w:tr>
        <w:tc>
          <w:tcPr>
            <w:tcW w:type="dxa" w:w="294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6. Convergence holdings-aware couche publique</w:t>
            </w:r>
          </w:p>
        </w:tc>
        <w:tc>
          <w:tcPr>
            <w:tcW w:type="dxa" w:w="96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91 %</w:t>
            </w:r>
          </w:p>
        </w:tc>
        <w:tc>
          <w:tcPr>
            <w:tcW w:type="dxa" w:w="96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92 %</w:t>
            </w:r>
          </w:p>
        </w:tc>
        <w:tc>
          <w:tcPr>
            <w:tcW w:type="dxa" w:w="4195"/>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Stable</w:t>
            </w:r>
          </w:p>
        </w:tc>
      </w:tr>
      <w:tr>
        <w:tc>
          <w:tcPr>
            <w:tcW w:type="dxa" w:w="294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7. Fermeture du produit local complet</w:t>
            </w:r>
          </w:p>
        </w:tc>
        <w:tc>
          <w:tcPr>
            <w:tcW w:type="dxa" w:w="96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92 %</w:t>
            </w:r>
          </w:p>
        </w:tc>
        <w:tc>
          <w:tcPr>
            <w:tcW w:type="dxa" w:w="96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93 %</w:t>
            </w:r>
          </w:p>
        </w:tc>
        <w:tc>
          <w:tcPr>
            <w:tcW w:type="dxa" w:w="4195"/>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Cotisations partielle, dossiers Dunkerque à finir</w:t>
            </w:r>
          </w:p>
        </w:tc>
      </w:tr>
      <w:tr>
        <w:tc>
          <w:tcPr>
            <w:tcW w:type="dxa" w:w="294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8. Gel et alignement de catalogação</w:t>
            </w:r>
          </w:p>
        </w:tc>
        <w:tc>
          <w:tcPr>
            <w:tcW w:type="dxa" w:w="96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76 %</w:t>
            </w:r>
          </w:p>
        </w:tc>
        <w:tc>
          <w:tcPr>
            <w:tcW w:type="dxa" w:w="96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77 %</w:t>
            </w:r>
          </w:p>
        </w:tc>
        <w:tc>
          <w:tcPr>
            <w:tcW w:type="dxa" w:w="4195"/>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Chantier #79 (RBAC) toujours ouvert</w:t>
            </w:r>
          </w:p>
        </w:tc>
      </w:tr>
      <w:tr>
        <w:tc>
          <w:tcPr>
            <w:tcW w:type="dxa" w:w="294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9. Refonte mails — exécution</w:t>
            </w:r>
          </w:p>
        </w:tc>
        <w:tc>
          <w:tcPr>
            <w:tcW w:type="dxa" w:w="96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82 %</w:t>
            </w:r>
          </w:p>
        </w:tc>
        <w:tc>
          <w:tcPr>
            <w:tcW w:type="dxa" w:w="96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90 %</w:t>
            </w:r>
          </w:p>
        </w:tc>
        <w:tc>
          <w:tcPr>
            <w:tcW w:type="dxa" w:w="4195"/>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Layout mail i18n bouclé, signature_short_i18n additive en prod</w:t>
            </w:r>
          </w:p>
        </w:tc>
      </w:tr>
      <w:tr>
        <w:tc>
          <w:tcPr>
            <w:tcW w:type="dxa" w:w="294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10. Imports partenaires et lot pilote BTL</w:t>
            </w:r>
          </w:p>
        </w:tc>
        <w:tc>
          <w:tcPr>
            <w:tcW w:type="dxa" w:w="96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55 %</w:t>
            </w:r>
          </w:p>
        </w:tc>
        <w:tc>
          <w:tcPr>
            <w:tcW w:type="dxa" w:w="96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55 %</w:t>
            </w:r>
          </w:p>
        </w:tc>
        <w:tc>
          <w:tcPr>
            <w:tcW w:type="dxa" w:w="4195"/>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Stable, conditionné</w:t>
            </w:r>
          </w:p>
        </w:tc>
      </w:tr>
      <w:tr>
        <w:tc>
          <w:tcPr>
            <w:tcW w:type="dxa" w:w="294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11. Noyau fédéral minimal</w:t>
            </w:r>
          </w:p>
        </w:tc>
        <w:tc>
          <w:tcPr>
            <w:tcW w:type="dxa" w:w="96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46 %</w:t>
            </w:r>
          </w:p>
        </w:tc>
        <w:tc>
          <w:tcPr>
            <w:tcW w:type="dxa" w:w="96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70 %</w:t>
            </w:r>
          </w:p>
        </w:tc>
        <w:tc>
          <w:tcPr>
            <w:tcW w:type="dxa" w:w="4195"/>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Admin réseau complet, fédération opérationnelle</w:t>
            </w:r>
          </w:p>
        </w:tc>
      </w:tr>
      <w:tr>
        <w:tc>
          <w:tcPr>
            <w:tcW w:type="dxa" w:w="294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12. Diffusion multilingue</w:t>
            </w:r>
          </w:p>
        </w:tc>
        <w:tc>
          <w:tcPr>
            <w:tcW w:type="dxa" w:w="96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87 %</w:t>
            </w:r>
          </w:p>
        </w:tc>
        <w:tc>
          <w:tcPr>
            <w:tcW w:type="dxa" w:w="96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87 %</w:t>
            </w:r>
          </w:p>
        </w:tc>
        <w:tc>
          <w:tcPr>
            <w:tcW w:type="dxa" w:w="4195"/>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Stable</w:t>
            </w:r>
          </w:p>
        </w:tc>
      </w:tr>
      <w:tr>
        <w:tc>
          <w:tcPr>
            <w:tcW w:type="dxa" w:w="2948"/>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13. Cohérence linguistique et politique</w:t>
            </w:r>
          </w:p>
        </w:tc>
        <w:tc>
          <w:tcPr>
            <w:tcW w:type="dxa" w:w="96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84 %</w:t>
            </w:r>
          </w:p>
        </w:tc>
        <w:tc>
          <w:tcPr>
            <w:tcW w:type="dxa" w:w="964"/>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86 %</w:t>
            </w:r>
          </w:p>
        </w:tc>
        <w:tc>
          <w:tcPr>
            <w:tcW w:type="dxa" w:w="4195"/>
            <w:tcBorders>
              <w:top w:val="single" w:sz="4" w:color="999999"/>
              <w:left w:val="single" w:sz="4" w:color="999999"/>
              <w:bottom w:val="single" w:sz="4" w:color="999999"/>
              <w:right w:val="single" w:sz="4" w:color="999999"/>
            </w:tcBorders>
            <w:vAlign w:val="top"/>
          </w:tcPr>
          <w:p>
            <w:pPr>
              <w:spacing w:before="40" w:after="40"/>
            </w:pPr>
            <w:r/>
            <w:r>
              <w:rPr>
                <w:rFonts w:ascii="Calibri" w:hAnsi="Calibri"/>
                <w:sz w:val="20"/>
              </w:rPr>
              <w:t>Cartographie ajoute lisibilité supplémentaire</w:t>
            </w:r>
          </w:p>
        </w:tc>
      </w:tr>
    </w:tbl>
    <w:p/>
    <w:p>
      <w:pPr>
        <w:keepNext/>
        <w:spacing w:before="200" w:after="120"/>
      </w:pPr>
      <w:r>
        <w:rPr>
          <w:rFonts w:ascii="Calibri" w:hAnsi="Calibri"/>
          <w:b/>
          <w:sz w:val="28"/>
        </w:rPr>
        <w:t>13.4 Ce que dit réellement le ≈ 93 %</w:t>
      </w:r>
    </w:p>
    <w:p>
      <w:pPr>
        <w:spacing w:after="120"/>
        <w:ind w:left="227"/>
      </w:pPr>
      <w:r>
        <w:rPr>
          <w:sz w:val="22"/>
        </w:rPr>
        <w:t>— Le projet a franchi un palier de cadence mesurée plutôt qu'un palier d'avancement strict. La comparaison directe v13 → v14 permet désormais de calibrer non seulement où le projet en est, mais aussi à quelle vitesse il y arrive — ce qui est une condition pour piloter la fermeture finale.</w:t>
      </w:r>
    </w:p>
    <w:p>
      <w:pPr>
        <w:spacing w:after="120"/>
        <w:ind w:left="227"/>
      </w:pPr>
      <w:r>
        <w:rPr>
          <w:sz w:val="22"/>
        </w:rPr>
        <w:t>— Ce palier est dû à la conjonction de trois effets : la fermeture effective de la consultation locale (séquence #2 v13 bouclée), la livraison de trois couches métier nouvelles dont une déjà ré-jonctionnée frontend (admin réseau), la requalification de la dette de sécurité par familles plutôt que par fonction.</w:t>
      </w:r>
    </w:p>
    <w:p>
      <w:pPr>
        <w:spacing w:after="120"/>
        <w:ind w:left="227"/>
      </w:pPr>
      <w:r>
        <w:rPr>
          <w:sz w:val="22"/>
        </w:rPr>
        <w:t>— Le projet est désormais lisible non seulement exactement (acquis v13) mais aussi comparativement (acquis v14). Toute v_{n+1} pourra désormais s'appuyer sur la même méthodologie de comparaison directe.</w:t>
      </w:r>
    </w:p>
    <w:p>
      <w:pPr>
        <w:spacing w:after="120"/>
        <w:ind w:left="227"/>
      </w:pPr>
      <w:r>
        <w:rPr>
          <w:sz w:val="22"/>
        </w:rPr>
        <w:t>— Le travail restant — environ 7 % d'un système complet — se concentre sur les jonctions frontend (PEB, profils d'adoption, gouvernance staff complète), la dette stricte (7 items + indexes FK), la migration Resend, et la première activation tierce. Chacun est désormais évaluable en jours, et l'ordre de traitement est explicite.</w:t>
      </w:r>
    </w:p>
    <w:p>
      <w:pPr>
        <w:spacing w:after="120"/>
        <w:ind w:left="227"/>
      </w:pPr>
      <w:r>
        <w:rPr>
          <w:sz w:val="22"/>
        </w:rPr>
        <w:t>— Aucun chantier structurant nouveau n'est prioritaire. La doctrine de jonction l'emporte sur toute autre.</w:t>
      </w:r>
    </w:p>
    <w:p>
      <w:pPr>
        <w:keepNext/>
        <w:spacing w:before="200" w:after="120"/>
      </w:pPr>
      <w:r>
        <w:rPr>
          <w:rFonts w:ascii="Calibri" w:hAnsi="Calibri"/>
          <w:b/>
          <w:sz w:val="28"/>
        </w:rPr>
        <w:t>13.5 Corpus retenu pour cette v14</w:t>
      </w:r>
    </w:p>
    <w:p>
      <w:pPr>
        <w:spacing w:after="120" w:line="276" w:lineRule="auto"/>
      </w:pPr>
      <w:r>
        <w:rPr>
          <w:rFonts w:ascii="Calibri" w:hAnsi="Calibri"/>
          <w:b w:val="0"/>
          <w:i w:val="0"/>
          <w:sz w:val="22"/>
        </w:rPr>
        <w:t>Le présent document a été rédigé à partir des pièces effectivement transmises ou consultées :</w:t>
      </w:r>
    </w:p>
    <w:p>
      <w:pPr>
        <w:spacing w:after="80"/>
        <w:ind w:left="227"/>
      </w:pPr>
      <w:r>
        <w:rPr>
          <w:sz w:val="22"/>
        </w:rPr>
        <w:t>— Livre blanc stratégique v13 du 30 avril 2026 soir (transmis), lu intégralement pour reproduire la méthode.</w:t>
      </w:r>
    </w:p>
    <w:p>
      <w:pPr>
        <w:spacing w:after="80"/>
        <w:ind w:left="227"/>
      </w:pPr>
      <w:r>
        <w:rPr>
          <w:sz w:val="22"/>
        </w:rPr>
        <w:t>— Inventaire SQL exact reçu aujourd'hui sous forme de tableaux structurés produits depuis le SQL Editor Supabase : comptages globaux (107 tables, 72 vues, 373 fonctions, 250 SD, 144 policies, 79 triggers, 384 indexes, 187 FK), inventaire tables avec RLS et policies, inventaire vues avec security_invoker explicite, inventaire fonctions (partiel) avec security_definer + anon_exec + auth_exec, inventaire triggers complet, inventaire policies (partiel), inventaire indexes avec utilisation, inventaire clés étrangères sans index supportant.</w:t>
      </w:r>
    </w:p>
    <w:p>
      <w:pPr>
        <w:spacing w:after="80"/>
        <w:ind w:left="227"/>
      </w:pPr>
      <w:r>
        <w:rPr>
          <w:sz w:val="22"/>
        </w:rPr>
        <w:t>— Export complet des advisors Supabase (security + performance) : 1 ERROR (security_definer_view sur v_active_memberships), 1 WARN function_search_path_mutable, 2 WARN materialized_view_in_api, 2 WARN public_bucket_allows_listing, 24 WARN anon_security_definer_function_executable, plus de 100 WARN authenticated_security_definer_function_executable.</w:t>
      </w:r>
    </w:p>
    <w:p>
      <w:pPr>
        <w:spacing w:after="80"/>
        <w:ind w:left="227"/>
      </w:pPr>
      <w:r>
        <w:rPr>
          <w:sz w:val="22"/>
        </w:rPr>
        <w:t>— Corpus frontend reçu (anarbib-app, 108 Mo, 24 262 fichiers) : extraction sélective de src/ (91 fichiers, dont AccountPage 1952 lignes, PanelPage 2757 lignes, BibliotecaPage 1317 lignes), supabase/migrations/ (97 fichiers dont 96 sur mai 2026), supabase/functions/ (18 Edge Functions + couche _shared/ structurée par domain/data/transport/i18n), src/i18n/locales/ (6 fichiers × ≈175 KB).</w:t>
      </w:r>
    </w:p>
    <w:p>
      <w:pPr>
        <w:spacing w:after="80"/>
        <w:ind w:left="227"/>
      </w:pPr>
      <w:r>
        <w:rPr>
          <w:sz w:val="22"/>
        </w:rPr>
        <w:t>— Backlog technique v7 du 19 mai 2026 (livré dans la session courante).</w:t>
      </w:r>
    </w:p>
    <w:p>
      <w:pPr>
        <w:spacing w:after="80"/>
        <w:ind w:left="227"/>
      </w:pPr>
      <w:r>
        <w:rPr>
          <w:sz w:val="22"/>
        </w:rPr>
        <w:t>— Documentation interne des chantiers 12-19 mai (CHANTIER_doctrine_creation_objets_securises_v2_2026-05-18.md, AUDIT_securite_fonctions_privees_2026-05-18.md, CHANTIER_peb_frontend_diagnostic_2026-05-19.md, BILAN_session_19_mai_2026_paquets_C_D.md, et notes mémoire de session sur paquets B-D et chantiers consulta + admin réseau).</w:t>
      </w:r>
    </w:p>
    <w:p>
      <w:pPr>
        <w:spacing w:after="80"/>
        <w:ind w:left="227"/>
      </w:pPr>
      <w:r>
        <w:rPr>
          <w:sz w:val="22"/>
        </w:rPr>
        <w:t>— Notes : la v14 ne s'appuie pas sur le dump schema.sql intégral comme la v13. La précision sur les corps de fonctions et les contraintes CHECK est moins fine. La comparaison chiffrée v13 → v14 reste valide, parce que les comptages globaux et les inventaires structurés couvrent l'essentiel.</w:t>
      </w:r>
    </w:p>
    <w:p>
      <w:pPr>
        <w:keepNext/>
        <w:spacing w:before="200" w:after="120"/>
      </w:pPr>
      <w:r>
        <w:rPr>
          <w:rFonts w:ascii="Calibri" w:hAnsi="Calibri"/>
          <w:b/>
          <w:sz w:val="28"/>
        </w:rPr>
        <w:t>13.6 Note de clôture sur la cadence des Livres blancs</w:t>
      </w:r>
    </w:p>
    <w:p>
      <w:pPr>
        <w:spacing w:after="120" w:line="276" w:lineRule="auto"/>
      </w:pPr>
      <w:r>
        <w:rPr>
          <w:rFonts w:ascii="Calibri" w:hAnsi="Calibri"/>
          <w:b w:val="0"/>
          <w:i/>
          <w:sz w:val="22"/>
        </w:rPr>
        <w:t>La série v9.7 → v14 couvre une période de cinquante jours (du 31 mars au 19 mai 2026). Sur cette période, le projet est passé de 61 % à 93 % d'avancement estimé, soit +32 points. La cadence moyenne reste autour de +0,6 point par jour calendaire, légèrement inférieure aux +1 point par jour de la période v9.7 → v13. Ce ralentissement est attendu et conforme à la doctrine v13 : les chantiers restants demandent désormais de la précision plutôt que de la vitesse.</w:t>
      </w:r>
    </w:p>
    <w:p>
      <w:pPr>
        <w:spacing w:after="120" w:line="276" w:lineRule="auto"/>
      </w:pPr>
      <w:r>
        <w:rPr>
          <w:rFonts w:ascii="Calibri" w:hAnsi="Calibri"/>
          <w:b w:val="0"/>
          <w:i/>
          <w:sz w:val="22"/>
        </w:rPr>
        <w:t>Une v15 ne devrait pas être produite avant que des jonctions effectives aient eu lieu — au moins une parmi : jonction frontend PEB (séquence #1), jonction frontend profils d'adoption (séquence #2), durcissement de la dette stricte (séquence #3). La doctrine v14 (Précision 1) impose désormais que chaque nouveau Livre blanc s'appuie non seulement sur des avancements mesurables côté backend, mais aussi sur des avancements de jonction backend / frontend qualitativement observables côté utilisateur réel.</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