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200"/>
      </w:pPr>
      <w:r>
        <w:rPr>
          <w:rFonts w:ascii="Calibri" w:hAnsi="Calibri"/>
          <w:b/>
          <w:color w:val="1F4E79"/>
          <w:sz w:val="40"/>
        </w:rPr>
        <w:t>DÉCISION — Arbitrages du chantier Extension mobile / Mode terrain</w:t>
      </w:r>
    </w:p>
    <w:p>
      <w:pPr>
        <w:spacing w:after="120"/>
      </w:pPr>
      <w:r>
        <w:rPr>
          <w:rFonts w:ascii="Calibri" w:hAnsi="Calibri"/>
          <w:b/>
          <w:i w:val="0"/>
          <w:sz w:val="22"/>
        </w:rPr>
        <w:t>Référence</w:t>
      </w:r>
      <w:r>
        <w:rPr>
          <w:rFonts w:ascii="Calibri" w:hAnsi="Calibri"/>
          <w:b w:val="0"/>
          <w:i w:val="0"/>
          <w:sz w:val="22"/>
        </w:rPr>
        <w:t xml:space="preserve"> : DECISION_chantier_mobile_arbitrages_2026-05-28</w:t>
      </w:r>
    </w:p>
    <w:p>
      <w:pPr>
        <w:spacing w:after="120"/>
      </w:pPr>
      <w:r>
        <w:rPr>
          <w:rFonts w:ascii="Calibri" w:hAnsi="Calibri"/>
          <w:b/>
          <w:i w:val="0"/>
          <w:sz w:val="22"/>
        </w:rPr>
        <w:t>Statut</w:t>
      </w:r>
      <w:r>
        <w:rPr>
          <w:rFonts w:ascii="Calibri" w:hAnsi="Calibri"/>
          <w:b w:val="0"/>
          <w:i w:val="0"/>
          <w:sz w:val="22"/>
        </w:rPr>
        <w:t xml:space="preserve"> : Arbitré. Fait passer le dossier d'ouverture de v0.1 à v0.2.</w:t>
      </w:r>
    </w:p>
    <w:p>
      <w:pPr>
        <w:spacing w:after="120"/>
      </w:pPr>
      <w:r>
        <w:rPr>
          <w:rFonts w:ascii="Calibri" w:hAnsi="Calibri"/>
          <w:b/>
          <w:i w:val="0"/>
          <w:sz w:val="22"/>
        </w:rPr>
        <w:t>Date</w:t>
      </w:r>
      <w:r>
        <w:rPr>
          <w:rFonts w:ascii="Calibri" w:hAnsi="Calibri"/>
          <w:b w:val="0"/>
          <w:i w:val="0"/>
          <w:sz w:val="22"/>
        </w:rPr>
        <w:t xml:space="preserve"> : 28 mai 2026</w:t>
      </w:r>
    </w:p>
    <w:p>
      <w:pPr>
        <w:spacing w:after="120"/>
      </w:pPr>
      <w:r>
        <w:rPr>
          <w:rFonts w:ascii="Calibri" w:hAnsi="Calibri"/>
          <w:b/>
          <w:i w:val="0"/>
          <w:sz w:val="22"/>
        </w:rPr>
        <w:t>Emplacement</w:t>
      </w:r>
      <w:r>
        <w:rPr>
          <w:rFonts w:ascii="Calibri" w:hAnsi="Calibri"/>
          <w:b w:val="0"/>
          <w:i w:val="0"/>
          <w:sz w:val="22"/>
        </w:rPr>
        <w:t xml:space="preserve"> : docs/decisions/</w:t>
      </w:r>
    </w:p>
    <w:p>
      <w:pPr>
        <w:spacing w:after="120"/>
      </w:pPr>
      <w:r>
        <w:rPr>
          <w:rFonts w:ascii="Calibri" w:hAnsi="Calibri"/>
          <w:b/>
          <w:i w:val="0"/>
          <w:sz w:val="22"/>
        </w:rPr>
        <w:t>Origine</w:t>
      </w:r>
      <w:r>
        <w:rPr>
          <w:rFonts w:ascii="Calibri" w:hAnsi="Calibri"/>
          <w:b w:val="0"/>
          <w:i w:val="0"/>
          <w:sz w:val="22"/>
        </w:rPr>
        <w:t xml:space="preserve"> : Dossier d'ouverture CHANTIER_extension_mobile_mode_terrain_2026-05-26 (v0.1), § 7 (quatre arbitrages en attente) et § 7.1 (trois décisions doctrinales).</w:t>
      </w:r>
    </w:p>
    <w:p>
      <w:pPr>
        <w:spacing w:after="120"/>
      </w:pPr>
      <w:r>
        <w:rPr>
          <w:rFonts w:ascii="Calibri" w:hAnsi="Calibri"/>
          <w:b/>
          <w:i w:val="0"/>
          <w:sz w:val="22"/>
        </w:rPr>
        <w:t>Articulation</w:t>
      </w:r>
      <w:r>
        <w:rPr>
          <w:rFonts w:ascii="Calibri" w:hAnsi="Calibri"/>
          <w:b w:val="0"/>
          <w:i w:val="0"/>
          <w:sz w:val="22"/>
        </w:rPr>
        <w:t xml:space="preserve"> : Croise le chantier-cadre #PAINEL (requalification du chantier C, voir § 4). Étape revendiquée pour Bologne FICEDL, septembre 2026.</w:t>
      </w:r>
    </w:p>
    <w:p>
      <w:pPr>
        <w:keepNext/>
        <w:spacing w:before="280" w:after="120"/>
      </w:pPr>
      <w:r>
        <w:rPr>
          <w:rFonts w:ascii="Calibri" w:hAnsi="Calibri"/>
          <w:b/>
          <w:color w:val="2E74B5"/>
          <w:sz w:val="30"/>
        </w:rPr>
        <w:t>1. Objet</w:t>
      </w:r>
    </w:p>
    <w:p>
      <w:pPr>
        <w:spacing w:after="120"/>
      </w:pPr>
      <w:r>
        <w:rPr>
          <w:rFonts w:ascii="Calibri" w:hAnsi="Calibri"/>
          <w:b w:val="0"/>
          <w:i w:val="0"/>
          <w:sz w:val="22"/>
        </w:rPr>
        <w:t>Le dossier d'ouverture du 26/05 laissait quatre arbitrages (A.1 à A.4) et trois décisions doctrinales en attente. La présente décision les tranche tous, ouvre la voie à la spec technique de la carte-lecteur (livrée conjointement), et requalifie le chantier C du chantier-cadre #PAINEL dont le contenu (EA-02 + OT-3) s'avère absorbé par ce chantier mobile.</w:t>
      </w:r>
    </w:p>
    <w:p>
      <w:pPr>
        <w:keepNext/>
        <w:spacing w:before="280" w:after="120"/>
      </w:pPr>
      <w:r>
        <w:rPr>
          <w:rFonts w:ascii="Calibri" w:hAnsi="Calibri"/>
          <w:b/>
          <w:color w:val="2E74B5"/>
          <w:sz w:val="30"/>
        </w:rPr>
        <w:t>2. Arbitrages tranchés</w:t>
      </w:r>
    </w:p>
    <w:p>
      <w:pPr>
        <w:keepNext/>
        <w:spacing w:before="200" w:after="80"/>
      </w:pPr>
      <w:r>
        <w:rPr>
          <w:rFonts w:ascii="Calibri" w:hAnsi="Calibri"/>
          <w:b/>
          <w:color w:val="5B9BD5"/>
          <w:sz w:val="25"/>
        </w:rPr>
        <w:t>A.1 — Séquence vis-à-vis de Catalogção : **VOIE MÉDIANE**</w:t>
      </w:r>
    </w:p>
    <w:p>
      <w:pPr>
        <w:spacing w:after="120"/>
      </w:pPr>
      <w:r>
        <w:rPr>
          <w:rFonts w:ascii="Calibri" w:hAnsi="Calibri"/>
          <w:b w:val="0"/>
          <w:i w:val="0"/>
          <w:sz w:val="22"/>
        </w:rPr>
        <w:t xml:space="preserve">Ni « tout le chantier mobile après Catalogção » (lecture 1), ni « détachement des Paquets 0 et 1 ensemble » (lecture 2), mais une troisième voie : </w:t>
      </w:r>
      <w:r>
        <w:rPr>
          <w:rFonts w:ascii="Calibri" w:hAnsi="Calibri"/>
          <w:b/>
          <w:i w:val="0"/>
          <w:sz w:val="22"/>
        </w:rPr>
        <w:t>détacher uniquement la carte-lecteur (Paquet 1), sans le socle PWA (Paquet 0)</w:t>
      </w:r>
      <w:r>
        <w:rPr>
          <w:rFonts w:ascii="Calibri" w:hAnsi="Calibri"/>
          <w:b w:val="0"/>
          <w:i w:val="0"/>
          <w:sz w:val="22"/>
        </w:rPr>
        <w:t>.</w:t>
      </w:r>
    </w:p>
    <w:p>
      <w:pPr>
        <w:spacing w:after="120"/>
      </w:pPr>
      <w:r>
        <w:rPr>
          <w:rFonts w:ascii="Calibri" w:hAnsi="Calibri"/>
          <w:b w:val="0"/>
          <w:i w:val="0"/>
          <w:sz w:val="22"/>
        </w:rPr>
        <w:t xml:space="preserve">La carte-lecteur est générée et exportée </w:t>
      </w:r>
      <w:r>
        <w:rPr>
          <w:rFonts w:ascii="Calibri" w:hAnsi="Calibri"/>
          <w:b/>
          <w:i w:val="0"/>
          <w:sz w:val="22"/>
        </w:rPr>
        <w:t>depuis l'app desktop existante</w:t>
      </w:r>
      <w:r>
        <w:rPr>
          <w:rFonts w:ascii="Calibri" w:hAnsi="Calibri"/>
          <w:b w:val="0"/>
          <w:i w:val="0"/>
          <w:sz w:val="22"/>
        </w:rPr>
        <w:t xml:space="preserve"> : un bouton « générer ma carte » côté reader produit un fichier (PNG + PDF), sans nécessiter l'infrastructure PWA. Le socle PWA, le scanner, la permanence et le récolement restent collés à Catalogção et viennent plus tard.</w:t>
      </w:r>
    </w:p>
    <w:p>
      <w:pPr>
        <w:spacing w:after="120"/>
      </w:pPr>
      <w:r>
        <w:rPr>
          <w:rFonts w:ascii="Calibri" w:hAnsi="Calibri"/>
          <w:b/>
          <w:i w:val="0"/>
          <w:sz w:val="22"/>
        </w:rPr>
        <w:t>Justification.</w:t>
      </w:r>
      <w:r>
        <w:rPr>
          <w:rFonts w:ascii="Calibri" w:hAnsi="Calibri"/>
          <w:b w:val="0"/>
          <w:i w:val="0"/>
          <w:sz w:val="22"/>
        </w:rPr>
        <w:t xml:space="preserve"> La carte-lecteur est un objet politiquement parlant (laissez-passer détachable, révocable, inerte hors scan staff = la posture de sécurité libertaire incarnée dans un artefact). Elle est montrable à Bologne au coût minimal, sans ouvrir le front PWA — donc sans entamer la discipline de clôture itérative sur les autres chantiers. Le scanner (besoin d'origine du camarade de la BTL) reste séquencé avec Catalogção, où il a son sens.</w:t>
      </w:r>
    </w:p>
    <w:p>
      <w:pPr>
        <w:spacing w:after="120"/>
      </w:pPr>
      <w:r>
        <w:rPr>
          <w:rFonts w:ascii="Calibri" w:hAnsi="Calibri"/>
          <w:b/>
          <w:i w:val="0"/>
          <w:sz w:val="22"/>
        </w:rPr>
        <w:t>Asymétrie temporaire assumée.</w:t>
      </w:r>
      <w:r>
        <w:rPr>
          <w:rFonts w:ascii="Calibri" w:hAnsi="Calibri"/>
          <w:b w:val="0"/>
          <w:i w:val="0"/>
          <w:sz w:val="22"/>
        </w:rPr>
        <w:t xml:space="preserve"> Pendant la période où la carte existe sans le scanner : les lecteur·ices peuvent générer leur carte, mais le staff ne peut pas encore la scanner (l'interface de scan, c'est le Paquet 3, après Catalogção). La carte a malgré tout une valeur propre — elle existe, elle est exportable, elle est révocable. Cette asymétrie doit être documentée côté Biblioteca pour ne pas créer d'attente déçue.</w:t>
      </w:r>
    </w:p>
    <w:p>
      <w:pPr>
        <w:keepNext/>
        <w:spacing w:before="200" w:after="80"/>
      </w:pPr>
      <w:r>
        <w:rPr>
          <w:rFonts w:ascii="Calibri" w:hAnsi="Calibri"/>
          <w:b/>
          <w:color w:val="5B9BD5"/>
          <w:sz w:val="25"/>
        </w:rPr>
        <w:t>A.1-bis — Périmètre backend du jeton dans cette phase : **β (modèle complet, résolution staff différée)**</w:t>
      </w:r>
    </w:p>
    <w:p>
      <w:pPr>
        <w:spacing w:after="120"/>
      </w:pPr>
      <w:r>
        <w:rPr>
          <w:rFonts w:ascii="Calibri" w:hAnsi="Calibri"/>
          <w:b w:val="0"/>
          <w:i w:val="0"/>
          <w:sz w:val="22"/>
        </w:rPr>
        <w:t xml:space="preserve">On construit maintenant : le </w:t>
      </w:r>
      <w:r>
        <w:rPr>
          <w:rFonts w:ascii="Calibri" w:hAnsi="Calibri"/>
          <w:b/>
          <w:i w:val="0"/>
          <w:sz w:val="22"/>
        </w:rPr>
        <w:t>modèle de données complet</w:t>
      </w:r>
      <w:r>
        <w:rPr>
          <w:rFonts w:ascii="Calibri" w:hAnsi="Calibri"/>
          <w:b w:val="0"/>
          <w:i w:val="0"/>
          <w:sz w:val="22"/>
        </w:rPr>
        <w:t xml:space="preserve"> du jeton (la mini-table, voir A.3), la </w:t>
      </w:r>
      <w:r>
        <w:rPr>
          <w:rFonts w:ascii="Calibri" w:hAnsi="Calibri"/>
          <w:b/>
          <w:i w:val="0"/>
          <w:sz w:val="22"/>
        </w:rPr>
        <w:t>RPC de génération</w:t>
      </w:r>
      <w:r>
        <w:rPr>
          <w:rFonts w:ascii="Calibri" w:hAnsi="Calibri"/>
          <w:b w:val="0"/>
          <w:i w:val="0"/>
          <w:sz w:val="22"/>
        </w:rPr>
        <w:t xml:space="preserve"> et la </w:t>
      </w:r>
      <w:r>
        <w:rPr>
          <w:rFonts w:ascii="Calibri" w:hAnsi="Calibri"/>
          <w:b/>
          <w:i w:val="0"/>
          <w:sz w:val="22"/>
        </w:rPr>
        <w:t>RPC de révocation</w:t>
      </w:r>
      <w:r>
        <w:rPr>
          <w:rFonts w:ascii="Calibri" w:hAnsi="Calibri"/>
          <w:b w:val="0"/>
          <w:i w:val="0"/>
          <w:sz w:val="22"/>
        </w:rPr>
        <w:t xml:space="preserve"> (côté reader). On NE construit PAS encore la </w:t>
      </w:r>
      <w:r>
        <w:rPr>
          <w:rFonts w:ascii="Calibri" w:hAnsi="Calibri"/>
          <w:b/>
          <w:i w:val="0"/>
          <w:sz w:val="22"/>
        </w:rPr>
        <w:t>RPC de résolution staff</w:t>
      </w:r>
      <w:r>
        <w:rPr>
          <w:rFonts w:ascii="Calibri" w:hAnsi="Calibri"/>
          <w:b w:val="0"/>
          <w:i w:val="0"/>
          <w:sz w:val="22"/>
        </w:rPr>
        <w:t xml:space="preserve"> (résoudre un jeton scanné vers une appartenance) — elle attend le Paquet 3, qui portera l'interface de scan.</w:t>
      </w:r>
    </w:p>
    <w:p>
      <w:pPr>
        <w:spacing w:after="120"/>
      </w:pPr>
      <w:r>
        <w:rPr>
          <w:rFonts w:ascii="Calibri" w:hAnsi="Calibri"/>
          <w:b/>
          <w:i w:val="0"/>
          <w:sz w:val="22"/>
        </w:rPr>
        <w:t>Justification.</w:t>
      </w:r>
      <w:r>
        <w:rPr>
          <w:rFonts w:ascii="Calibri" w:hAnsi="Calibri"/>
          <w:b w:val="0"/>
          <w:i w:val="0"/>
          <w:sz w:val="22"/>
        </w:rPr>
        <w:t xml:space="preserve"> Le modèle de données est figé d'emblée pour éviter toute migration ultérieure. Mais on n'écrit pas de code dormant : la RPC de résolution, qui ne serait appelée par aucune interface avant des mois, attend que son consommateur (le scan staff) existe. Fidèle à la discipline « pas de code qui ne sert pas encore ».</w:t>
      </w:r>
    </w:p>
    <w:p>
      <w:pPr>
        <w:keepNext/>
        <w:spacing w:before="200" w:after="80"/>
      </w:pPr>
      <w:r>
        <w:rPr>
          <w:rFonts w:ascii="Calibri" w:hAnsi="Calibri"/>
          <w:b/>
          <w:color w:val="5B9BD5"/>
          <w:sz w:val="25"/>
        </w:rPr>
        <w:t>A.1-ter — Format de l'artefact carte : **PNG + PDF**</w:t>
      </w:r>
    </w:p>
    <w:p>
      <w:pPr>
        <w:spacing w:after="120"/>
      </w:pPr>
      <w:r>
        <w:rPr>
          <w:rFonts w:ascii="Calibri" w:hAnsi="Calibri"/>
          <w:b w:val="0"/>
          <w:i w:val="0"/>
          <w:sz w:val="22"/>
        </w:rPr>
        <w:t xml:space="preserve">La carte est exportée en deux formats : </w:t>
      </w:r>
      <w:r>
        <w:rPr>
          <w:rFonts w:ascii="Calibri" w:hAnsi="Calibri"/>
          <w:b/>
          <w:i w:val="0"/>
          <w:sz w:val="22"/>
        </w:rPr>
        <w:t>PNG</w:t>
      </w:r>
      <w:r>
        <w:rPr>
          <w:rFonts w:ascii="Calibri" w:hAnsi="Calibri"/>
          <w:b w:val="0"/>
          <w:i w:val="0"/>
          <w:sz w:val="22"/>
        </w:rPr>
        <w:t xml:space="preserve"> (pour la galerie photo du téléphone — scénario « j'ouvre ma galerie à la permanence ») et </w:t>
      </w:r>
      <w:r>
        <w:rPr>
          <w:rFonts w:ascii="Calibri" w:hAnsi="Calibri"/>
          <w:b/>
          <w:i w:val="0"/>
          <w:sz w:val="22"/>
        </w:rPr>
        <w:t>PDF</w:t>
      </w:r>
      <w:r>
        <w:rPr>
          <w:rFonts w:ascii="Calibri" w:hAnsi="Calibri"/>
          <w:b w:val="0"/>
          <w:i w:val="0"/>
          <w:sz w:val="22"/>
        </w:rPr>
        <w:t xml:space="preserve"> (pour l'impression propre).</w:t>
      </w:r>
    </w:p>
    <w:p>
      <w:pPr>
        <w:spacing w:after="120"/>
      </w:pPr>
      <w:r>
        <w:rPr>
          <w:rFonts w:ascii="Calibri" w:hAnsi="Calibri"/>
          <w:b/>
          <w:i w:val="0"/>
          <w:sz w:val="22"/>
        </w:rPr>
        <w:t>Justification.</w:t>
      </w:r>
      <w:r>
        <w:rPr>
          <w:rFonts w:ascii="Calibri" w:hAnsi="Calibri"/>
          <w:b w:val="0"/>
          <w:i w:val="0"/>
          <w:sz w:val="22"/>
        </w:rPr>
        <w:t xml:space="preserve"> Le PNG colle au scénario d'usage réel (galerie photo, détachable, inerte). Le PDF couvre l'impression d'une carte physique. Les deux ensemble couvrent les deux modes de présentation sans privilégier l'un.</w:t>
      </w:r>
    </w:p>
    <w:p>
      <w:pPr>
        <w:keepNext/>
        <w:spacing w:before="200" w:after="80"/>
      </w:pPr>
      <w:r>
        <w:rPr>
          <w:rFonts w:ascii="Calibri" w:hAnsi="Calibri"/>
          <w:b/>
          <w:color w:val="5B9BD5"/>
          <w:sz w:val="25"/>
        </w:rPr>
        <w:t>A.2 — Portée du jeton : **UN JETON PAR APPARTENANCE**</w:t>
      </w:r>
    </w:p>
    <w:p>
      <w:pPr>
        <w:spacing w:after="120"/>
      </w:pPr>
      <w:r>
        <w:rPr>
          <w:rFonts w:ascii="Calibri" w:hAnsi="Calibri"/>
          <w:b w:val="0"/>
          <w:i w:val="0"/>
          <w:sz w:val="22"/>
        </w:rPr>
        <w:t>Un lecteur membre de trois bibliothèques a trois cartes, chacune portant le slug de sa bibliothèque et son propre jeton.</w:t>
      </w:r>
    </w:p>
    <w:p>
      <w:pPr>
        <w:spacing w:after="120"/>
      </w:pPr>
      <w:r>
        <w:rPr>
          <w:rFonts w:ascii="Calibri" w:hAnsi="Calibri"/>
          <w:b/>
          <w:i w:val="0"/>
          <w:sz w:val="22"/>
        </w:rPr>
        <w:t>Justification.</w:t>
      </w:r>
      <w:r>
        <w:rPr>
          <w:rFonts w:ascii="Calibri" w:hAnsi="Calibri"/>
          <w:b w:val="0"/>
          <w:i w:val="0"/>
          <w:sz w:val="22"/>
        </w:rPr>
        <w:t xml:space="preserve"> Cohérent avec la doctrine admin réseau « la page = périmètre, pas de transverse ». La carte porte le logo/slug d'UNE bibliothèque (choix A.1-ter) : elle est donc intrinsèquement liée à une appartenance précise. Un jeton unique par personne contredirait l'idée même d'une carte estampillée d'une biblio, et créerait un identifiant transverse traçant la personne à travers tout le réseau — exactement ce que la doctrine de sécurité veut éviter.</w:t>
      </w:r>
    </w:p>
    <w:p>
      <w:pPr>
        <w:keepNext/>
        <w:spacing w:before="200" w:after="80"/>
      </w:pPr>
      <w:r>
        <w:rPr>
          <w:rFonts w:ascii="Calibri" w:hAnsi="Calibri"/>
          <w:b/>
          <w:color w:val="5B9BD5"/>
          <w:sz w:val="25"/>
        </w:rPr>
        <w:t>A.3 — Stockage du jeton et de son statut : **MINI-TABLE DÉDIÉE**</w:t>
      </w:r>
    </w:p>
    <w:p>
      <w:pPr>
        <w:spacing w:after="120"/>
      </w:pPr>
      <w:r>
        <w:rPr>
          <w:rFonts w:ascii="Calibri" w:hAnsi="Calibri"/>
          <w:b w:val="0"/>
          <w:i w:val="0"/>
          <w:sz w:val="22"/>
        </w:rPr>
        <w:t xml:space="preserve">Une table </w:t>
      </w:r>
      <w:r>
        <w:rPr>
          <w:rFonts w:ascii="Consolas" w:hAnsi="Consolas"/>
          <w:b w:val="0"/>
          <w:i w:val="0"/>
          <w:sz w:val="22"/>
        </w:rPr>
        <w:t>reader_card_tokens</w:t>
      </w:r>
      <w:r>
        <w:rPr>
          <w:rFonts w:ascii="Calibri" w:hAnsi="Calibri"/>
          <w:b w:val="0"/>
          <w:i w:val="0"/>
          <w:sz w:val="22"/>
        </w:rPr>
        <w:t xml:space="preserve"> (nom de travail), pas une colonne sur </w:t>
      </w:r>
      <w:r>
        <w:rPr>
          <w:rFonts w:ascii="Consolas" w:hAnsi="Consolas"/>
          <w:b w:val="0"/>
          <w:i w:val="0"/>
          <w:sz w:val="22"/>
        </w:rPr>
        <w:t>user_library_memberships</w:t>
      </w:r>
      <w:r>
        <w:rPr>
          <w:rFonts w:ascii="Calibri" w:hAnsi="Calibri"/>
          <w:b w:val="0"/>
          <w:i w:val="0"/>
          <w:sz w:val="22"/>
        </w:rPr>
        <w:t>. La table conserve l'historique des révocations (un jeton révoqué reste en base avec son statut, un nouveau jeton est créé).</w:t>
      </w:r>
    </w:p>
    <w:p>
      <w:pPr>
        <w:spacing w:after="120"/>
      </w:pPr>
      <w:r>
        <w:rPr>
          <w:rFonts w:ascii="Calibri" w:hAnsi="Calibri"/>
          <w:b/>
          <w:i w:val="0"/>
          <w:sz w:val="22"/>
        </w:rPr>
        <w:t>Justification.</w:t>
      </w:r>
      <w:r>
        <w:rPr>
          <w:rFonts w:ascii="Calibri" w:hAnsi="Calibri"/>
          <w:b w:val="0"/>
          <w:i w:val="0"/>
          <w:sz w:val="22"/>
        </w:rPr>
        <w:t xml:space="preserve"> La révocabilité est une propriété centrale de la doctrine de sécurité de la carte. Une révocation qui efface sans trace est moins défendable qu'une révocation tracée. La mini-table permet de savoir qu'un jeton a existé puis a été révoqué — cohérent avec la doctrine d'audit des actes sensibles (que l'on retrouve dans le chantier D de #PAINEL). La simplicité d'une colonne ne justifie pas la perte de traçabilité sur un objet de sécurité.</w:t>
      </w:r>
    </w:p>
    <w:p>
      <w:pPr>
        <w:keepNext/>
        <w:spacing w:before="200" w:after="80"/>
      </w:pPr>
      <w:r>
        <w:rPr>
          <w:rFonts w:ascii="Calibri" w:hAnsi="Calibri"/>
          <w:b/>
          <w:color w:val="5B9BD5"/>
          <w:sz w:val="25"/>
        </w:rPr>
        <w:t>A.4 — Risque résiduel carte-fichier : **ACTÉ, génération optionnelle**</w:t>
      </w:r>
    </w:p>
    <w:p>
      <w:pPr>
        <w:spacing w:after="120"/>
      </w:pPr>
      <w:r>
        <w:rPr>
          <w:rFonts w:ascii="Calibri" w:hAnsi="Calibri"/>
          <w:b w:val="0"/>
          <w:i w:val="0"/>
          <w:sz w:val="22"/>
        </w:rPr>
        <w:t>On acte explicitement que la carte-fichier sur un téléphone saisi réduit fortement le risque sans l'annuler : elle ne donne pas accès au compte (elle est inerte hors scan staff), mais elle révèle l'appartenance à une bibliothèque (le slug est visible sur la carte). Pour la plupart des collectifs, c'est acceptable ; pour les plus exposés, peut-être pas.</w:t>
      </w:r>
    </w:p>
    <w:p>
      <w:pPr>
        <w:spacing w:after="120"/>
      </w:pPr>
      <w:r>
        <w:rPr>
          <w:rFonts w:ascii="Calibri" w:hAnsi="Calibri"/>
          <w:b/>
          <w:i w:val="0"/>
          <w:sz w:val="22"/>
        </w:rPr>
        <w:t>Conséquence.</w:t>
      </w:r>
      <w:r>
        <w:rPr>
          <w:rFonts w:ascii="Calibri" w:hAnsi="Calibri"/>
          <w:b w:val="0"/>
          <w:i w:val="0"/>
          <w:sz w:val="22"/>
        </w:rPr>
        <w:t xml:space="preserve"> La génération de la carte reste un </w:t>
      </w:r>
      <w:r>
        <w:rPr>
          <w:rFonts w:ascii="Calibri" w:hAnsi="Calibri"/>
          <w:b/>
          <w:i w:val="0"/>
          <w:sz w:val="22"/>
        </w:rPr>
        <w:t>choix du lecteur</w:t>
      </w:r>
      <w:r>
        <w:rPr>
          <w:rFonts w:ascii="Calibri" w:hAnsi="Calibri"/>
          <w:b w:val="0"/>
          <w:i w:val="0"/>
          <w:sz w:val="22"/>
        </w:rPr>
        <w:t>. Un lecteur très exposé peut décider de ne jamais en générer et de fonctionner à l'identification nominale en permanence. La sécurité parfaite n'existe pas ; la transparence sur ce qu'on protège et ce qu'on ne protège pas, oui — et c'est cohérent avec la posture revendiquée pour Bologne.</w:t>
      </w:r>
    </w:p>
    <w:p>
      <w:pPr>
        <w:keepNext/>
        <w:spacing w:before="280" w:after="120"/>
      </w:pPr>
      <w:r>
        <w:rPr>
          <w:rFonts w:ascii="Calibri" w:hAnsi="Calibri"/>
          <w:b/>
          <w:color w:val="2E74B5"/>
          <w:sz w:val="30"/>
        </w:rPr>
        <w:t>3. Décisions doctrinales actées (à reporter au Grand Livre Blanc, prochaine version)</w:t>
      </w:r>
    </w:p>
    <w:p>
      <w:pPr>
        <w:spacing w:after="120"/>
      </w:pPr>
      <w:r>
        <w:rPr>
          <w:rFonts w:ascii="Calibri" w:hAnsi="Calibri"/>
          <w:b/>
          <w:i w:val="0"/>
          <w:sz w:val="22"/>
        </w:rPr>
        <w:t>Décision doctrinale 1.</w:t>
      </w:r>
      <w:r>
        <w:rPr>
          <w:rFonts w:ascii="Calibri" w:hAnsi="Calibri"/>
          <w:b w:val="0"/>
          <w:i w:val="0"/>
          <w:sz w:val="22"/>
        </w:rPr>
        <w:t xml:space="preserve"> La carte-lecteur est une </w:t>
      </w:r>
      <w:r>
        <w:rPr>
          <w:rFonts w:ascii="Calibri" w:hAnsi="Calibri"/>
          <w:b/>
          <w:i w:val="0"/>
          <w:sz w:val="22"/>
        </w:rPr>
        <w:t>capacité activable par bibliothèque</w:t>
      </w:r>
      <w:r>
        <w:rPr>
          <w:rFonts w:ascii="Calibri" w:hAnsi="Calibri"/>
          <w:b w:val="0"/>
          <w:i w:val="0"/>
          <w:sz w:val="22"/>
        </w:rPr>
        <w:t xml:space="preserve">, sur le modèle de </w:t>
      </w:r>
      <w:r>
        <w:rPr>
          <w:rFonts w:ascii="Consolas" w:hAnsi="Consolas"/>
          <w:b w:val="0"/>
          <w:i w:val="0"/>
          <w:sz w:val="22"/>
        </w:rPr>
        <w:t>circulation_mode</w:t>
      </w:r>
      <w:r>
        <w:rPr>
          <w:rFonts w:ascii="Calibri" w:hAnsi="Calibri"/>
          <w:b w:val="0"/>
          <w:i w:val="0"/>
          <w:sz w:val="22"/>
        </w:rPr>
        <w:t xml:space="preserve"> : une case à cocher dans l'onglet profil côté Biblioteca. Une bibliothèque qui n'en veut pas fonctionne à l'identification nominale en permanence.</w:t>
      </w:r>
    </w:p>
    <w:p>
      <w:pPr>
        <w:spacing w:after="120"/>
      </w:pPr>
      <w:r>
        <w:rPr>
          <w:rFonts w:ascii="Calibri" w:hAnsi="Calibri"/>
          <w:b/>
          <w:i w:val="0"/>
          <w:sz w:val="22"/>
        </w:rPr>
        <w:t>Décision doctrinale 2.</w:t>
      </w:r>
      <w:r>
        <w:rPr>
          <w:rFonts w:ascii="Calibri" w:hAnsi="Calibri"/>
          <w:b w:val="0"/>
          <w:i w:val="0"/>
          <w:sz w:val="22"/>
        </w:rPr>
        <w:t xml:space="preserve"> La carte-lecteur est un </w:t>
      </w:r>
      <w:r>
        <w:rPr>
          <w:rFonts w:ascii="Calibri" w:hAnsi="Calibri"/>
          <w:b/>
          <w:i w:val="0"/>
          <w:sz w:val="22"/>
        </w:rPr>
        <w:t>laissez-passer détachable, révocable et inerte hors contexte de scan staff</w:t>
      </w:r>
      <w:r>
        <w:rPr>
          <w:rFonts w:ascii="Calibri" w:hAnsi="Calibri"/>
          <w:b w:val="0"/>
          <w:i w:val="0"/>
          <w:sz w:val="22"/>
        </w:rPr>
        <w:t>. Elle n'est ni un document d'identité, ni un écran de l'app, ni un objet géré côté Painel. Le QR encode un pointeur opaque (un index), pas une identité ni un secret de session.</w:t>
      </w:r>
    </w:p>
    <w:p>
      <w:pPr>
        <w:spacing w:after="120"/>
      </w:pPr>
      <w:r>
        <w:rPr>
          <w:rFonts w:ascii="Calibri" w:hAnsi="Calibri"/>
          <w:b/>
          <w:i w:val="0"/>
          <w:sz w:val="22"/>
        </w:rPr>
        <w:t>Décision doctrinale 3.</w:t>
      </w:r>
      <w:r>
        <w:rPr>
          <w:rFonts w:ascii="Calibri" w:hAnsi="Calibri"/>
          <w:b w:val="0"/>
          <w:i w:val="0"/>
          <w:sz w:val="22"/>
        </w:rPr>
        <w:t xml:space="preserve"> Le mobile AnarBib est une </w:t>
      </w:r>
      <w:r>
        <w:rPr>
          <w:rFonts w:ascii="Calibri" w:hAnsi="Calibri"/>
          <w:b/>
          <w:i w:val="0"/>
          <w:sz w:val="22"/>
        </w:rPr>
        <w:t>PWA mono-codebase</w:t>
      </w:r>
      <w:r>
        <w:rPr>
          <w:rFonts w:ascii="Calibri" w:hAnsi="Calibri"/>
          <w:b w:val="0"/>
          <w:i w:val="0"/>
          <w:sz w:val="22"/>
        </w:rPr>
        <w:t xml:space="preserve"> ; il porte des tâches de terrain propres et ne réplique aucune fonction staff complexe. Service worker et stratégie de cache : sans tracker, à documenter explicitement.</w:t>
      </w:r>
    </w:p>
    <w:p>
      <w:pPr>
        <w:spacing w:after="120"/>
      </w:pPr>
      <w:r>
        <w:rPr>
          <w:rFonts w:ascii="Calibri" w:hAnsi="Calibri"/>
          <w:b w:val="0"/>
          <w:i w:val="0"/>
          <w:sz w:val="22"/>
        </w:rPr>
        <w:t>Ces trois décisions sont à inscrire au Grand Livre Blanc à sa prochaine révision (v17), dans un chapitre dédié au mode terrain ou en complément du chapitre sécurité.</w:t>
      </w:r>
    </w:p>
    <w:p>
      <w:pPr>
        <w:keepNext/>
        <w:spacing w:before="280" w:after="120"/>
      </w:pPr>
      <w:r>
        <w:rPr>
          <w:rFonts w:ascii="Calibri" w:hAnsi="Calibri"/>
          <w:b/>
          <w:color w:val="2E74B5"/>
          <w:sz w:val="30"/>
        </w:rPr>
        <w:t>4. Requalification du chantier C de #PAINEL</w:t>
      </w:r>
    </w:p>
    <w:p>
      <w:pPr>
        <w:spacing w:after="120"/>
      </w:pPr>
      <w:r>
        <w:rPr>
          <w:rFonts w:ascii="Calibri" w:hAnsi="Calibri"/>
          <w:b w:val="0"/>
          <w:i w:val="0"/>
          <w:sz w:val="22"/>
        </w:rPr>
        <w:t xml:space="preserve">Le chantier-cadre #PAINEL (audit du 26/05) plaçait dans son chantier C les écarts </w:t>
      </w:r>
      <w:r>
        <w:rPr>
          <w:rFonts w:ascii="Calibri" w:hAnsi="Calibri"/>
          <w:b/>
          <w:i w:val="0"/>
          <w:sz w:val="22"/>
        </w:rPr>
        <w:t>EA-02 (saisie d'identifiants manuelle)</w:t>
      </w:r>
      <w:r>
        <w:rPr>
          <w:rFonts w:ascii="Calibri" w:hAnsi="Calibri"/>
          <w:b w:val="0"/>
          <w:i w:val="0"/>
          <w:sz w:val="22"/>
        </w:rPr>
        <w:t xml:space="preserve"> et </w:t>
      </w:r>
      <w:r>
        <w:rPr>
          <w:rFonts w:ascii="Calibri" w:hAnsi="Calibri"/>
          <w:b/>
          <w:i w:val="0"/>
          <w:sz w:val="22"/>
        </w:rPr>
        <w:t>OT-3</w:t>
      </w:r>
      <w:r>
        <w:rPr>
          <w:rFonts w:ascii="Calibri" w:hAnsi="Calibri"/>
          <w:b w:val="0"/>
          <w:i w:val="0"/>
          <w:sz w:val="22"/>
        </w:rPr>
        <w:t>, avec la note « option scan de code-barres, sous-chantier déjà cadré par ailleurs ».</w:t>
      </w:r>
    </w:p>
    <w:p>
      <w:pPr>
        <w:spacing w:after="120"/>
      </w:pPr>
      <w:r>
        <w:rPr>
          <w:rFonts w:ascii="Calibri" w:hAnsi="Calibri"/>
          <w:b w:val="0"/>
          <w:i w:val="0"/>
          <w:sz w:val="22"/>
        </w:rPr>
        <w:t xml:space="preserve">La présente décision confirme que </w:t>
      </w:r>
      <w:r>
        <w:rPr>
          <w:rFonts w:ascii="Calibri" w:hAnsi="Calibri"/>
          <w:b/>
          <w:i w:val="0"/>
          <w:sz w:val="22"/>
        </w:rPr>
        <w:t>ce « par ailleurs » est le chantier Extension mobile</w:t>
      </w:r>
      <w:r>
        <w:rPr>
          <w:rFonts w:ascii="Calibri" w:hAnsi="Calibri"/>
          <w:b w:val="0"/>
          <w:i w:val="0"/>
          <w:sz w:val="22"/>
        </w:rPr>
        <w:t xml:space="preserve">, et précisément son </w:t>
      </w:r>
      <w:r>
        <w:rPr>
          <w:rFonts w:ascii="Calibri" w:hAnsi="Calibri"/>
          <w:b/>
          <w:i w:val="0"/>
          <w:sz w:val="22"/>
        </w:rPr>
        <w:t>Paquet 3 (Permanence mobile : prêt/retour express par scan)</w:t>
      </w:r>
      <w:r>
        <w:rPr>
          <w:rFonts w:ascii="Calibri" w:hAnsi="Calibri"/>
          <w:b w:val="0"/>
          <w:i w:val="0"/>
          <w:sz w:val="22"/>
        </w:rPr>
        <w:t>. Le scan au comptoir tel que souhaité (QR + slug, téléphone du bibliothécaire comme lecteur, jeton détachable) ne peut pas être traité comme un patch frontend isolé sur PanelPage : il dépend de la chaîne Paquet 0 (socle PWA) + Paquet 1 (carte-lecteur) + Paquet 2 (scanner).</w:t>
      </w:r>
    </w:p>
    <w:p>
      <w:pPr>
        <w:spacing w:after="120"/>
      </w:pPr>
      <w:r>
        <w:rPr>
          <w:rFonts w:ascii="Calibri" w:hAnsi="Calibri"/>
          <w:b/>
          <w:i w:val="0"/>
          <w:sz w:val="22"/>
        </w:rPr>
        <w:t>Conséquence pour #PAINEL.</w:t>
      </w:r>
      <w:r>
        <w:rPr>
          <w:rFonts w:ascii="Calibri" w:hAnsi="Calibri"/>
          <w:b w:val="0"/>
          <w:i w:val="0"/>
          <w:sz w:val="22"/>
        </w:rPr>
        <w:t xml:space="preserve"> EA-02 et OT-3 sortent de la séquence active du chantier-cadre #PAINEL et sont rattachés au chantier Extension mobile (Paquet 3). Le chantier C de #PAINEL est donc </w:t>
      </w:r>
      <w:r>
        <w:rPr>
          <w:rFonts w:ascii="Calibri" w:hAnsi="Calibri"/>
          <w:b/>
          <w:i w:val="0"/>
          <w:sz w:val="22"/>
        </w:rPr>
        <w:t>requalifié comme absorbé</w:t>
      </w:r>
      <w:r>
        <w:rPr>
          <w:rFonts w:ascii="Calibri" w:hAnsi="Calibri"/>
          <w:b w:val="0"/>
          <w:i w:val="0"/>
          <w:sz w:val="22"/>
        </w:rPr>
        <w:t>, pas « à faire » au sens d'un chantier codable à court terme. Le chantier-cadre #PAINEL poursuit donc avec le chantier D (traçabilité, EA-10 + EA-12) comme prochain chantier codable, puis E (refactor structurel).</w:t>
      </w:r>
    </w:p>
    <w:p>
      <w:pPr>
        <w:keepNext/>
        <w:spacing w:before="280" w:after="120"/>
      </w:pPr>
      <w:r>
        <w:rPr>
          <w:rFonts w:ascii="Calibri" w:hAnsi="Calibri"/>
          <w:b/>
          <w:color w:val="2E74B5"/>
          <w:sz w:val="30"/>
        </w:rPr>
        <w:t>5. Point d'insertion dans la feuille de route</w:t>
      </w:r>
    </w:p>
    <w:tbl>
      <w:tblPr>
        <w:tblStyle w:val="TableGrid"/>
        <w:tblW w:type="auto" w:w="0"/>
        <w:tblLook w:firstColumn="1" w:firstRow="1" w:lastColumn="0" w:lastRow="0" w:noHBand="0" w:noVBand="1" w:val="04A0"/>
      </w:tblPr>
      <w:tblGrid>
        <w:gridCol w:w="4873"/>
        <w:gridCol w:w="4873"/>
      </w:tblGrid>
      <w:tr>
        <w:tc>
          <w:tcPr>
            <w:tcW w:type="dxa" w:w="4873"/>
            <w:vAlign w:val="top"/>
            <w:shd w:val="clear" w:color="auto" w:fill="D9E2F3"/>
          </w:tcPr>
          <w:p>
            <w:pPr>
              <w:spacing w:before="40" w:after="40"/>
            </w:pPr>
            <w:r/>
            <w:r>
              <w:rPr>
                <w:rFonts w:ascii="Calibri" w:hAnsi="Calibri"/>
                <w:b/>
                <w:i w:val="0"/>
                <w:sz w:val="20"/>
              </w:rPr>
              <w:t>Élément</w:t>
            </w:r>
          </w:p>
        </w:tc>
        <w:tc>
          <w:tcPr>
            <w:tcW w:type="dxa" w:w="4873"/>
            <w:vAlign w:val="top"/>
            <w:shd w:val="clear" w:color="auto" w:fill="D9E2F3"/>
          </w:tcPr>
          <w:p>
            <w:pPr>
              <w:spacing w:before="40" w:after="40"/>
            </w:pPr>
            <w:r/>
            <w:r>
              <w:rPr>
                <w:rFonts w:ascii="Calibri" w:hAnsi="Calibri"/>
                <w:b/>
                <w:i w:val="0"/>
                <w:sz w:val="20"/>
              </w:rPr>
              <w:t>Séquencement</w:t>
            </w:r>
          </w:p>
        </w:tc>
      </w:tr>
      <w:tr>
        <w:tc>
          <w:tcPr>
            <w:tcW w:type="dxa" w:w="4873"/>
            <w:vAlign w:val="top"/>
          </w:tcPr>
          <w:p>
            <w:pPr>
              <w:spacing w:before="40" w:after="40"/>
            </w:pPr>
            <w:r/>
            <w:r>
              <w:rPr>
                <w:rFonts w:ascii="Calibri" w:hAnsi="Calibri"/>
                <w:b w:val="0"/>
                <w:i w:val="0"/>
                <w:sz w:val="20"/>
              </w:rPr>
              <w:t>Carte-lecteur (Paquet 1, détaché)</w:t>
            </w:r>
          </w:p>
        </w:tc>
        <w:tc>
          <w:tcPr>
            <w:tcW w:type="dxa" w:w="4873"/>
            <w:vAlign w:val="top"/>
          </w:tcPr>
          <w:p>
            <w:pPr>
              <w:spacing w:before="40" w:after="40"/>
            </w:pPr>
            <w:r/>
            <w:r>
              <w:rPr>
                <w:rFonts w:ascii="Calibri" w:hAnsi="Calibri"/>
                <w:b/>
                <w:i w:val="0"/>
                <w:sz w:val="20"/>
              </w:rPr>
              <w:t>En avance de phase</w:t>
            </w:r>
            <w:r>
              <w:rPr>
                <w:rFonts w:ascii="Calibri" w:hAnsi="Calibri"/>
                <w:b w:val="0"/>
                <w:i w:val="0"/>
                <w:sz w:val="20"/>
              </w:rPr>
              <w:t>, traitable dès maintenant — spec livrée avec cette décision</w:t>
            </w:r>
          </w:p>
        </w:tc>
      </w:tr>
      <w:tr>
        <w:tc>
          <w:tcPr>
            <w:tcW w:type="dxa" w:w="4873"/>
            <w:vAlign w:val="top"/>
          </w:tcPr>
          <w:p>
            <w:pPr>
              <w:spacing w:before="40" w:after="40"/>
            </w:pPr>
            <w:r/>
            <w:r>
              <w:rPr>
                <w:rFonts w:ascii="Calibri" w:hAnsi="Calibri"/>
                <w:b w:val="0"/>
                <w:i w:val="0"/>
                <w:sz w:val="20"/>
              </w:rPr>
              <w:t>Socle PWA (Paquet 0)</w:t>
            </w:r>
          </w:p>
        </w:tc>
        <w:tc>
          <w:tcPr>
            <w:tcW w:type="dxa" w:w="4873"/>
            <w:vAlign w:val="top"/>
          </w:tcPr>
          <w:p>
            <w:pPr>
              <w:spacing w:before="40" w:after="40"/>
            </w:pPr>
            <w:r/>
            <w:r>
              <w:rPr>
                <w:rFonts w:ascii="Calibri" w:hAnsi="Calibri"/>
                <w:b w:val="0"/>
                <w:i w:val="0"/>
                <w:sz w:val="20"/>
              </w:rPr>
              <w:t>Après Catalogção</w:t>
            </w:r>
          </w:p>
        </w:tc>
      </w:tr>
      <w:tr>
        <w:tc>
          <w:tcPr>
            <w:tcW w:type="dxa" w:w="4873"/>
            <w:vAlign w:val="top"/>
          </w:tcPr>
          <w:p>
            <w:pPr>
              <w:spacing w:before="40" w:after="40"/>
            </w:pPr>
            <w:r/>
            <w:r>
              <w:rPr>
                <w:rFonts w:ascii="Calibri" w:hAnsi="Calibri"/>
                <w:b w:val="0"/>
                <w:i w:val="0"/>
                <w:sz w:val="20"/>
              </w:rPr>
              <w:t>Scanner (Paquet 2)</w:t>
            </w:r>
          </w:p>
        </w:tc>
        <w:tc>
          <w:tcPr>
            <w:tcW w:type="dxa" w:w="4873"/>
            <w:vAlign w:val="top"/>
          </w:tcPr>
          <w:p>
            <w:pPr>
              <w:spacing w:before="40" w:after="40"/>
            </w:pPr>
            <w:r/>
            <w:r>
              <w:rPr>
                <w:rFonts w:ascii="Calibri" w:hAnsi="Calibri"/>
                <w:b w:val="0"/>
                <w:i w:val="0"/>
                <w:sz w:val="20"/>
              </w:rPr>
              <w:t>En articulation avec Catalogção</w:t>
            </w:r>
          </w:p>
        </w:tc>
      </w:tr>
      <w:tr>
        <w:tc>
          <w:tcPr>
            <w:tcW w:type="dxa" w:w="4873"/>
            <w:vAlign w:val="top"/>
          </w:tcPr>
          <w:p>
            <w:pPr>
              <w:spacing w:before="40" w:after="40"/>
            </w:pPr>
            <w:r/>
            <w:r>
              <w:rPr>
                <w:rFonts w:ascii="Calibri" w:hAnsi="Calibri"/>
                <w:b w:val="0"/>
                <w:i w:val="0"/>
                <w:sz w:val="20"/>
              </w:rPr>
              <w:t>Permanence mobile (Paquet 3) = ex-chantier C #PAINEL</w:t>
            </w:r>
          </w:p>
        </w:tc>
        <w:tc>
          <w:tcPr>
            <w:tcW w:type="dxa" w:w="4873"/>
            <w:vAlign w:val="top"/>
          </w:tcPr>
          <w:p>
            <w:pPr>
              <w:spacing w:before="40" w:after="40"/>
            </w:pPr>
            <w:r/>
            <w:r>
              <w:rPr>
                <w:rFonts w:ascii="Calibri" w:hAnsi="Calibri"/>
                <w:b w:val="0"/>
                <w:i w:val="0"/>
                <w:sz w:val="20"/>
              </w:rPr>
              <w:t>Après Paquets 0, 1 et 2</w:t>
            </w:r>
          </w:p>
        </w:tc>
      </w:tr>
      <w:tr>
        <w:tc>
          <w:tcPr>
            <w:tcW w:type="dxa" w:w="4873"/>
            <w:vAlign w:val="top"/>
          </w:tcPr>
          <w:p>
            <w:pPr>
              <w:spacing w:before="40" w:after="40"/>
            </w:pPr>
            <w:r/>
            <w:r>
              <w:rPr>
                <w:rFonts w:ascii="Calibri" w:hAnsi="Calibri"/>
                <w:b w:val="0"/>
                <w:i w:val="0"/>
                <w:sz w:val="20"/>
              </w:rPr>
              <w:t>Récolement (Paquet 4)</w:t>
            </w:r>
          </w:p>
        </w:tc>
        <w:tc>
          <w:tcPr>
            <w:tcW w:type="dxa" w:w="4873"/>
            <w:vAlign w:val="top"/>
          </w:tcPr>
          <w:p>
            <w:pPr>
              <w:spacing w:before="40" w:after="40"/>
            </w:pPr>
            <w:r/>
            <w:r>
              <w:rPr>
                <w:rFonts w:ascii="Calibri" w:hAnsi="Calibri"/>
                <w:b w:val="0"/>
                <w:i w:val="0"/>
                <w:sz w:val="20"/>
              </w:rPr>
              <w:t>Après Paquet 2</w:t>
            </w:r>
          </w:p>
        </w:tc>
      </w:tr>
      <w:tr>
        <w:tc>
          <w:tcPr>
            <w:tcW w:type="dxa" w:w="4873"/>
            <w:vAlign w:val="top"/>
          </w:tcPr>
          <w:p>
            <w:pPr>
              <w:spacing w:before="40" w:after="40"/>
            </w:pPr>
            <w:r/>
            <w:r>
              <w:rPr>
                <w:rFonts w:ascii="Calibri" w:hAnsi="Calibri"/>
                <w:b w:val="0"/>
                <w:i w:val="0"/>
                <w:sz w:val="20"/>
              </w:rPr>
              <w:t>Push PWA (Paquet 5)</w:t>
            </w:r>
          </w:p>
        </w:tc>
        <w:tc>
          <w:tcPr>
            <w:tcW w:type="dxa" w:w="4873"/>
            <w:vAlign w:val="top"/>
          </w:tcPr>
          <w:p>
            <w:pPr>
              <w:spacing w:before="40" w:after="40"/>
            </w:pPr>
            <w:r/>
            <w:r>
              <w:rPr>
                <w:rFonts w:ascii="Calibri" w:hAnsi="Calibri"/>
                <w:b w:val="0"/>
                <w:i w:val="0"/>
                <w:sz w:val="20"/>
              </w:rPr>
              <w:t>Horizon, optionnel</w:t>
            </w:r>
          </w:p>
        </w:tc>
      </w:tr>
    </w:tbl>
    <w:p>
      <w:pPr>
        <w:spacing w:after="120"/>
      </w:pPr>
    </w:p>
    <w:p>
      <w:pPr>
        <w:spacing w:after="120"/>
      </w:pPr>
      <w:r>
        <w:rPr>
          <w:rFonts w:ascii="Calibri" w:hAnsi="Calibri"/>
          <w:b w:val="0"/>
          <w:i w:val="0"/>
          <w:sz w:val="22"/>
        </w:rPr>
        <w:t>La séquence de fond reste Biblioteca → Importações → Catalogção. La carte-lecteur s'insère en parallèle, comme livrable autonome à valeur politique pour Bologne.</w:t>
      </w:r>
    </w:p>
    <w:p>
      <w:pPr>
        <w:keepNext/>
        <w:spacing w:before="280" w:after="120"/>
      </w:pPr>
      <w:r>
        <w:rPr>
          <w:rFonts w:ascii="Calibri" w:hAnsi="Calibri"/>
          <w:b/>
          <w:color w:val="2E74B5"/>
          <w:sz w:val="30"/>
        </w:rPr>
        <w:t>6. Impacts backlog (à inscrire à la prochaine révision)</w:t>
      </w:r>
    </w:p>
    <w:p>
      <w:pPr>
        <w:pStyle w:val="ListBullet"/>
        <w:spacing w:after="60"/>
      </w:pPr>
      <w:r>
        <w:rPr>
          <w:rFonts w:ascii="Calibri" w:hAnsi="Calibri"/>
          <w:b/>
          <w:i w:val="0"/>
          <w:sz w:val="22"/>
        </w:rPr>
        <w:t>Nouvelle ligne #CARTE-LECTEUR</w:t>
      </w:r>
      <w:r>
        <w:rPr>
          <w:rFonts w:ascii="Calibri" w:hAnsi="Calibri"/>
          <w:b w:val="0"/>
          <w:i w:val="0"/>
          <w:sz w:val="22"/>
        </w:rPr>
        <w:t xml:space="preserve"> (ou rattachement au méga-item mobile existant) : carte-lecteur détachée, phase β. Score à définir, mais valeur Bologne élevée.</w:t>
      </w:r>
    </w:p>
    <w:p>
      <w:pPr>
        <w:pStyle w:val="ListBullet"/>
        <w:spacing w:after="60"/>
      </w:pPr>
      <w:r>
        <w:rPr>
          <w:rFonts w:ascii="Calibri" w:hAnsi="Calibri"/>
          <w:b/>
          <w:i w:val="0"/>
          <w:sz w:val="22"/>
        </w:rPr>
        <w:t>Méga-item #MOBILE</w:t>
      </w:r>
      <w:r>
        <w:rPr>
          <w:rFonts w:ascii="Calibri" w:hAnsi="Calibri"/>
          <w:b w:val="0"/>
          <w:i w:val="0"/>
          <w:sz w:val="22"/>
        </w:rPr>
        <w:t xml:space="preserve"> : préciser que les Paquets 0, 2, 3, 4, 5 restent séquencés après/avec Catalogção, et que le Paquet 1 est détaché en avance.</w:t>
      </w:r>
    </w:p>
    <w:p>
      <w:pPr>
        <w:pStyle w:val="ListBullet"/>
        <w:spacing w:after="60"/>
      </w:pPr>
      <w:r>
        <w:rPr>
          <w:rFonts w:ascii="Calibri" w:hAnsi="Calibri"/>
          <w:b/>
          <w:i w:val="0"/>
          <w:sz w:val="22"/>
        </w:rPr>
        <w:t>Chantier C de #PAINEL</w:t>
      </w:r>
      <w:r>
        <w:rPr>
          <w:rFonts w:ascii="Calibri" w:hAnsi="Calibri"/>
          <w:b w:val="0"/>
          <w:i w:val="0"/>
          <w:sz w:val="22"/>
        </w:rPr>
        <w:t xml:space="preserve"> : marquer requalifié/absorbé par #MOBILE Paquet 3 (ne pas le compter comme chantier #PAINEL actif).</w:t>
      </w:r>
    </w:p>
    <w:p>
      <w:pPr>
        <w:pStyle w:val="ListBullet"/>
        <w:spacing w:after="60"/>
      </w:pPr>
      <w:r>
        <w:rPr>
          <w:rFonts w:ascii="Calibri" w:hAnsi="Calibri"/>
          <w:b/>
          <w:i w:val="0"/>
          <w:sz w:val="22"/>
        </w:rPr>
        <w:t>3 décisions doctrinales</w:t>
      </w:r>
      <w:r>
        <w:rPr>
          <w:rFonts w:ascii="Calibri" w:hAnsi="Calibri"/>
          <w:b w:val="0"/>
          <w:i w:val="0"/>
          <w:sz w:val="22"/>
        </w:rPr>
        <w:t xml:space="preserve"> : item « reporter au GLB v17 le chapitre mode terrain ».</w:t>
      </w:r>
    </w:p>
    <w:p>
      <w:pPr>
        <w:keepNext/>
        <w:spacing w:before="280" w:after="120"/>
      </w:pPr>
      <w:r>
        <w:rPr>
          <w:rFonts w:ascii="Calibri" w:hAnsi="Calibri"/>
          <w:b/>
          <w:color w:val="2E74B5"/>
          <w:sz w:val="30"/>
        </w:rPr>
        <w:t>7. Suite immédiate</w:t>
      </w:r>
    </w:p>
    <w:p>
      <w:pPr>
        <w:spacing w:after="120"/>
      </w:pPr>
      <w:r>
        <w:rPr>
          <w:rFonts w:ascii="Calibri" w:hAnsi="Calibri"/>
          <w:b w:val="0"/>
          <w:i w:val="0"/>
          <w:sz w:val="22"/>
        </w:rPr>
        <w:t xml:space="preserve">La </w:t>
      </w:r>
      <w:r>
        <w:rPr>
          <w:rFonts w:ascii="Calibri" w:hAnsi="Calibri"/>
          <w:b/>
          <w:i w:val="0"/>
          <w:sz w:val="22"/>
        </w:rPr>
        <w:t>spec technique de la carte-lecteur</w:t>
      </w:r>
      <w:r>
        <w:rPr>
          <w:rFonts w:ascii="Calibri" w:hAnsi="Calibri"/>
          <w:b w:val="0"/>
          <w:i w:val="0"/>
          <w:sz w:val="22"/>
        </w:rPr>
        <w:t xml:space="preserve"> est livrée conjointement à cette décision (document séparé). Elle détaille le schéma </w:t>
      </w:r>
      <w:r>
        <w:rPr>
          <w:rFonts w:ascii="Consolas" w:hAnsi="Consolas"/>
          <w:b w:val="0"/>
          <w:i w:val="0"/>
          <w:sz w:val="22"/>
        </w:rPr>
        <w:t>reader_card_tokens</w:t>
      </w:r>
      <w:r>
        <w:rPr>
          <w:rFonts w:ascii="Calibri" w:hAnsi="Calibri"/>
          <w:b w:val="0"/>
          <w:i w:val="0"/>
          <w:sz w:val="22"/>
        </w:rPr>
        <w:t>, les RPC de génération et de révocation, le format du QR (pointeur opaque), et la génération des fichiers PNG + PDF côté frontend. La RPC de résolution staff y est esquissée mais marquée « hors phase β — Paquet 3 ».</w:t>
      </w:r>
    </w:p>
    <w:p>
      <w:pPr>
        <w:spacing w:after="120"/>
      </w:pPr>
      <w:r>
        <w:rPr>
          <w:rFonts w:ascii="Calibri" w:hAnsi="Calibri"/>
          <w:b w:val="0"/>
          <w:i/>
          <w:sz w:val="22"/>
        </w:rPr>
        <w:t>Fin de la décision — arbitrages chantier Extension mobile — 28 mai 2026.</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