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6F54"/>
          <w:sz w:val="54"/>
          <w:szCs w:val="54"/>
        </w:rPr>
        <w:t xml:space="preserve">AnarBib</w:t>
      </w:r>
    </w:p>
    <w:p>
      <w:pPr>
        <w:spacing w:after="420"/>
        <w:jc w:val="center"/>
      </w:pPr>
      <w:r>
        <w:rPr>
          <w:i/>
          <w:iCs/>
          <w:color w:val="5A5A5A"/>
          <w:sz w:val="22"/>
          <w:szCs w:val="22"/>
        </w:rPr>
        <w:t xml:space="preserve">Système intégré de gestion de bibliothèque militante</w:t>
      </w:r>
    </w:p>
    <w:p>
      <w:pPr>
        <w:spacing w:after="120"/>
        <w:jc w:val="center"/>
      </w:pPr>
      <w:r>
        <w:rPr>
          <w:b/>
          <w:bCs/>
          <w:color w:val="5A5A5A"/>
          <w:sz w:val="26"/>
          <w:szCs w:val="26"/>
        </w:rPr>
        <w:t xml:space="preserve">PAINEL — ÉTAT DES LIEUX</w:t>
      </w:r>
    </w:p>
    <w:p>
      <w:pPr>
        <w:spacing w:after="120"/>
        <w:jc w:val="center"/>
      </w:pPr>
      <w:r>
        <w:rPr>
          <w:b/>
          <w:bCs/>
          <w:color w:val="1A1A1A"/>
          <w:sz w:val="32"/>
          <w:szCs w:val="32"/>
        </w:rPr>
        <w:t xml:space="preserve">Avancement de l'audit et cadrage du chantier EA-13</w:t>
      </w:r>
    </w:p>
    <w:p>
      <w:pPr>
        <w:spacing w:after="360"/>
        <w:jc w:val="center"/>
      </w:pPr>
      <w:r>
        <w:rPr>
          <w:color w:val="5A5A5A"/>
          <w:sz w:val="22"/>
          <w:szCs w:val="22"/>
        </w:rPr>
        <w:t xml:space="preserve">Point d'étape au soir du 26 mai 2026</w:t>
      </w:r>
    </w:p>
    <w:p>
      <w:pPr>
        <w:spacing w:after="60"/>
        <w:jc w:val="center"/>
      </w:pPr>
      <w:r>
        <w:rPr>
          <w:color w:val="5A5A5A"/>
          <w:sz w:val="20"/>
          <w:szCs w:val="20"/>
        </w:rPr>
        <w:t xml:space="preserve">docs/decisions/ — complément à CHANTIER_audit_systematique_painel_2026-05-26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w:t>
      </w:r>
    </w:p>
    <w:p>
      <w:pPr>
        <w:spacing w:after="120"/>
      </w:pPr>
      <w:r>
        <w:t xml:space="preserve">Ce document fait le point sur l'audit du Painel après la session du 26 mai. Il ne remplace pas le document d'audit d'origine (CHANTIER_audit_systematique_painel_2026-05-26) — il le complète : il marque ce qui a été traité, ce qui reste, et il cadre le prochain chantier à exécuter, EA-13.</w:t>
      </w:r>
    </w:p>
    <w:p>
      <w:pPr>
        <w:spacing w:after="120"/>
      </w:pPr>
      <w:r>
        <w:t xml:space="preserve">Il sert de point de reprise : à la prochaine session, ce document seul doit suffire pour savoir où on en est et par quoi commencer.</w:t>
      </w:r>
    </w:p>
    <w:p>
      <w:r>
        <w:br w:type="page"/>
      </w:r>
    </w:p>
    <w:p>
      <w:pPr>
        <w:pStyle w:val="Heading1"/>
      </w:pPr>
      <w:r>
        <w:t xml:space="preserve">2. Avancement global</w:t>
      </w:r>
    </w:p>
    <w:p>
      <w:pPr>
        <w:spacing w:after="120"/>
      </w:pPr>
      <w:r>
        <w:t xml:space="preserve">L'audit a recensé 14 écarts (EA-01 à EA-14) répartis en 6 chantiers (A à F), plus 4 observations transverses (OT-1 à OT-4). Au soir du 26 mai :</w:t>
      </w:r>
    </w:p>
    <w:p>
      <w:pPr>
        <w:pStyle w:val="ListParagraph"/>
        <w:numPr>
          <w:ilvl w:val="0"/>
          <w:numId w:val="2"/>
        </w:numPr>
        <w:spacing w:after="60"/>
      </w:pPr>
      <w:r>
        <w:rPr>
          <w:b/>
          <w:bCs/>
          <w:color w:val="1F6F54"/>
        </w:rPr>
        <w:t xml:space="preserve">2 écarts traités</w:t>
      </w:r>
      <w:r>
        <w:t xml:space="preserve"> : EA-05 et EA-09 — les deux écarts majeurs de lisibilité immédiate.</w:t>
      </w:r>
    </w:p>
    <w:p>
      <w:pPr>
        <w:pStyle w:val="ListParagraph"/>
        <w:numPr>
          <w:ilvl w:val="0"/>
          <w:numId w:val="2"/>
        </w:numPr>
        <w:spacing w:after="60"/>
      </w:pPr>
      <w:r>
        <w:rPr>
          <w:b/>
          <w:bCs/>
          <w:color w:val="B23A2E"/>
        </w:rPr>
        <w:t xml:space="preserve">12 écarts ouverts</w:t>
      </w:r>
      <w:r>
        <w:t xml:space="preserve"> : EA-01 à EA-04, EA-06 à EA-08, EA-10 à EA-14.</w:t>
      </w:r>
    </w:p>
    <w:p>
      <w:pPr>
        <w:pStyle w:val="ListParagraph"/>
        <w:numPr>
          <w:ilvl w:val="0"/>
          <w:numId w:val="2"/>
        </w:numPr>
        <w:spacing w:after="60"/>
      </w:pPr>
      <w:r>
        <w:rPr>
          <w:b/>
          <w:bCs/>
        </w:rPr>
        <w:t xml:space="preserve">4 observations transverses</w:t>
      </w:r>
      <w:r>
        <w:t xml:space="preserve"> (OT-1 à OT-4) non traitées.</w:t>
      </w:r>
    </w:p>
    <w:p>
      <w:pPr>
        <w:pStyle w:val="ListParagraph"/>
        <w:numPr>
          <w:ilvl w:val="0"/>
          <w:numId w:val="2"/>
        </w:numPr>
        <w:spacing w:after="60"/>
      </w:pPr>
      <w:r>
        <w:rPr>
          <w:b/>
          <w:bCs/>
          <w:color w:val="B8860B"/>
        </w:rPr>
        <w:t xml:space="preserve">2 points neufs</w:t>
      </w:r>
      <w:r>
        <w:t xml:space="preserve"> remontés pendant la session, hors audit initial (voir section 5).</w:t>
      </w:r>
    </w:p>
    <w:p>
      <w:pPr>
        <w:spacing w:after="120" w:before="120"/>
      </w:pPr>
      <w:r>
        <w:t xml:space="preserve">Lecture honnête de l'avancement : ce ne sont pas « 2 écarts sur 14 » au sens d'un sixième du travail. EA-05 et EA-09 forment, à eux deux, le chantier A — celui que l'audit place en premier parce qu'il touche directement l'expérience de la personne au comptoir. Le chantier le plus visible pour l'usager est presque entièrement traité : il n'y reste qu'EA-13.</w:t>
      </w:r>
    </w:p>
    <w:p>
      <w:r>
        <w:br w:type="page"/>
      </w:r>
    </w:p>
    <w:p>
      <w:pPr>
        <w:pStyle w:val="Heading1"/>
      </w:pPr>
      <w:r>
        <w:t xml:space="preserve">3. Les 14 écarts — statut détaillé</w:t>
      </w:r>
    </w:p>
    <w:p>
      <w:pPr>
        <w:spacing w:after="120"/>
      </w:pPr>
      <w:r>
        <w:t xml:space="preserve">Statut de chacun des écarts de l'audit. La gravité est celle attribuée par l'audit ; rappel de l'audit : « majeur » ne veut pas dire « urgent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100"/>
        <w:gridCol w:w="1500"/>
        <w:gridCol w:w="2760"/>
      </w:tblGrid>
      <w:tr>
        <w:trPr>
          <w:tblHeader/>
        </w:trPr>
        <w:tc>
          <w:tcPr>
            <w:tcW w:type="dxa" w:w="9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Code</w:t>
            </w:r>
          </w:p>
        </w:tc>
        <w:tc>
          <w:tcPr>
            <w:tcW w:type="dxa" w:w="31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Écart</w:t>
            </w:r>
          </w:p>
        </w:tc>
        <w:tc>
          <w:tcPr>
            <w:tcW w:type="dxa" w:w="11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Gravité</w:t>
            </w:r>
          </w:p>
        </w:tc>
        <w:tc>
          <w:tcPr>
            <w:tcW w:type="dxa" w:w="15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Statut</w:t>
            </w:r>
          </w:p>
        </w:tc>
        <w:tc>
          <w:tcPr>
            <w:tcW w:type="dxa" w:w="276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Chantier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EA-01</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Modèle tâche-centré non généralisé</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majeur</w:t>
            </w:r>
          </w:p>
        </w:tc>
        <w:tc>
          <w:tcPr>
            <w:tcW w:type="dxa" w:w="15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Chantier 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EA-02</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Saisie d'identifiants manuelle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majeur</w:t>
            </w:r>
          </w:p>
        </w:tc>
        <w:tc>
          <w:tcPr>
            <w:tcW w:type="dxa" w:w="15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Chantier 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EA-03</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Retour sans prévisualisation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mineur</w:t>
            </w:r>
          </w:p>
        </w:tc>
        <w:tc>
          <w:tcPr>
            <w:tcW w:type="dxa" w:w="15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non rattaché — à placer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EA-04</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Filtre actif sur une colonne faillible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majeur</w:t>
            </w:r>
          </w:p>
        </w:tc>
        <w:tc>
          <w:tcPr>
            <w:tcW w:type="dxa" w:w="15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Chantier 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EA-05</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Message d'erreur de transition illisible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majeur</w:t>
            </w:r>
          </w:p>
        </w:tc>
        <w:tc>
          <w:tcPr>
            <w:tcW w:type="dxa" w:w="1500"/>
            <w:tcBorders>
              <w:top w:val="single" w:color="CCCCCC" w:sz="1"/>
              <w:left w:val="single" w:color="CCCCCC" w:sz="1"/>
              <w:bottom w:val="single" w:color="CCCCCC" w:sz="1"/>
              <w:right w:val="single" w:color="CCCCCC" w:sz="1"/>
            </w:tcBorders>
            <w:shd w:fill="EAF3EF" w:val="clear"/>
            <w:tcMar>
              <w:top w:type="dxa" w:w="60"/>
              <w:left w:type="dxa" w:w="100"/>
              <w:bottom w:type="dxa" w:w="60"/>
              <w:right w:type="dxa" w:w="100"/>
            </w:tcMar>
          </w:tcPr>
          <w:p>
            <w:r>
              <w:rPr>
                <w:b/>
                <w:bCs/>
                <w:color w:val="1F6F54"/>
                <w:sz w:val="16"/>
                <w:szCs w:val="16"/>
              </w:rPr>
              <w:t xml:space="preserve">FAIT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Chantier A — validé en prod le 26/05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EA-06</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Double nomenclature statut / étape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mineur</w:t>
            </w:r>
          </w:p>
        </w:tc>
        <w:tc>
          <w:tcPr>
            <w:tcW w:type="dxa" w:w="15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Chantier F</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EA-07</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Deux onglets pour un objet métier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majeur</w:t>
            </w:r>
          </w:p>
        </w:tc>
        <w:tc>
          <w:tcPr>
            <w:tcW w:type="dxa" w:w="15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Chantier 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EA-08</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Emprunts groupés sans tri ni filtre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mineur</w:t>
            </w:r>
          </w:p>
        </w:tc>
        <w:tc>
          <w:tcPr>
            <w:tcW w:type="dxa" w:w="15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Chantier 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EA-09</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alert() brut comme feedback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majeur</w:t>
            </w:r>
          </w:p>
        </w:tc>
        <w:tc>
          <w:tcPr>
            <w:tcW w:type="dxa" w:w="1500"/>
            <w:tcBorders>
              <w:top w:val="single" w:color="CCCCCC" w:sz="1"/>
              <w:left w:val="single" w:color="CCCCCC" w:sz="1"/>
              <w:bottom w:val="single" w:color="CCCCCC" w:sz="1"/>
              <w:right w:val="single" w:color="CCCCCC" w:sz="1"/>
            </w:tcBorders>
            <w:shd w:fill="EAF3EF" w:val="clear"/>
            <w:tcMar>
              <w:top w:type="dxa" w:w="60"/>
              <w:left w:type="dxa" w:w="100"/>
              <w:bottom w:type="dxa" w:w="60"/>
              <w:right w:type="dxa" w:w="100"/>
            </w:tcMar>
          </w:tcPr>
          <w:p>
            <w:r>
              <w:rPr>
                <w:b/>
                <w:bCs/>
                <w:color w:val="1F6F54"/>
                <w:sz w:val="16"/>
                <w:szCs w:val="16"/>
              </w:rPr>
              <w:t xml:space="preserve">FAIT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Chantier A — système de toast livré</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EA-10</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Restriction non tracée à l'écran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majeur</w:t>
            </w:r>
          </w:p>
        </w:tc>
        <w:tc>
          <w:tcPr>
            <w:tcW w:type="dxa" w:w="15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Chantier 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EA-11</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Taille de page d'historique figée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cosmétique</w:t>
            </w:r>
          </w:p>
        </w:tc>
        <w:tc>
          <w:tcPr>
            <w:tcW w:type="dxa" w:w="15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non rattaché — à placer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EA-12</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Traçabilité paiements à vérifier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mineur</w:t>
            </w:r>
          </w:p>
        </w:tc>
        <w:tc>
          <w:tcPr>
            <w:tcW w:type="dxa" w:w="1500"/>
            <w:tcBorders>
              <w:top w:val="single" w:color="CCCCCC" w:sz="1"/>
              <w:left w:val="single" w:color="CCCCCC" w:sz="1"/>
              <w:bottom w:val="single" w:color="CCCCCC" w:sz="1"/>
              <w:right w:val="single" w:color="CCCCCC" w:sz="1"/>
            </w:tcBorders>
            <w:shd w:fill="FBF4E2" w:val="clear"/>
            <w:tcMar>
              <w:top w:type="dxa" w:w="60"/>
              <w:left w:type="dxa" w:w="100"/>
              <w:bottom w:type="dxa" w:w="60"/>
              <w:right w:type="dxa" w:w="100"/>
            </w:tcMar>
          </w:tcPr>
          <w:p>
            <w:r>
              <w:rPr>
                <w:b/>
                <w:bCs/>
                <w:color w:val="B8860B"/>
                <w:sz w:val="16"/>
                <w:szCs w:val="16"/>
              </w:rPr>
              <w:t xml:space="preserve">À INVESTIGUER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Chantier 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EA-13</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Vocabulaire technique à l'écran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majeur</w:t>
            </w:r>
          </w:p>
        </w:tc>
        <w:tc>
          <w:tcPr>
            <w:tcW w:type="dxa" w:w="15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Chantier A — prochain (voir §4)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EA-14</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Rechargement global à chaque action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mineur</w:t>
            </w:r>
          </w:p>
        </w:tc>
        <w:tc>
          <w:tcPr>
            <w:tcW w:type="dxa" w:w="15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non rattaché — à placer</w:t>
            </w:r>
          </w:p>
        </w:tc>
      </w:tr>
    </w:tbl>
    <w:p>
      <w:pPr>
        <w:spacing w:after="120" w:before="120"/>
      </w:pPr>
      <w:r>
        <w:rPr>
          <w:i/>
          <w:iCs/>
          <w:color w:val="5A5A5A"/>
        </w:rPr>
        <w:t xml:space="preserve">Note : trois écarts mineurs/cosmétiques (EA-03, EA-11, EA-14) ne sont rattachés à aucun chantier dans la séquence d'origine. À placer lors d'une prochaine revue — sans doute en fin de parcours.</w:t>
      </w:r>
    </w:p>
    <w:p>
      <w:r>
        <w:br w:type="page"/>
      </w:r>
    </w:p>
    <w:p>
      <w:pPr>
        <w:pStyle w:val="Heading1"/>
      </w:pPr>
      <w:r>
        <w:t xml:space="preserve">4. Les 6 chantiers — avancement</w:t>
      </w:r>
    </w:p>
    <w:p>
      <w:pPr>
        <w:spacing w:after="120"/>
      </w:pPr>
      <w:r>
        <w:t xml:space="preserve">La séquence proposée par l'audit, avec son état.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1300"/>
        <w:gridCol w:w="2860"/>
      </w:tblGrid>
      <w:tr>
        <w:trPr>
          <w:tblHeader/>
        </w:trPr>
        <w:tc>
          <w:tcPr>
            <w:tcW w:type="dxa" w:w="7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
            </w:r>
          </w:p>
        </w:tc>
        <w:tc>
          <w:tcPr>
            <w:tcW w:type="dxa" w:w="26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Chantier</w:t>
            </w:r>
          </w:p>
        </w:tc>
        <w:tc>
          <w:tcPr>
            <w:tcW w:type="dxa" w:w="29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Écarts</w:t>
            </w:r>
          </w:p>
        </w:tc>
        <w:tc>
          <w:tcPr>
            <w:tcW w:type="dxa" w:w="13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État</w:t>
            </w:r>
          </w:p>
        </w:tc>
        <w:tc>
          <w:tcPr>
            <w:tcW w:type="dxa" w:w="286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Contenu</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1A1A1A"/>
                <w:sz w:val="18"/>
                <w:szCs w:val="18"/>
              </w:rPr>
              <w:t xml:space="preserve">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Lisibilité immédiate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EA-05, EA-09, EA-13</w:t>
            </w:r>
          </w:p>
        </w:tc>
        <w:tc>
          <w:tcPr>
            <w:tcW w:type="dxa" w:w="1300"/>
            <w:tcBorders>
              <w:top w:val="single" w:color="CCCCCC" w:sz="1"/>
              <w:left w:val="single" w:color="CCCCCC" w:sz="1"/>
              <w:bottom w:val="single" w:color="CCCCCC" w:sz="1"/>
              <w:right w:val="single" w:color="CCCCCC" w:sz="1"/>
            </w:tcBorders>
            <w:shd w:fill="FBF4E2" w:val="clear"/>
            <w:tcMar>
              <w:top w:type="dxa" w:w="60"/>
              <w:left w:type="dxa" w:w="100"/>
              <w:bottom w:type="dxa" w:w="60"/>
              <w:right w:type="dxa" w:w="100"/>
            </w:tcMar>
          </w:tcPr>
          <w:p>
            <w:r>
              <w:rPr>
                <w:b/>
                <w:bCs/>
                <w:color w:val="B8860B"/>
                <w:sz w:val="16"/>
                <w:szCs w:val="16"/>
              </w:rPr>
              <w:t xml:space="preserve">EN COURS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EA-05 et EA-09 faits. Reste EA-13 — le clore termine le chantier 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1A1A1A"/>
                <w:sz w:val="18"/>
                <w:szCs w:val="18"/>
              </w:rPr>
              <w:t xml:space="preserve">B</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Robustesse des onglets-objet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EA-04, EA-08</w:t>
            </w:r>
          </w:p>
        </w:tc>
        <w:tc>
          <w:tcPr>
            <w:tcW w:type="dxa" w:w="13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Filtre actif croisant item_status ET workflow_stage ; tri/filtre sur Emprunts groupés.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1A1A1A"/>
                <w:sz w:val="18"/>
                <w:szCs w:val="18"/>
              </w:rPr>
              <w:t xml:space="preserve">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Saisie au comptoir</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EA-02, OT-3</w:t>
            </w:r>
          </w:p>
        </w:tc>
        <w:tc>
          <w:tcPr>
            <w:tcW w:type="dxa" w:w="13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Option scan de code-barres. Sous-chantier déjà cadré par ailleurs.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1A1A1A"/>
                <w:sz w:val="18"/>
                <w:szCs w:val="18"/>
              </w:rPr>
              <w:t xml:space="preserv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Traçabilité et horizontalité</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EA-10, EA-12</w:t>
            </w:r>
          </w:p>
        </w:tc>
        <w:tc>
          <w:tcPr>
            <w:tcW w:type="dxa" w:w="13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Afficher qui a fait quoi pour les actes sensibles (restriction, paiement).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1A1A1A"/>
                <w:sz w:val="18"/>
                <w:szCs w:val="18"/>
              </w:rPr>
              <w:t xml:space="preserve">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Refactor structurel</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EA-01, EA-07, OT-1, OT-2, OT-4</w:t>
            </w:r>
          </w:p>
        </w:tc>
        <w:tc>
          <w:tcPr>
            <w:tcW w:type="dxa" w:w="13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Le gros morceau : généraliser le modèle tâche, fusionner les onglets emprunts, découper le fichier.</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1A1A1A"/>
                <w:sz w:val="18"/>
                <w:szCs w:val="18"/>
              </w:rPr>
              <w:t xml:space="preserve">F</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Documentation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EA-06</w:t>
            </w:r>
          </w:p>
        </w:tc>
        <w:tc>
          <w:tcPr>
            <w:tcW w:type="dxa" w:w="1300"/>
            <w:tcBorders>
              <w:top w:val="single" w:color="CCCCCC" w:sz="1"/>
              <w:left w:val="single" w:color="CCCCCC" w:sz="1"/>
              <w:bottom w:val="single" w:color="CCCCCC" w:sz="1"/>
              <w:right w:val="single" w:color="CCCCCC" w:sz="1"/>
            </w:tcBorders>
            <w:shd w:fill="F7E9E7" w:val="clear"/>
            <w:tcMar>
              <w:top w:type="dxa" w:w="60"/>
              <w:left w:type="dxa" w:w="100"/>
              <w:bottom w:type="dxa" w:w="60"/>
              <w:right w:type="dxa" w:w="100"/>
            </w:tcMar>
          </w:tcPr>
          <w:p>
            <w:r>
              <w:rPr>
                <w:b/>
                <w:bCs/>
                <w:color w:val="B23A2E"/>
                <w:sz w:val="16"/>
                <w:szCs w:val="16"/>
              </w:rPr>
              <w:t xml:space="preserve">À FAIRE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Inscrire au Grand Livre Blanc la doctrine item_status / workflow_stage. Court.</w:t>
            </w:r>
          </w:p>
        </w:tc>
      </w:tr>
    </w:tbl>
    <w:p>
      <w:pPr>
        <w:spacing w:after="120" w:before="120"/>
      </w:pPr>
      <w:r>
        <w:t xml:space="preserve">Ordre conseillé par l'audit : A et F d'abord (rapides, sûrs, immédiatement utiles), puis B, puis C et D en parallèle, E en dernier (le plus lourd). Le chantier A étant presque fini, la suite naturelle est : clore A avec EA-13, puis enchaîner F (très court).</w:t>
      </w:r>
    </w:p>
    <w:p>
      <w:r>
        <w:br w:type="page"/>
      </w:r>
    </w:p>
    <w:p>
      <w:pPr>
        <w:pStyle w:val="Heading1"/>
      </w:pPr>
      <w:r>
        <w:t xml:space="preserve">5. Cadrage du chantier EA-13</w:t>
      </w:r>
    </w:p>
    <w:p>
      <w:pPr>
        <w:spacing w:after="120"/>
      </w:pPr>
      <w:r>
        <w:t xml:space="preserve">EA-13 est le dernier écart du chantier A. Le clore termine le chantier de lisibilité immédiate. Ce cadrage prépare son exécution — il ne l'exécute pas.</w:t>
      </w:r>
    </w:p>
    <w:p>
      <w:pPr>
        <w:pStyle w:val="Heading2"/>
      </w:pPr>
      <w:r>
        <w:t xml:space="preserve">5.1 Ce que dit l'audit</w:t>
      </w:r>
    </w:p>
    <w:p>
      <w:pPr>
        <w:spacing w:after="120"/>
      </w:pPr>
      <w:r>
        <w:t xml:space="preserve">EA-13 — « Vocabulaire technique affleurant à l'écran », classé majeur, nature i18n, écart transverse à plusieurs onglets. L'arbitrage de l'audit : passer chaque chaîne visible au crible de la question « est-ce un mot de bibliothéconomie ou d'informatique ? ». L'audit cite comme exemples les noms d'étapes et les codes de nomenclature interne.</w:t>
      </w:r>
    </w:p>
    <w:p>
      <w:pPr>
        <w:spacing w:after="120"/>
      </w:pPr>
      <w:r>
        <w:rPr>
          <w:b/>
          <w:bCs/>
          <w:color w:val="B8860B"/>
        </w:rPr>
        <w:t xml:space="preserve">Point important : </w:t>
      </w:r>
      <w:r>
        <w:t xml:space="preserve">EA-13 n'est PAS un simple chercher-remplacer dans les fichiers de locales. Un pré-scan des valeurs des 331 clés panel.* ne révèle quasiment aucun jargon — les traductions, elles, sont propres. Le jargon affleure ailleurs (voir 5.2).</w:t>
      </w:r>
    </w:p>
    <w:p>
      <w:pPr>
        <w:pStyle w:val="Heading2"/>
      </w:pPr>
      <w:r>
        <w:t xml:space="preserve">5.2 Où le jargon se cache réellement</w:t>
      </w:r>
    </w:p>
    <w:p>
      <w:pPr>
        <w:spacing w:after="120"/>
      </w:pPr>
      <w:r>
        <w:t xml:space="preserve">Le travail d'EA-13 est autant une inspection du code qu'un travail sur les locales. Trois sources à examiner :</w:t>
      </w:r>
    </w:p>
    <w:p>
      <w:pPr>
        <w:pStyle w:val="ListParagraph"/>
        <w:numPr>
          <w:ilvl w:val="0"/>
          <w:numId w:val="2"/>
        </w:numPr>
        <w:spacing w:after="60"/>
      </w:pPr>
      <w:r>
        <w:rPr>
          <w:b/>
          <w:bCs/>
        </w:rPr>
        <w:t xml:space="preserve">Valeurs techniques affichées en direct. </w:t>
      </w:r>
      <w:r>
        <w:t xml:space="preserve">Quand le code affiche une valeur de workflow_stage ou d'item_status telle quelle (solicitada, liberada_para_retirada, pronta_para_retirada, no_show, consulta_realizada...) sans la faire passer par une clé i18n. C'est la principale source, et elle est dans le JSX, pas dans les locales.</w:t>
      </w:r>
    </w:p>
    <w:p>
      <w:pPr>
        <w:pStyle w:val="ListParagraph"/>
        <w:numPr>
          <w:ilvl w:val="0"/>
          <w:numId w:val="2"/>
        </w:numPr>
        <w:spacing w:after="60"/>
      </w:pPr>
      <w:r>
        <w:rPr>
          <w:b/>
          <w:bCs/>
        </w:rPr>
        <w:t xml:space="preserve">Libellés de sélecteurs construits depuis la base. </w:t>
      </w:r>
      <w:r>
        <w:t xml:space="preserve">Les menus déroulants de filtre par étape : si leurs options sont dérivées des valeurs DB, elles peuvent afficher du technique. L'audit note pour Réservations que les libellés sont traduits mais que les valeurs sous-jacentes affleurent par endroits.</w:t>
      </w:r>
    </w:p>
    <w:p>
      <w:pPr>
        <w:pStyle w:val="ListParagraph"/>
        <w:numPr>
          <w:ilvl w:val="0"/>
          <w:numId w:val="2"/>
        </w:numPr>
        <w:spacing w:after="60"/>
      </w:pPr>
      <w:r>
        <w:rPr>
          <w:b/>
          <w:bCs/>
        </w:rPr>
        <w:t xml:space="preserve">Texte en dur dans le JSX. </w:t>
      </w:r>
      <w:r>
        <w:t xml:space="preserve">Chaînes écrites directement dans PanelPage.jsx sans passer par i18n du tout. À repérer à la lecture.</w:t>
      </w:r>
    </w:p>
    <w:p>
      <w:pPr>
        <w:pStyle w:val="Heading2"/>
      </w:pPr>
      <w:r>
        <w:t xml:space="preserve">5.3 Méthode d'exécution proposée</w:t>
      </w:r>
    </w:p>
    <w:p>
      <w:pPr>
        <w:spacing w:after="120"/>
      </w:pPr>
      <w:r>
        <w:t xml:space="preserve">À dérouler à tête reposée — c'est un travail de jugement, pas mécanique.</w:t>
      </w:r>
    </w:p>
    <w:p>
      <w:pPr>
        <w:pStyle w:val="ListParagraph"/>
        <w:numPr>
          <w:ilvl w:val="0"/>
          <w:numId w:val="2"/>
        </w:numPr>
        <w:spacing w:after="60"/>
      </w:pPr>
      <w:r>
        <w:rPr>
          <w:b/>
          <w:bCs/>
        </w:rPr>
        <w:t xml:space="preserve">Étape 1 — Recensement. </w:t>
      </w:r>
      <w:r>
        <w:t xml:space="preserve">Parcourir PanelPage.jsx onglet par onglet. Pour chaque chaîne affichée à l'écran, se poser la question du crible. Lister les occurrences de jargon : le terme, l'endroit, l'onglet. Produire une liste fermée AVANT de modifier quoi que ce soit.</w:t>
      </w:r>
    </w:p>
    <w:p>
      <w:pPr>
        <w:pStyle w:val="ListParagraph"/>
        <w:numPr>
          <w:ilvl w:val="0"/>
          <w:numId w:val="2"/>
        </w:numPr>
        <w:spacing w:after="60"/>
      </w:pPr>
      <w:r>
        <w:rPr>
          <w:b/>
          <w:bCs/>
        </w:rPr>
        <w:t xml:space="preserve">Étape 2 — Arbitrage du vocabulaire. </w:t>
      </w:r>
      <w:r>
        <w:t xml:space="preserve">Pour chaque terme technique, décider du mot courant qui le remplace, dans les 8 langues. C'est une décision de vocabulaire militant et accessible — elle gagne à être réfléchie, voire discutée, pas improvisée.</w:t>
      </w:r>
    </w:p>
    <w:p>
      <w:pPr>
        <w:pStyle w:val="ListParagraph"/>
        <w:numPr>
          <w:ilvl w:val="0"/>
          <w:numId w:val="2"/>
        </w:numPr>
        <w:spacing w:after="60"/>
      </w:pPr>
      <w:r>
        <w:rPr>
          <w:b/>
          <w:bCs/>
        </w:rPr>
        <w:t xml:space="preserve">Étape 3 — Distinguer deux cas. </w:t>
      </w:r>
      <w:r>
        <w:t xml:space="preserve">Soit la valeur technique doit passer par une clé i18n qui n'existe pas encore (créer la clé sur 8 locales) ; soit une clé existe mais affiche encore du jargon (corriger la valeur). Les deux cas coexisteront.</w:t>
      </w:r>
    </w:p>
    <w:p>
      <w:pPr>
        <w:pStyle w:val="ListParagraph"/>
        <w:numPr>
          <w:ilvl w:val="0"/>
          <w:numId w:val="2"/>
        </w:numPr>
        <w:spacing w:after="60"/>
      </w:pPr>
      <w:r>
        <w:rPr>
          <w:b/>
          <w:bCs/>
        </w:rPr>
        <w:t xml:space="preserve">Étape 4 — Application. </w:t>
      </w:r>
      <w:r>
        <w:t xml:space="preserve">Modifications dans PanelPage.jsx et/ou les locales. Insertion i18n par méthode sûre (texte pur, validation JSON.parse). Diff intégral de PanelPage.jsx pour confirmer le périmètre.</w:t>
      </w:r>
    </w:p>
    <w:p>
      <w:pPr>
        <w:pStyle w:val="ListParagraph"/>
        <w:numPr>
          <w:ilvl w:val="0"/>
          <w:numId w:val="2"/>
        </w:numPr>
        <w:spacing w:after="60"/>
      </w:pPr>
      <w:r>
        <w:rPr>
          <w:b/>
          <w:bCs/>
        </w:rPr>
        <w:t xml:space="preserve">Étape 5 — Quality gate. </w:t>
      </w:r>
      <w:r>
        <w:t xml:space="preserve">npm run build, et le test CI de coverage i18n vérifie que les 8 locales restent synchrones. Puis commit, push, Woodpecker.</w:t>
      </w:r>
    </w:p>
    <w:p>
      <w:pPr>
        <w:pStyle w:val="Heading2"/>
      </w:pPr>
      <w:r>
        <w:t xml:space="preserve">5.4 Estimation et précaution</w:t>
      </w:r>
    </w:p>
    <w:p>
      <w:pPr>
        <w:spacing w:after="120"/>
      </w:pPr>
      <w:r>
        <w:t xml:space="preserve">EA-13 est un balayage ouvert : son ampleur ne sera connue qu'après l'étape 1 (recensement). Si le recensement révèle peu de termes, le chantier est court. S'il en révèle beaucoup, il peut valoir la peine de le découper par onglet. La décision de découpage se prend après l'étape 1, pas avant.</w:t>
      </w:r>
    </w:p>
    <w:p>
      <w:pPr>
        <w:spacing w:after="120"/>
      </w:pPr>
      <w:r>
        <w:t xml:space="preserve">Précaution : EA-13 touche PanelPage.jsx, fichier sensible déjà modifié plusieurs fois. Toute modification suit la règle habituelle — lecture intégrale avant remplacement, diff strict, périmètre minimal.</w:t>
      </w:r>
    </w:p>
    <w:p>
      <w:r>
        <w:br w:type="page"/>
      </w:r>
    </w:p>
    <w:p>
      <w:pPr>
        <w:pStyle w:val="Heading1"/>
      </w:pPr>
      <w:r>
        <w:t xml:space="preserve">6. Points neufs hors audit</w:t>
      </w:r>
    </w:p>
    <w:p>
      <w:pPr>
        <w:spacing w:after="120"/>
      </w:pPr>
      <w:r>
        <w:t xml:space="preserve">Deux éléments remontés pendant la session du 26 mai, absents de l'audit d'origine, à intégrer au suivi.</w:t>
      </w:r>
    </w:p>
    <w:p>
      <w:pPr>
        <w:pStyle w:val="Heading3"/>
      </w:pPr>
      <w:r>
        <w:t xml:space="preserve">PN-1 — Doublon de helpers de traduction d'erreur</w:t>
      </w:r>
    </w:p>
    <w:p>
      <w:pPr>
        <w:spacing w:after="120"/>
      </w:pPr>
      <w:r>
        <w:t xml:space="preserve">Il existe dans src/lib/ deux modules qui traduisent des erreurs : localizeError.js (préexistant, lit le hint comme clé i18n error.*, convention dite paquet C.4) et apiErrors.js (créé pour EA-05, lit le message comme code). Ils ne se croisent pas — localizeError sert l'espace lecteur (AccountPage, BookPage, CatalogPage), apiErrors sert le Painel. Aucun bug, mais deux conventions parallèles. Dette d'architecture à inscrire au backlog : décider d'une convention unique et fusionner. Ce serait un chantier à part entière, non urgent.</w:t>
      </w:r>
    </w:p>
    <w:p>
      <w:pPr>
        <w:pStyle w:val="Heading3"/>
      </w:pPr>
      <w:r>
        <w:t xml:space="preserve">PN-2 — 404 au chargement de /painel</w:t>
      </w:r>
    </w:p>
    <w:p>
      <w:pPr>
        <w:spacing w:after="120"/>
      </w:pPr>
      <w:r>
        <w:t xml:space="preserve">La console du navigateur, lors de la validation EA-05, montre de façon récurrente un 404 sur app.anarbib.org/painel (et une ressource conta:1). Sans rapport avec EA-05. Une ressource manque au chargement de la page — route, asset, ou autre. À investiguer ; sans gravité apparente mais à ne pas perdre de vue.</w:t>
      </w:r>
    </w:p>
    <w:p>
      <w:r>
        <w:br w:type="page"/>
      </w:r>
    </w:p>
    <w:p>
      <w:pPr>
        <w:pStyle w:val="Heading1"/>
      </w:pPr>
      <w:r>
        <w:t xml:space="preserve">7. Par quoi reprendre</w:t>
      </w:r>
    </w:p>
    <w:p>
      <w:pPr>
        <w:spacing w:after="120"/>
      </w:pPr>
      <w:r>
        <w:t xml:space="preserve">Ordre conseillé pour la suite du Painel :</w:t>
      </w:r>
    </w:p>
    <w:p>
      <w:pPr>
        <w:pStyle w:val="ListParagraph"/>
        <w:numPr>
          <w:ilvl w:val="0"/>
          <w:numId w:val="2"/>
        </w:numPr>
        <w:spacing w:after="60"/>
      </w:pPr>
      <w:r>
        <w:rPr>
          <w:b/>
          <w:bCs/>
        </w:rPr>
        <w:t xml:space="preserve">1. EA-13</w:t>
      </w:r>
      <w:r>
        <w:t xml:space="preserve"> — exécuter le cadrage de la section 5. Commencer par l'étape 1 (recensement) à tête reposée. Le clore termine le chantier A.</w:t>
      </w:r>
    </w:p>
    <w:p>
      <w:pPr>
        <w:pStyle w:val="ListParagraph"/>
        <w:numPr>
          <w:ilvl w:val="0"/>
          <w:numId w:val="2"/>
        </w:numPr>
        <w:spacing w:after="60"/>
      </w:pPr>
      <w:r>
        <w:rPr>
          <w:b/>
          <w:bCs/>
        </w:rPr>
        <w:t xml:space="preserve">2. Chantier F</w:t>
      </w:r>
      <w:r>
        <w:t xml:space="preserve"> — EA-06, très court : inscrire au Grand Livre Blanc la doctrine item_status / workflow_stage. L'audit le recommande tôt car rapide et sûr.</w:t>
      </w:r>
    </w:p>
    <w:p>
      <w:pPr>
        <w:pStyle w:val="ListParagraph"/>
        <w:numPr>
          <w:ilvl w:val="0"/>
          <w:numId w:val="2"/>
        </w:numPr>
        <w:spacing w:after="60"/>
      </w:pPr>
      <w:r>
        <w:rPr>
          <w:b/>
          <w:bCs/>
        </w:rPr>
        <w:t xml:space="preserve">3. Chantier B</w:t>
      </w:r>
      <w:r>
        <w:t xml:space="preserve"> — EA-04 et EA-08 : robustesse des filtres. Cohérent avec les deux bugs de la session.</w:t>
      </w:r>
    </w:p>
    <w:p>
      <w:pPr>
        <w:pStyle w:val="ListParagraph"/>
        <w:numPr>
          <w:ilvl w:val="0"/>
          <w:numId w:val="2"/>
        </w:numPr>
        <w:spacing w:after="60"/>
      </w:pPr>
      <w:r>
        <w:rPr>
          <w:b/>
          <w:bCs/>
        </w:rPr>
        <w:t xml:space="preserve">Puis</w:t>
      </w:r>
      <w:r>
        <w:t xml:space="preserve"> C et D en parallèle, E en dernier (le refactor structurel, le plus lourd).</w:t>
      </w:r>
    </w:p>
    <w:p>
      <w:pPr>
        <w:spacing w:after="120" w:before="120"/>
      </w:pPr>
      <w:r>
        <w:t xml:space="preserve">À traiter aussi, hors séquence : PN-1 (dette localizeError) et PN-2 (404), à un moment calme.</w:t>
      </w:r>
    </w:p>
    <w:p>
      <w:pPr>
        <w:spacing w:after="120" w:before="160"/>
      </w:pPr>
      <w:r>
        <w:rPr>
          <w:i/>
          <w:iCs/>
          <w:color w:val="5A5A5A"/>
        </w:rPr>
        <w:t xml:space="preserve">Tout ce qui est en production au soir du 26 mai est stable et validé. La reprise peut se faire sans urgence.</w:t>
      </w:r>
    </w:p>
    <w:sectPr>
      <w:headerReference w:type="default" r:id="rId7"/>
      <w:footerReference w:type="default" r:id="rId8"/>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docs/decisions/ — 26 mai 2026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AnarBib — Painel — état des lieux et cadrage EA-13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54" w:sz="8" w:space="4"/>
      </w:pBdr>
      <w:spacing w:after="200" w:before="280"/>
      <w:outlineLvl w:val="0"/>
    </w:pPr>
    <w:rPr>
      <w:rFonts w:ascii="Arial" w:cs="Arial" w:eastAsia="Arial" w:hAnsi="Arial"/>
      <w:b/>
      <w:bCs/>
      <w:color w:val="1F6F5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A1A1A"/>
      <w:sz w:val="24"/>
      <w:szCs w:val="24"/>
    </w:rPr>
  </w:style>
  <w:style w:type="paragraph" w:styleId="Heading3">
    <w:name w:val="Heading 3"/>
    <w:basedOn w:val="Normal"/>
    <w:next w:val="Normal"/>
    <w:qFormat/>
    <w:pPr>
      <w:spacing w:after="100" w:before="160"/>
      <w:outlineLvl w:val="2"/>
    </w:pPr>
    <w:rPr>
      <w:rFonts w:ascii="Arial" w:cs="Arial" w:eastAsia="Arial" w:hAnsi="Arial"/>
      <w:b/>
      <w:bCs/>
      <w:color w:val="1F6F5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Painel — état des lieux et cadrage EA-13</dc:title>
  <dc:creator>AnarBib</dc:creator>
  <cp:lastModifiedBy>Un-named</cp:lastModifiedBy>
  <cp:revision>1</cp:revision>
  <dcterms:created xsi:type="dcterms:W3CDTF">2026-05-26T20:27:08.215Z</dcterms:created>
  <dcterms:modified xsi:type="dcterms:W3CDTF">2026-05-26T20:27:08.216Z</dcterms:modified>
</cp:coreProperties>
</file>

<file path=docProps/custom.xml><?xml version="1.0" encoding="utf-8"?>
<Properties xmlns="http://schemas.openxmlformats.org/officeDocument/2006/custom-properties" xmlns:vt="http://schemas.openxmlformats.org/officeDocument/2006/docPropsVTypes"/>
</file>