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777777"/>
          <w:sz w:val="22"/>
          <w:szCs w:val="22"/>
        </w:rPr>
        <w:t xml:space="preserve">AnarBib — Dossier de décision</w:t>
      </w:r>
    </w:p>
    <w:p>
      <w:pPr>
        <w:spacing w:after="60"/>
        <w:jc w:val="center"/>
      </w:pPr>
      <w:r>
        <w:rPr>
          <w:b/>
          <w:bCs/>
          <w:sz w:val="38"/>
          <w:szCs w:val="38"/>
        </w:rPr>
        <w:t xml:space="preserve">Clôture du chantier #ILL — Prêt entre bibliothèques (PEB)</w:t>
      </w:r>
    </w:p>
    <w:p>
      <w:pPr>
        <w:pBdr>
          <w:bottom w:val="single" w:color="2E2E2E" w:sz="6" w:space="4"/>
        </w:pBdr>
        <w:spacing w:after="240"/>
        <w:jc w:val="center"/>
      </w:pPr>
      <w:r>
        <w:rPr>
          <w:i/>
          <w:iCs/>
          <w:color w:val="777777"/>
          <w:sz w:val="22"/>
          <w:szCs w:val="22"/>
        </w:rPr>
        <w:t xml:space="preserve">État du chantier au 24 mai 2026 — points résolus, points encore ouverts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1"/>
              <w:left w:val="single" w:color="BBBBBB" w:sz="1"/>
              <w:bottom w:val="single" w:color="BBBBBB" w:sz="1"/>
              <w:right w:val="single" w:color="BBBBBB" w:sz="1"/>
            </w:tcBorders>
            <w:shd w:fill="2E2E2E" w:val="clear"/>
            <w:tcMar>
              <w:top w:type="dxa" w:w="80"/>
              <w:left w:type="dxa" w:w="120"/>
              <w:bottom w:type="dxa" w:w="80"/>
              <w:right w:type="dxa" w:w="120"/>
            </w:tcMar>
          </w:tcPr>
          <w:p>
            <w:r>
              <w:rPr>
                <w:b/>
                <w:bCs/>
                <w:color w:val="FFFFFF"/>
                <w:sz w:val="20"/>
                <w:szCs w:val="20"/>
              </w:rPr>
              <w:t xml:space="preserve">Champ</w:t>
            </w:r>
          </w:p>
        </w:tc>
        <w:tc>
          <w:tcPr>
            <w:tcW w:type="dxa" w:w="6760"/>
            <w:tcBorders>
              <w:top w:val="single" w:color="BBBBBB" w:sz="1"/>
              <w:left w:val="single" w:color="BBBBBB" w:sz="1"/>
              <w:bottom w:val="single" w:color="BBBBBB" w:sz="1"/>
              <w:right w:val="single" w:color="BBBBBB" w:sz="1"/>
            </w:tcBorders>
            <w:shd w:fill="2E2E2E" w:val="clear"/>
            <w:tcMar>
              <w:top w:type="dxa" w:w="80"/>
              <w:left w:type="dxa" w:w="120"/>
              <w:bottom w:type="dxa" w:w="80"/>
              <w:right w:type="dxa" w:w="120"/>
            </w:tcMar>
          </w:tcPr>
          <w:p>
            <w:r>
              <w:rPr>
                <w:b/>
                <w:bCs/>
                <w:color w:val="FFFFFF"/>
                <w:sz w:val="20"/>
                <w:szCs w:val="20"/>
              </w:rPr>
              <w:t xml:space="preserve">Valeur</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Référence document</w:t>
            </w:r>
          </w:p>
        </w:tc>
        <w:tc>
          <w:tcPr>
            <w:tcW w:type="dxa" w:w="6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docs/decisions/CHANTIER_cloture_ILL_2026-05-24.md</w:t>
            </w:r>
          </w:p>
        </w:tc>
      </w:tr>
      <w:tr>
        <w:tc>
          <w:tcPr>
            <w:tcW w:type="dxa" w:w="2600"/>
            <w:tcBorders>
              <w:top w:val="single" w:color="BBBBBB" w:sz="1"/>
              <w:left w:val="single" w:color="BBBBBB" w:sz="1"/>
              <w:bottom w:val="single" w:color="BBBBBB" w:sz="1"/>
              <w:right w:val="single" w:color="BBBBBB" w:sz="1"/>
            </w:tcBorders>
            <w:shd w:fill="F0EDE8" w:val="clear"/>
            <w:tcMar>
              <w:top w:type="dxa" w:w="80"/>
              <w:left w:type="dxa" w:w="120"/>
              <w:bottom w:type="dxa" w:w="80"/>
              <w:right w:type="dxa" w:w="120"/>
            </w:tcMar>
          </w:tcPr>
          <w:p>
            <w:r>
              <w:rPr>
                <w:sz w:val="20"/>
                <w:szCs w:val="20"/>
              </w:rPr>
              <w:t xml:space="preserve">Date</w:t>
            </w:r>
          </w:p>
        </w:tc>
        <w:tc>
          <w:tcPr>
            <w:tcW w:type="dxa" w:w="6760"/>
            <w:tcBorders>
              <w:top w:val="single" w:color="BBBBBB" w:sz="1"/>
              <w:left w:val="single" w:color="BBBBBB" w:sz="1"/>
              <w:bottom w:val="single" w:color="BBBBBB" w:sz="1"/>
              <w:right w:val="single" w:color="BBBBBB" w:sz="1"/>
            </w:tcBorders>
            <w:shd w:fill="F0EDE8" w:val="clear"/>
            <w:tcMar>
              <w:top w:type="dxa" w:w="80"/>
              <w:left w:type="dxa" w:w="120"/>
              <w:bottom w:type="dxa" w:w="80"/>
              <w:right w:type="dxa" w:w="120"/>
            </w:tcMar>
          </w:tcPr>
          <w:p>
            <w:r>
              <w:rPr>
                <w:sz w:val="20"/>
                <w:szCs w:val="20"/>
              </w:rPr>
              <w:t xml:space="preserve">24 mai 2026</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Objet</w:t>
            </w:r>
          </w:p>
        </w:tc>
        <w:tc>
          <w:tcPr>
            <w:tcW w:type="dxa" w:w="6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Acter l'état réel du chantier PEB après vérification SQL et frontend du 24/05</w:t>
            </w:r>
          </w:p>
        </w:tc>
      </w:tr>
      <w:tr>
        <w:tc>
          <w:tcPr>
            <w:tcW w:type="dxa" w:w="2600"/>
            <w:tcBorders>
              <w:top w:val="single" w:color="BBBBBB" w:sz="1"/>
              <w:left w:val="single" w:color="BBBBBB" w:sz="1"/>
              <w:bottom w:val="single" w:color="BBBBBB" w:sz="1"/>
              <w:right w:val="single" w:color="BBBBBB" w:sz="1"/>
            </w:tcBorders>
            <w:shd w:fill="F0EDE8" w:val="clear"/>
            <w:tcMar>
              <w:top w:type="dxa" w:w="80"/>
              <w:left w:type="dxa" w:w="120"/>
              <w:bottom w:type="dxa" w:w="80"/>
              <w:right w:type="dxa" w:w="120"/>
            </w:tcMar>
          </w:tcPr>
          <w:p>
            <w:r>
              <w:rPr>
                <w:sz w:val="20"/>
                <w:szCs w:val="20"/>
              </w:rPr>
              <w:t xml:space="preserve">Statut</w:t>
            </w:r>
          </w:p>
        </w:tc>
        <w:tc>
          <w:tcPr>
            <w:tcW w:type="dxa" w:w="6760"/>
            <w:tcBorders>
              <w:top w:val="single" w:color="BBBBBB" w:sz="1"/>
              <w:left w:val="single" w:color="BBBBBB" w:sz="1"/>
              <w:bottom w:val="single" w:color="BBBBBB" w:sz="1"/>
              <w:right w:val="single" w:color="BBBBBB" w:sz="1"/>
            </w:tcBorders>
            <w:shd w:fill="F0EDE8" w:val="clear"/>
            <w:tcMar>
              <w:top w:type="dxa" w:w="80"/>
              <w:left w:type="dxa" w:w="120"/>
              <w:bottom w:type="dxa" w:w="80"/>
              <w:right w:type="dxa" w:w="120"/>
            </w:tcMar>
          </w:tcPr>
          <w:p>
            <w:r>
              <w:rPr>
                <w:sz w:val="20"/>
                <w:szCs w:val="20"/>
              </w:rPr>
              <w:t xml:space="preserve">3 points résolus actés ; 3 points ouverts cadrés ; réorganisation v16 préparée</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Suite</w:t>
            </w:r>
          </w:p>
        </w:tc>
        <w:tc>
          <w:tcPr>
            <w:tcW w:type="dxa" w:w="6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Sous-chantier #ILL-archive à mener ; puis #ILL-reports ; #ILL-digital en réflexion</w:t>
            </w:r>
          </w:p>
        </w:tc>
      </w:tr>
    </w:tbl>
    <w:p>
      <w:pPr>
        <w:spacing w:after="60"/>
      </w:pPr>
      <w:r>
        <w:t xml:space="preserve"/>
      </w:r>
    </w:p>
    <w:p>
      <w:pPr>
        <w:pStyle w:val="Heading1"/>
      </w:pPr>
      <w:r>
        <w:t xml:space="preserve">1. Objet de la fiche</w:t>
      </w:r>
    </w:p>
    <w:p>
      <w:pPr>
        <w:spacing w:after="120"/>
      </w:pPr>
      <w:r>
        <w:t xml:space="preserve">Une vérification croisée — SQL en base et lecture du frontend — menée le 24 mai 2026 a établi que trois des sept lignes #ILL du backlog v16 sont périmées : elles décrivent un travail déjà réalisé. Cette fiche acte ces constats, recadre les trois points encore réellement ouverts, et prépare la réorganisation du backlog v16 qui regroupera tout le PEB sous une entrée unique.</w:t>
      </w:r>
    </w:p>
    <w:p>
      <w:pPr>
        <w:spacing w:after="120"/>
      </w:pPr>
      <w:r>
        <w:t xml:space="preserve">Aucun code n'est produit par cette fiche : elle photographie un état et cadre la suite.</w:t>
      </w:r>
    </w:p>
    <w:p>
      <w:pPr>
        <w:pStyle w:val="Heading1"/>
      </w:pPr>
      <w:r>
        <w:t xml:space="preserve">2. Points #ILL résolus (à acter, rien à coder)</w:t>
      </w:r>
    </w:p>
    <w:p>
      <w:pPr>
        <w:pStyle w:val="Heading2"/>
      </w:pPr>
      <w:r>
        <w:t xml:space="preserve">2.1 #ILL-lifecycle — RÉSOLU</w:t>
      </w:r>
    </w:p>
    <w:p>
      <w:pPr>
        <w:spacing w:after="120"/>
      </w:pPr>
      <w:r>
        <w:t xml:space="preserve">Les deux triggers que la fiche de backlog disait « à construire » existent et sont actifs en base :</w:t>
      </w:r>
    </w:p>
    <w:p>
      <w:pPr>
        <w:pStyle w:val="ListParagraph"/>
        <w:numPr>
          <w:ilvl w:val="0"/>
          <w:numId w:val="2"/>
        </w:numPr>
        <w:spacing w:after="60"/>
      </w:pPr>
      <w:r>
        <w:rPr>
          <w:rFonts w:ascii="Consolas" w:cs="Consolas" w:eastAsia="Consolas" w:hAnsi="Consolas"/>
          <w:b/>
          <w:bCs/>
          <w:sz w:val="19"/>
          <w:szCs w:val="19"/>
        </w:rPr>
        <w:t xml:space="preserve">trg_peb_propagate_status</w:t>
      </w:r>
      <w:r>
        <w:t xml:space="preserve"> (fonction fn_peb_propagate_status, AFTER UPDATE) — pose dispatched_at / returned_at et propage status_global vers l'item_status des exemplaires.</w:t>
      </w:r>
    </w:p>
    <w:p>
      <w:pPr>
        <w:pStyle w:val="ListParagraph"/>
        <w:numPr>
          <w:ilvl w:val="0"/>
          <w:numId w:val="2"/>
        </w:numPr>
        <w:spacing w:after="60"/>
      </w:pPr>
      <w:r>
        <w:rPr>
          <w:rFonts w:ascii="Consolas" w:cs="Consolas" w:eastAsia="Consolas" w:hAnsi="Consolas"/>
          <w:b/>
          <w:bCs/>
          <w:sz w:val="19"/>
          <w:szCs w:val="19"/>
        </w:rPr>
        <w:t xml:space="preserve">trg_peb_validate_status_transition</w:t>
      </w:r>
      <w:r>
        <w:t xml:space="preserve"> (fonction fn_peb_validate_status_transition, BEFORE UPDATE) — valide chaque transition contre la table-graphe interlibrary_loan_status_transitions ; lève une exception sinon.</w:t>
      </w:r>
    </w:p>
    <w:p>
      <w:pPr>
        <w:spacing w:after="120"/>
      </w:pPr>
      <w:r>
        <w:t xml:space="preserve">La spec-cycle-vie-peb.md citée par la fiche (« spec. 3.2 ») a été implémentée. Côté frontend, BibliotecaPage.jsx onglet ill pilote correctement ces triggers : le select de statut est disabled quand le statut est déduit, et le pointage de retour est gardé par ILL_RETURN_PHASES. Le PEB #23 incohérent cité par l'ancienne fiche n'existe plus en base ; les PEB présents (#24, #25) sont cohérents.</w:t>
      </w:r>
    </w:p>
    <w:p>
      <w:pPr>
        <w:pStyle w:val="Heading2"/>
      </w:pPr>
      <w:r>
        <w:t xml:space="preserve">2.2 #ILL-rpc-anon — RÉSOLU (sans objet)</w:t>
      </w:r>
    </w:p>
    <w:p>
      <w:pPr>
        <w:spacing w:after="120"/>
      </w:pPr>
      <w:r>
        <w:t xml:space="preserve">Aucune fonction fn_peb_* ne porte de GRANT EXECUTE à anon ni à PUBLIC. La sécurité est déjà alignée sur la doctrine #150. Le point était sans objet.</w:t>
      </w:r>
    </w:p>
    <w:p>
      <w:pPr>
        <w:pStyle w:val="Heading2"/>
      </w:pPr>
      <w:r>
        <w:t xml:space="preserve">2.3 #ILL-overdue — RÉSOLU</w:t>
      </w:r>
    </w:p>
    <w:p>
      <w:pPr>
        <w:spacing w:after="120"/>
      </w:pPr>
      <w:r>
        <w:t xml:space="preserve">fn_cron_peb_detect_overdue gère l'aller (passage à atrasado si due_date dépassée) et le retour (sortie du retard si le prêt est prolongé, statut cible déduit des exemplaires). Le job cron anarbib-peb-detect-overdue-daily est planifié chaque jour à 3h40 et actif.</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5560"/>
        <w:gridCol w:w="1900"/>
      </w:tblGrid>
      <w:tr>
        <w:trPr>
          <w:tblHeader/>
        </w:trPr>
        <w:tc>
          <w:tcPr>
            <w:tcW w:type="dxa" w:w="1900"/>
            <w:tcBorders>
              <w:top w:val="single" w:color="BBBBBB" w:sz="1"/>
              <w:left w:val="single" w:color="BBBBBB" w:sz="1"/>
              <w:bottom w:val="single" w:color="BBBBBB" w:sz="1"/>
              <w:right w:val="single" w:color="BBBBBB" w:sz="1"/>
            </w:tcBorders>
            <w:shd w:fill="2E2E2E" w:val="clear"/>
            <w:tcMar>
              <w:top w:type="dxa" w:w="80"/>
              <w:left w:type="dxa" w:w="120"/>
              <w:bottom w:type="dxa" w:w="80"/>
              <w:right w:type="dxa" w:w="120"/>
            </w:tcMar>
          </w:tcPr>
          <w:p>
            <w:r>
              <w:rPr>
                <w:b/>
                <w:bCs/>
                <w:color w:val="FFFFFF"/>
                <w:sz w:val="20"/>
                <w:szCs w:val="20"/>
              </w:rPr>
              <w:t xml:space="preserve">Point</w:t>
            </w:r>
          </w:p>
        </w:tc>
        <w:tc>
          <w:tcPr>
            <w:tcW w:type="dxa" w:w="5560"/>
            <w:tcBorders>
              <w:top w:val="single" w:color="BBBBBB" w:sz="1"/>
              <w:left w:val="single" w:color="BBBBBB" w:sz="1"/>
              <w:bottom w:val="single" w:color="BBBBBB" w:sz="1"/>
              <w:right w:val="single" w:color="BBBBBB" w:sz="1"/>
            </w:tcBorders>
            <w:shd w:fill="2E2E2E" w:val="clear"/>
            <w:tcMar>
              <w:top w:type="dxa" w:w="80"/>
              <w:left w:type="dxa" w:w="120"/>
              <w:bottom w:type="dxa" w:w="80"/>
              <w:right w:type="dxa" w:w="120"/>
            </w:tcMar>
          </w:tcPr>
          <w:p>
            <w:r>
              <w:rPr>
                <w:b/>
                <w:bCs/>
                <w:color w:val="FFFFFF"/>
                <w:sz w:val="20"/>
                <w:szCs w:val="20"/>
              </w:rPr>
              <w:t xml:space="preserve">Constat vérifié le 24/05</w:t>
            </w:r>
          </w:p>
        </w:tc>
        <w:tc>
          <w:tcPr>
            <w:tcW w:type="dxa" w:w="1900"/>
            <w:tcBorders>
              <w:top w:val="single" w:color="BBBBBB" w:sz="1"/>
              <w:left w:val="single" w:color="BBBBBB" w:sz="1"/>
              <w:bottom w:val="single" w:color="BBBBBB" w:sz="1"/>
              <w:right w:val="single" w:color="BBBBBB" w:sz="1"/>
            </w:tcBorders>
            <w:shd w:fill="2E2E2E" w:val="clear"/>
            <w:tcMar>
              <w:top w:type="dxa" w:w="80"/>
              <w:left w:type="dxa" w:w="120"/>
              <w:bottom w:type="dxa" w:w="80"/>
              <w:right w:type="dxa" w:w="120"/>
            </w:tcMar>
          </w:tcPr>
          <w:p>
            <w:r>
              <w:rPr>
                <w:b/>
                <w:bCs/>
                <w:color w:val="FFFFFF"/>
                <w:sz w:val="20"/>
                <w:szCs w:val="20"/>
              </w:rPr>
              <w:t xml:space="preserve">Statut</w:t>
            </w:r>
          </w:p>
        </w:tc>
      </w:tr>
      <w:tr>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#ILL-lifecycle</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Les 2 triggers de cycle de vie existent et sont actifs ; frontend aligné</w:t>
            </w:r>
          </w:p>
        </w:tc>
        <w:tc>
          <w:tcPr>
            <w:tcW w:type="dxa" w:w="1900"/>
            <w:tcBorders>
              <w:top w:val="single" w:color="BBBBBB" w:sz="1"/>
              <w:left w:val="single" w:color="BBBBBB" w:sz="1"/>
              <w:bottom w:val="single" w:color="BBBBBB" w:sz="1"/>
              <w:right w:val="single" w:color="BBBBBB" w:sz="1"/>
            </w:tcBorders>
            <w:shd w:fill="DDE9D8" w:val="clear"/>
            <w:tcMar>
              <w:top w:type="dxa" w:w="80"/>
              <w:left w:type="dxa" w:w="120"/>
              <w:bottom w:type="dxa" w:w="80"/>
              <w:right w:type="dxa" w:w="120"/>
            </w:tcMar>
          </w:tcPr>
          <w:p>
            <w:r>
              <w:rPr>
                <w:sz w:val="20"/>
                <w:szCs w:val="20"/>
              </w:rPr>
              <w:t xml:space="preserve">RÉSOLU</w:t>
            </w:r>
          </w:p>
        </w:tc>
      </w:tr>
      <w:tr>
        <w:tc>
          <w:tcPr>
            <w:tcW w:type="dxa" w:w="1900"/>
            <w:tcBorders>
              <w:top w:val="single" w:color="BBBBBB" w:sz="1"/>
              <w:left w:val="single" w:color="BBBBBB" w:sz="1"/>
              <w:bottom w:val="single" w:color="BBBBBB" w:sz="1"/>
              <w:right w:val="single" w:color="BBBBBB" w:sz="1"/>
            </w:tcBorders>
            <w:shd w:fill="F0EDE8" w:val="clear"/>
            <w:tcMar>
              <w:top w:type="dxa" w:w="80"/>
              <w:left w:type="dxa" w:w="120"/>
              <w:bottom w:type="dxa" w:w="80"/>
              <w:right w:type="dxa" w:w="120"/>
            </w:tcMar>
          </w:tcPr>
          <w:p>
            <w:r>
              <w:rPr>
                <w:sz w:val="20"/>
                <w:szCs w:val="20"/>
              </w:rPr>
              <w:t xml:space="preserve">#ILL-rpc-anon</w:t>
            </w:r>
          </w:p>
        </w:tc>
        <w:tc>
          <w:tcPr>
            <w:tcW w:type="dxa" w:w="5560"/>
            <w:tcBorders>
              <w:top w:val="single" w:color="BBBBBB" w:sz="1"/>
              <w:left w:val="single" w:color="BBBBBB" w:sz="1"/>
              <w:bottom w:val="single" w:color="BBBBBB" w:sz="1"/>
              <w:right w:val="single" w:color="BBBBBB" w:sz="1"/>
            </w:tcBorders>
            <w:shd w:fill="F0EDE8" w:val="clear"/>
            <w:tcMar>
              <w:top w:type="dxa" w:w="80"/>
              <w:left w:type="dxa" w:w="120"/>
              <w:bottom w:type="dxa" w:w="80"/>
              <w:right w:type="dxa" w:w="120"/>
            </w:tcMar>
          </w:tcPr>
          <w:p>
            <w:r>
              <w:rPr>
                <w:sz w:val="20"/>
                <w:szCs w:val="20"/>
              </w:rPr>
              <w:t xml:space="preserve">Aucun GRANT à anon/PUBLIC sur les fn_peb_* ; conforme doctrine #150</w:t>
            </w:r>
          </w:p>
        </w:tc>
        <w:tc>
          <w:tcPr>
            <w:tcW w:type="dxa" w:w="1900"/>
            <w:tcBorders>
              <w:top w:val="single" w:color="BBBBBB" w:sz="1"/>
              <w:left w:val="single" w:color="BBBBBB" w:sz="1"/>
              <w:bottom w:val="single" w:color="BBBBBB" w:sz="1"/>
              <w:right w:val="single" w:color="BBBBBB" w:sz="1"/>
            </w:tcBorders>
            <w:shd w:fill="DDE9D8" w:val="clear"/>
            <w:tcMar>
              <w:top w:type="dxa" w:w="80"/>
              <w:left w:type="dxa" w:w="120"/>
              <w:bottom w:type="dxa" w:w="80"/>
              <w:right w:type="dxa" w:w="120"/>
            </w:tcMar>
          </w:tcPr>
          <w:p>
            <w:r>
              <w:rPr>
                <w:sz w:val="20"/>
                <w:szCs w:val="20"/>
              </w:rPr>
              <w:t xml:space="preserve">RÉSOLU</w:t>
            </w:r>
          </w:p>
        </w:tc>
      </w:tr>
      <w:tr>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#ILL-overdue</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fn_cron_peb_detect_overdue gère aller et retour ; cron quotidien actif</w:t>
            </w:r>
          </w:p>
        </w:tc>
        <w:tc>
          <w:tcPr>
            <w:tcW w:type="dxa" w:w="1900"/>
            <w:tcBorders>
              <w:top w:val="single" w:color="BBBBBB" w:sz="1"/>
              <w:left w:val="single" w:color="BBBBBB" w:sz="1"/>
              <w:bottom w:val="single" w:color="BBBBBB" w:sz="1"/>
              <w:right w:val="single" w:color="BBBBBB" w:sz="1"/>
            </w:tcBorders>
            <w:shd w:fill="DDE9D8" w:val="clear"/>
            <w:tcMar>
              <w:top w:type="dxa" w:w="80"/>
              <w:left w:type="dxa" w:w="120"/>
              <w:bottom w:type="dxa" w:w="80"/>
              <w:right w:type="dxa" w:w="120"/>
            </w:tcMar>
          </w:tcPr>
          <w:p>
            <w:r>
              <w:rPr>
                <w:sz w:val="20"/>
                <w:szCs w:val="20"/>
              </w:rPr>
              <w:t xml:space="preserve">RÉSOLU</w:t>
            </w:r>
          </w:p>
        </w:tc>
      </w:tr>
    </w:tbl>
    <w:p>
      <w:pPr>
        <w:pStyle w:val="Heading1"/>
      </w:pPr>
      <w:r>
        <w:t xml:space="preserve">3. Points #ILL réellement encore ouverts</w:t>
      </w:r>
    </w:p>
    <w:p>
      <w:pPr>
        <w:pStyle w:val="Heading2"/>
      </w:pPr>
      <w:r>
        <w:t xml:space="preserve">3.1 #ILL-archive (score 12) — ouvert</w:t>
      </w:r>
    </w:p>
    <w:p>
      <w:pPr>
        <w:spacing w:after="120"/>
      </w:pPr>
      <w:r>
        <w:t xml:space="preserve">Confirmé ouvert par le frontend : le chargement des PEB (interlibrary_loans_v2, order created_at desc limit 50) n'a aucun filtre archived_at, et le module ILL n'a aucune occurrence de la racine « archiv ». La colonne archived_at existe pourtant déjà en base — le cron de retard la lit. Le socle backend est donc partiellement posé ; ce qui manque est le mécanisme de bascule vers archivé, le filtrage de la liste active, et la vue de consultation côté onglet Relatórios.</w:t>
      </w:r>
    </w:p>
    <w:p>
      <w:pPr>
        <w:pStyle w:val="Heading2"/>
      </w:pPr>
      <w:r>
        <w:t xml:space="preserve">3.2 #ILL-reports (score 10) — ouvert</w:t>
      </w:r>
    </w:p>
    <w:p>
      <w:pPr>
        <w:spacing w:after="120"/>
      </w:pPr>
      <w:r>
        <w:t xml:space="preserve">Les comptes-rendus hebdomadaires ne sont pas encore enrichis de l'activité PEB ; l'onglet Relatórios ne l'intègre pas. À penser conjointement avec #ILL-archive : un historique structuré nourrit les deux. Recoupe le sous-constat (a) de #153.</w:t>
      </w:r>
    </w:p>
    <w:p>
      <w:pPr>
        <w:pStyle w:val="Heading2"/>
      </w:pPr>
      <w:r>
        <w:t xml:space="preserve">3.3 #ILL-digital (score 5) — réflexion</w:t>
      </w:r>
    </w:p>
    <w:p>
      <w:pPr>
        <w:spacing w:after="120"/>
      </w:pPr>
      <w:r>
        <w:t xml:space="preserve">Circulation par partage numérique (scan / PDF / impression locale, sans retour d'objet). Sujet non mûr : laissé en réflexion, rien à coder à ce stade.</w:t>
      </w:r>
    </w:p>
    <w:p>
      <w:pPr>
        <w:pStyle w:val="Heading1"/>
      </w:pPr>
      <w:r>
        <w:t xml:space="preserve">4. Sous-chantier #ILL-archive — cadrage</w:t>
      </w:r>
    </w:p>
    <w:p>
      <w:pPr>
        <w:spacing w:after="120"/>
      </w:pPr>
      <w:r>
        <w:t xml:space="preserve">C'est le seul vrai morceau de code restant du chantier PEB. Il se mène comme un sous-chantier dédié, sur le modèle des vues api.painel_*_history_v1 déjà en place. Étapes :</w:t>
      </w:r>
    </w:p>
    <w:p>
      <w:pPr>
        <w:pStyle w:val="ListParagraph"/>
        <w:numPr>
          <w:ilvl w:val="0"/>
          <w:numId w:val="3"/>
        </w:numPr>
        <w:spacing w:after="60"/>
      </w:pPr>
      <w:r>
        <w:t xml:space="preserve">Décider du déclenchement de l'archivage : automatique au passage devolvido / cancelado, manuel, ou différé. (Point à trancher — voir section 6.)</w:t>
      </w:r>
    </w:p>
    <w:p>
      <w:pPr>
        <w:pStyle w:val="ListParagraph"/>
        <w:numPr>
          <w:ilvl w:val="0"/>
          <w:numId w:val="3"/>
        </w:numPr>
        <w:spacing w:after="60"/>
      </w:pPr>
      <w:r>
        <w:t xml:space="preserve">Poser archived_at : soit une RPC fn_peb_archive_loan (doctrine RPC v3, SECURITY INVOKER, REVOKE puis GRANT ciblé, bloc DO de vérification), soit un trigger si le déclenchement retenu est automatique.</w:t>
      </w:r>
    </w:p>
    <w:p>
      <w:pPr>
        <w:pStyle w:val="ListParagraph"/>
        <w:numPr>
          <w:ilvl w:val="0"/>
          <w:numId w:val="3"/>
        </w:numPr>
        <w:spacing w:after="60"/>
      </w:pPr>
      <w:r>
        <w:t xml:space="preserve">Filtrer la liste active de BibliotecaPage pour exclure archived_at IS NOT NULL.</w:t>
      </w:r>
    </w:p>
    <w:p>
      <w:pPr>
        <w:pStyle w:val="ListParagraph"/>
        <w:numPr>
          <w:ilvl w:val="0"/>
          <w:numId w:val="3"/>
        </w:numPr>
        <w:spacing w:after="60"/>
      </w:pPr>
      <w:r>
        <w:t xml:space="preserve">Créer une vue api.peb_history_v1 (security_invoker) et un bloc de consultation dans l'onglet Relatórios.</w:t>
      </w:r>
    </w:p>
    <w:p>
      <w:pPr>
        <w:pStyle w:val="ListParagraph"/>
        <w:numPr>
          <w:ilvl w:val="0"/>
          <w:numId w:val="3"/>
        </w:numPr>
        <w:spacing w:after="60"/>
      </w:pPr>
      <w:r>
        <w:t xml:space="preserve">Prévoir la réversibilité : désarchiver (cohérent avec le précédent library_unarchive_log).</w:t>
      </w:r>
    </w:p>
    <w:p>
      <w:pPr>
        <w:pStyle w:val="ListParagraph"/>
        <w:numPr>
          <w:ilvl w:val="0"/>
          <w:numId w:val="3"/>
        </w:numPr>
        <w:spacing w:after="60"/>
      </w:pPr>
      <w:r>
        <w:t xml:space="preserve">i18n des nouvelles chaînes dans les 8 langues du projet.</w:t>
      </w:r>
    </w:p>
    <w:p>
      <w:pPr>
        <w:spacing w:after="120"/>
      </w:pPr>
      <w:r>
        <w:t xml:space="preserve">#ILL-reports s'enchaîne après #ILL-archive : petit chantier, il réutilise la vue d'historique.</w:t>
      </w:r>
    </w:p>
    <w:p>
      <w:pPr>
        <w:pStyle w:val="Heading1"/>
      </w:pPr>
      <w:r>
        <w:t xml:space="preserve">5. Réorganisation du backlog v16 (à appliquer plus tard)</w:t>
      </w:r>
    </w:p>
    <w:p>
      <w:pPr>
        <w:spacing w:after="120"/>
      </w:pPr>
      <w:r>
        <w:t xml:space="preserve">Décision actée avec Xavier : une ligne unique pour le PEB. La retouche du v16 interviendra après le chantier « partenaires de correspondance » en cours, dans un sens positif (acter le livré, pas seulement corriger).</w:t>
      </w:r>
    </w:p>
    <w:p>
      <w:pPr>
        <w:pStyle w:val="ListParagraph"/>
        <w:numPr>
          <w:ilvl w:val="0"/>
          <w:numId w:val="2"/>
        </w:numPr>
        <w:spacing w:after="60"/>
      </w:pPr>
      <w:r>
        <w:rPr>
          <w:b/>
          <w:bCs/>
        </w:rPr>
        <w:t xml:space="preserve">Entrée-chantier unique #ILL</w:t>
      </w:r>
      <w:r>
        <w:t xml:space="preserve"> regroupant tout le PEB. Sous-travaux livrés listés en résolu dans sa fiche détaillée : chantier du 22/05, EA-12 phase 1 (sécurité RPC), EA-12 phase 2 / cycle de vie (ex-#ILL-lifecycle), calcul de retard (ex-#ILL-overdue).</w:t>
      </w:r>
    </w:p>
    <w:p>
      <w:pPr>
        <w:pStyle w:val="ListParagraph"/>
        <w:numPr>
          <w:ilvl w:val="0"/>
          <w:numId w:val="2"/>
        </w:numPr>
        <w:spacing w:after="60"/>
      </w:pPr>
      <w:r>
        <w:rPr>
          <w:b/>
          <w:bCs/>
        </w:rPr>
        <w:t xml:space="preserve">Les lignes #ILL-lifecycle, #ILL-rpc-anon, #ILL-overdue sortent du tableau</w:t>
      </w:r>
      <w:r>
        <w:t xml:space="preserve"> (absorbées dans #ILL). Décompte : 89 → 86 lignes ; répartitions à recalculer.</w:t>
      </w:r>
    </w:p>
    <w:p>
      <w:pPr>
        <w:pStyle w:val="ListParagraph"/>
        <w:numPr>
          <w:ilvl w:val="0"/>
          <w:numId w:val="2"/>
        </w:numPr>
        <w:spacing w:after="60"/>
      </w:pPr>
      <w:r>
        <w:t xml:space="preserve">Restent ouverts : </w:t>
      </w:r>
      <w:r>
        <w:rPr>
          <w:b/>
          <w:bCs/>
        </w:rPr>
        <w:t xml:space="preserve">#ILL-archive, #ILL-reports, #ILL-digital</w:t>
      </w:r>
      <w:r>
        <w:t xml:space="preserve"> — plus, à ce moment-là, le nouveau chantier « partenaires de correspondance ».</w:t>
      </w:r>
    </w:p>
    <w:p>
      <w:pPr>
        <w:pStyle w:val="ListParagraph"/>
        <w:numPr>
          <w:ilvl w:val="0"/>
          <w:numId w:val="2"/>
        </w:numPr>
        <w:spacing w:after="60"/>
      </w:pPr>
      <w:r>
        <w:rPr>
          <w:b/>
          <w:bCs/>
        </w:rPr>
        <w:t xml:space="preserve">Fiche #BIBLIO</w:t>
      </w:r>
      <w:r>
        <w:t xml:space="preserve"> : réaligner le tableau des 10 étapes sur l'état réel du 24/05 — étape 2 = EA-12 phase 1 résolue, étape 3 = EA-15 résolue, étape 9 = EA-12 phase 2 / cycle PEB résolue.</w:t>
      </w:r>
    </w:p>
    <w:p>
      <w:pPr>
        <w:pStyle w:val="Heading1"/>
      </w:pPr>
      <w:r>
        <w:t xml:space="preserve">6. Point laissé ouvert pour Xavier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80"/>
        <w:gridCol w:w="3280"/>
      </w:tblGrid>
      <w:tr>
        <w:trPr>
          <w:tblHeader/>
        </w:trPr>
        <w:tc>
          <w:tcPr>
            <w:tcW w:type="dxa" w:w="2400"/>
            <w:tcBorders>
              <w:top w:val="single" w:color="BBBBBB" w:sz="1"/>
              <w:left w:val="single" w:color="BBBBBB" w:sz="1"/>
              <w:bottom w:val="single" w:color="BBBBBB" w:sz="1"/>
              <w:right w:val="single" w:color="BBBBBB" w:sz="1"/>
            </w:tcBorders>
            <w:shd w:fill="2E2E2E" w:val="clear"/>
            <w:tcMar>
              <w:top w:type="dxa" w:w="80"/>
              <w:left w:type="dxa" w:w="120"/>
              <w:bottom w:type="dxa" w:w="80"/>
              <w:right w:type="dxa" w:w="120"/>
            </w:tcMar>
          </w:tcPr>
          <w:p>
            <w:r>
              <w:rPr>
                <w:b/>
                <w:bCs/>
                <w:color w:val="FFFFFF"/>
                <w:sz w:val="20"/>
                <w:szCs w:val="20"/>
              </w:rPr>
              <w:t xml:space="preserve">Question</w:t>
            </w:r>
          </w:p>
        </w:tc>
        <w:tc>
          <w:tcPr>
            <w:tcW w:type="dxa" w:w="3680"/>
            <w:tcBorders>
              <w:top w:val="single" w:color="BBBBBB" w:sz="1"/>
              <w:left w:val="single" w:color="BBBBBB" w:sz="1"/>
              <w:bottom w:val="single" w:color="BBBBBB" w:sz="1"/>
              <w:right w:val="single" w:color="BBBBBB" w:sz="1"/>
            </w:tcBorders>
            <w:shd w:fill="2E2E2E" w:val="clear"/>
            <w:tcMar>
              <w:top w:type="dxa" w:w="80"/>
              <w:left w:type="dxa" w:w="120"/>
              <w:bottom w:type="dxa" w:w="80"/>
              <w:right w:type="dxa" w:w="120"/>
            </w:tcMar>
          </w:tcPr>
          <w:p>
            <w:r>
              <w:rPr>
                <w:b/>
                <w:bCs/>
                <w:color w:val="FFFFFF"/>
                <w:sz w:val="20"/>
                <w:szCs w:val="20"/>
              </w:rPr>
              <w:t xml:space="preserve">Options</w:t>
            </w:r>
          </w:p>
        </w:tc>
        <w:tc>
          <w:tcPr>
            <w:tcW w:type="dxa" w:w="3280"/>
            <w:tcBorders>
              <w:top w:val="single" w:color="BBBBBB" w:sz="1"/>
              <w:left w:val="single" w:color="BBBBBB" w:sz="1"/>
              <w:bottom w:val="single" w:color="BBBBBB" w:sz="1"/>
              <w:right w:val="single" w:color="BBBBBB" w:sz="1"/>
            </w:tcBorders>
            <w:shd w:fill="2E2E2E" w:val="clear"/>
            <w:tcMar>
              <w:top w:type="dxa" w:w="80"/>
              <w:left w:type="dxa" w:w="120"/>
              <w:bottom w:type="dxa" w:w="80"/>
              <w:right w:type="dxa" w:w="120"/>
            </w:tcMar>
          </w:tcPr>
          <w:p>
            <w:r>
              <w:rPr>
                <w:b/>
                <w:bCs/>
                <w:color w:val="FFFFFF"/>
                <w:sz w:val="20"/>
                <w:szCs w:val="20"/>
              </w:rPr>
              <w:t xml:space="preserve">Recommandation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Déclenchement de l'archivage des PEB</w:t>
            </w:r>
          </w:p>
        </w:tc>
        <w:tc>
          <w:tcPr>
            <w:tcW w:type="dxa" w:w="3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Automatique au passage devolvido/cancelado · manuel · différé (cron après N jours)</w:t>
            </w:r>
          </w:p>
        </w:tc>
        <w:tc>
          <w:tcPr>
            <w:tcW w:type="dxa" w:w="32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À trancher à l'ouverture de #ILL-archive ; l'automatique au passage en état terminal est le plus simple et cohérent avec le cron de retard existant.</w:t>
            </w:r>
          </w:p>
        </w:tc>
      </w:tr>
      <w:tr>
        <w:tc>
          <w:tcPr>
            <w:tcW w:type="dxa" w:w="2400"/>
            <w:tcBorders>
              <w:top w:val="single" w:color="BBBBBB" w:sz="1"/>
              <w:left w:val="single" w:color="BBBBBB" w:sz="1"/>
              <w:bottom w:val="single" w:color="BBBBBB" w:sz="1"/>
              <w:right w:val="single" w:color="BBBBBB" w:sz="1"/>
            </w:tcBorders>
            <w:shd w:fill="F0EDE8" w:val="clear"/>
            <w:tcMar>
              <w:top w:type="dxa" w:w="80"/>
              <w:left w:type="dxa" w:w="120"/>
              <w:bottom w:type="dxa" w:w="80"/>
              <w:right w:type="dxa" w:w="120"/>
            </w:tcMar>
          </w:tcPr>
          <w:p>
            <w:r>
              <w:rPr>
                <w:sz w:val="20"/>
                <w:szCs w:val="20"/>
              </w:rPr>
              <w:t xml:space="preserve">#ILL-archive / -reports / -digital : lignes propres ou sous-points de #ILL ?</w:t>
            </w:r>
          </w:p>
        </w:tc>
        <w:tc>
          <w:tcPr>
            <w:tcW w:type="dxa" w:w="3680"/>
            <w:tcBorders>
              <w:top w:val="single" w:color="BBBBBB" w:sz="1"/>
              <w:left w:val="single" w:color="BBBBBB" w:sz="1"/>
              <w:bottom w:val="single" w:color="BBBBBB" w:sz="1"/>
              <w:right w:val="single" w:color="BBBBBB" w:sz="1"/>
            </w:tcBorders>
            <w:shd w:fill="F0EDE8" w:val="clear"/>
            <w:tcMar>
              <w:top w:type="dxa" w:w="80"/>
              <w:left w:type="dxa" w:w="120"/>
              <w:bottom w:type="dxa" w:w="80"/>
              <w:right w:type="dxa" w:w="120"/>
            </w:tcMar>
          </w:tcPr>
          <w:p>
            <w:r>
              <w:rPr>
                <w:sz w:val="20"/>
                <w:szCs w:val="20"/>
              </w:rPr>
              <w:t xml:space="preserve">Lignes distinctes dans le tableau v16 · sous-points de la fiche détaillée #ILL</w:t>
            </w:r>
          </w:p>
        </w:tc>
        <w:tc>
          <w:tcPr>
            <w:tcW w:type="dxa" w:w="3280"/>
            <w:tcBorders>
              <w:top w:val="single" w:color="BBBBBB" w:sz="1"/>
              <w:left w:val="single" w:color="BBBBBB" w:sz="1"/>
              <w:bottom w:val="single" w:color="BBBBBB" w:sz="1"/>
              <w:right w:val="single" w:color="BBBBBB" w:sz="1"/>
            </w:tcBorders>
            <w:shd w:fill="F0EDE8" w:val="clear"/>
            <w:tcMar>
              <w:top w:type="dxa" w:w="80"/>
              <w:left w:type="dxa" w:w="120"/>
              <w:bottom w:type="dxa" w:w="80"/>
              <w:right w:type="dxa" w:w="120"/>
            </w:tcMar>
          </w:tcPr>
          <w:p>
            <w:r>
              <w:rPr>
                <w:sz w:val="20"/>
                <w:szCs w:val="20"/>
              </w:rPr>
              <w:t xml:space="preserve">À trancher par Xavier lors de la retouche v16 (section 5).</w:t>
            </w:r>
          </w:p>
        </w:tc>
      </w:tr>
    </w:tbl>
    <w:p>
      <w:pPr>
        <w:spacing w:after="60"/>
      </w:pPr>
      <w:r>
        <w:t xml:space="preserve"/>
      </w:r>
    </w:p>
    <w:p>
      <w:pPr>
        <w:pStyle w:val="Heading1"/>
      </w:pPr>
      <w:r>
        <w:t xml:space="preserve">7. Synthèse</w:t>
      </w:r>
    </w:p>
    <w:p>
      <w:pPr>
        <w:spacing w:after="120"/>
      </w:pPr>
      <w:r>
        <w:t xml:space="preserve">Le chantier #ILL est plus avancé que le backlog v16 ne le laissait penser : le cycle de vie, la sécurité des RPC et la détection de retard sont en production et vérifiés. Il ne reste qu'un vrai morceau de code — #ILL-archive — suivi d'un petit chantier — #ILL-reports — et d'un sujet en réflexion — #ILL-digital. La réorganisation du v16 en une ligne unique #ILL est préparée et sera appliquée après le chantier partenaires de correspondance.</w:t>
      </w:r>
    </w:p>
    <w:p>
      <w:pPr>
        <w:spacing w:after="120"/>
      </w:pPr>
      <w:r>
        <w:rPr>
          <w:i/>
          <w:iCs/>
          <w:color w:val="777777"/>
        </w:rPr>
        <w:t xml:space="preserve">Cette fiche acte l'état du 24/05. Elle ne ferme pas le chantier #ILL : elle le recentre sur #ILL-archive.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lvl>
  </w:abstractNum>
  <w:abstractNum w:abstractNumId="3" w15:restartNumberingAfterBreak="0">
    <w:multiLevelType w:val="hybridMultilevel"/>
    <w:lvl w:ilvl="0" w15:tentative="1">
      <w:start w:val="1"/>
      <w:numFmt w:val="decimal"/>
      <w:lvlText w:val="%1."/>
      <w:lvlJc w:val="left"/>
      <w:pPr>
        <w:ind w:left="4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999999" w:sz="4" w:space="3"/>
      </w:pBdr>
      <w:spacing w:after="160" w:before="320"/>
      <w:outlineLvl w:val="0"/>
    </w:pPr>
    <w:rPr>
      <w:rFonts w:ascii="Arial" w:cs="Arial" w:eastAsia="Arial" w:hAnsi="Arial"/>
      <w:b/>
      <w:bCs/>
      <w:color w:val="1A1A1A"/>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2E2E"/>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2026-05-24T18:22:38.389Z</dcterms:created>
  <dcterms:modified xsi:type="dcterms:W3CDTF">2026-05-24T18:22:38.401Z</dcterms:modified>
</cp:coreProperties>
</file>

<file path=docProps/custom.xml><?xml version="1.0" encoding="utf-8"?>
<Properties xmlns="http://schemas.openxmlformats.org/officeDocument/2006/custom-properties" xmlns:vt="http://schemas.openxmlformats.org/officeDocument/2006/docPropsVTypes"/>
</file>