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77777"/>
          <w:sz w:val="22"/>
          <w:szCs w:val="22"/>
        </w:rPr>
        <w:t xml:space="preserve">AnarBib — Dossier de décision</w:t>
      </w:r>
    </w:p>
    <w:p>
      <w:pPr>
        <w:spacing w:after="60"/>
        <w:jc w:val="center"/>
      </w:pPr>
      <w:r>
        <w:rPr>
          <w:b/>
          <w:bCs/>
          <w:sz w:val="40"/>
          <w:szCs w:val="40"/>
        </w:rPr>
        <w:t xml:space="preserve">Chantier « Partenaires de correspondance d'une bibliothèque »</w:t>
      </w:r>
    </w:p>
    <w:p>
      <w:pPr>
        <w:pBdr>
          <w:bottom w:val="single" w:color="2E2E2E" w:sz="6" w:space="4"/>
        </w:pBdr>
        <w:spacing w:after="240"/>
        <w:jc w:val="center"/>
      </w:pPr>
      <w:r>
        <w:rPr>
          <w:i/>
          <w:iCs/>
          <w:color w:val="777777"/>
          <w:sz w:val="22"/>
          <w:szCs w:val="22"/>
        </w:rPr>
        <w:t xml:space="preserve">Onglet « documents et relations extérieures » — page Bibliothèque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Champ</w:t>
            </w:r>
          </w:p>
        </w:tc>
        <w:tc>
          <w:tcPr>
            <w:tcW w:type="dxa" w:w="67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Valeur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Référence document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docs/decisions/CHANTIER_partenaires_correspondance_2026-05-24.md</w:t>
            </w:r>
          </w:p>
        </w:tc>
      </w:tr>
      <w:tr>
        <w:tc>
          <w:tcPr>
            <w:tcW w:type="dxa" w:w="26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Date</w:t>
            </w:r>
          </w:p>
        </w:tc>
        <w:tc>
          <w:tcPr>
            <w:tcW w:type="dxa" w:w="67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24 mai 2026</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Statut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Décisions de conception figées — étape 1 close, ouvre l'étape 2 (migration)</w:t>
            </w:r>
          </w:p>
        </w:tc>
      </w:tr>
      <w:tr>
        <w:tc>
          <w:tcPr>
            <w:tcW w:type="dxa" w:w="26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Périmètre</w:t>
            </w:r>
          </w:p>
        </w:tc>
        <w:tc>
          <w:tcPr>
            <w:tcW w:type="dxa" w:w="67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Étape 1 (analyse + conception). Étapes 2 à 4 cadrées, non exécutées dans ce document.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Méthode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Cartographie base vérifiée le 24/05 ; doctrine RPC v3 ; migration horodatée Woodpecker</w:t>
            </w:r>
          </w:p>
        </w:tc>
      </w:tr>
    </w:tbl>
    <w:p>
      <w:pPr>
        <w:spacing w:after="60"/>
      </w:pPr>
      <w:r>
        <w:t xml:space="preserve"/>
      </w:r>
    </w:p>
    <w:p>
      <w:pPr>
        <w:pStyle w:val="Heading1"/>
      </w:pPr>
      <w:r>
        <w:t xml:space="preserve">1. Objet et besoin</w:t>
      </w:r>
    </w:p>
    <w:p>
      <w:pPr>
        <w:spacing w:after="120"/>
      </w:pPr>
      <w:r>
        <w:t xml:space="preserve">Dans l'onglet « documents et relations extérieures » de la page Bibliothèque (condition tab==='documents', réservée au staff de coordination), chaque bibliothèque doit pouvoir choisir et afficher ses partenaires de correspondance : les bibliothèques et collectifs avec qui elle entretient un lien affirmé et régulier.</w:t>
      </w:r>
    </w:p>
    <w:p>
      <w:pPr>
        <w:spacing w:after="120"/>
      </w:pPr>
      <w:r>
        <w:t xml:space="preserve">Ce besoin est d'abord politique avant d'être technique. Pour une bibliothèque militante, se déclarer en lien avec tel ou tel collectif est un acte d'affirmation : la liste des partenaires de correspondance est une prise de position visible, pas une simple donnée de configuration.</w:t>
      </w:r>
    </w:p>
    <w:p>
      <w:pPr>
        <w:spacing w:after="120"/>
      </w:pPr>
      <w:r>
        <w:t xml:space="preserve">L'onglet affiche aujourd'hui la liste globale de tous les partenaires de catalogue (table catalog_partners) en lecture seule, sans aucune distinction par bibliothèque. Le chantier transforme ce bloc en un éditeur : chaque bibliothèque choisit ses propres partenaires, les voit, en ajoute, en retire.</w:t>
      </w:r>
    </w:p>
    <w:p>
      <w:pPr>
        <w:spacing w:after="120"/>
      </w:pPr>
      <w:r>
        <w:t xml:space="preserve">Deux sources d'alimentation sont prévues : le choix d'une autre bibliothèque fédérée présente dans l'instance AnarBib, et le choix d'un collectif extérieur déjà connu comme partenaire de catalogue (par exemple le CIRA de Lausanne ou le Centro studi libertari / Archivio G. Pinelli de Milan).</w:t>
      </w:r>
    </w:p>
    <w:p>
      <w:pPr>
        <w:pStyle w:val="Heading1"/>
      </w:pPr>
      <w:r>
        <w:t xml:space="preserve">2. Cartographie de l'existant (vérifiée en base le 24/05)</w:t>
      </w:r>
    </w:p>
    <w:p>
      <w:pPr>
        <w:spacing w:after="120"/>
      </w:pPr>
      <w:r>
        <w:t xml:space="preserve">Conformément à la méthode du projet — analyse de l'existant avant tout code — la conception s'appuie sur une introspection du schéma vivant réalisée le 24 mai 2026, et non sur les seuls documents de projet.</w:t>
      </w:r>
    </w:p>
    <w:p>
      <w:pPr>
        <w:pStyle w:val="Heading2"/>
      </w:pPr>
      <w:r>
        <w:t xml:space="preserve">2.1 Le constat structurant : aucune relation partenariale par bibliothèque n'existe</w:t>
      </w:r>
    </w:p>
    <w:p>
      <w:pPr>
        <w:spacing w:after="120"/>
      </w:pPr>
      <w:r>
        <w:t xml:space="preserve">Il n'existe en base AUCUNE table croisant une library_id et un partenaire. Rien aujourd'hui n'exprime « la BLMF correspond avec le CIRA et le CSL Milano ». La relation partenariale par bibliothèque est entièrement à créer : c'est le cœur du chantier.</w:t>
      </w:r>
    </w:p>
    <w:p>
      <w:pPr>
        <w:pStyle w:val="Heading2"/>
      </w:pPr>
      <w:r>
        <w:t xml:space="preserve">2.2 Deux mondes « partenaire » distincts et non reliés</w:t>
      </w:r>
    </w:p>
    <w:p>
      <w:pPr>
        <w:spacing w:after="120"/>
      </w:pPr>
      <w:r>
        <w:t xml:space="preserve">La cartographie a mis au jour une rupture importante. Le mot « partenaire » recouvre en base deux objets de natures différentes, sans lien entre eux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1330"/>
        <w:gridCol w:w="1130"/>
      </w:tblGrid>
      <w:tr>
        <w:trPr>
          <w:tblHeader/>
        </w:trPr>
        <w:tc>
          <w:tcPr>
            <w:tcW w:type="dxa" w:w="21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Objet</w:t>
            </w:r>
          </w:p>
        </w:tc>
        <w:tc>
          <w:tcPr>
            <w:tcW w:type="dxa" w:w="24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Schéma / table</w:t>
            </w:r>
          </w:p>
        </w:tc>
        <w:tc>
          <w:tcPr>
            <w:tcW w:type="dxa" w:w="24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Nature</w:t>
            </w:r>
          </w:p>
        </w:tc>
        <w:tc>
          <w:tcPr>
            <w:tcW w:type="dxa" w:w="133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Porte une library_id ?</w:t>
            </w:r>
          </w:p>
        </w:tc>
        <w:tc>
          <w:tcPr>
            <w:tcW w:type="dxa" w:w="113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Relié à l'autre ?</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Annuaire des collectifs partenaires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public.catalog_partners (id bigint)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Fiche d'identité d'un collectif extérieur (nom, URL, pays, statut de relation, notes)</w:t>
            </w:r>
          </w:p>
        </w:tc>
        <w:tc>
          <w:tcPr>
            <w:tcW w:type="dxa" w:w="13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Non — table globale</w:t>
            </w:r>
          </w:p>
        </w:tc>
        <w:tc>
          <w:tcPr>
            <w:tcW w:type="dxa" w:w="11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Non</w:t>
            </w:r>
          </w:p>
        </w:tc>
      </w:tr>
      <w:tr>
        <w:tc>
          <w:tcPr>
            <w:tcW w:type="dxa" w:w="2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Sources d'import de catalogue</w:t>
            </w:r>
          </w:p>
        </w:tc>
        <w:tc>
          <w:tcPr>
            <w:tcW w:type="dxa" w:w="24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ingest.partner_catalog_sources (id bigint)</w:t>
            </w:r>
          </w:p>
        </w:tc>
        <w:tc>
          <w:tcPr>
            <w:tcW w:type="dxa" w:w="24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Configuration technique d'un flux de moissonnage de notices</w:t>
            </w:r>
          </w:p>
        </w:tc>
        <w:tc>
          <w:tcPr>
            <w:tcW w:type="dxa" w:w="133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Oui — FK vers libraries</w:t>
            </w:r>
          </w:p>
        </w:tc>
        <w:tc>
          <w:tcPr>
            <w:tcW w:type="dxa" w:w="113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Non — le partenaire y est du texte libre</w:t>
            </w:r>
          </w:p>
        </w:tc>
      </w:tr>
    </w:tbl>
    <w:p>
      <w:pPr>
        <w:spacing w:after="60"/>
      </w:pPr>
      <w:r>
        <w:t xml:space="preserve"/>
      </w:r>
    </w:p>
    <w:p>
      <w:pPr>
        <w:spacing w:after="120"/>
      </w:pPr>
      <w:r>
        <w:t xml:space="preserve">Conséquence vérifiée : ingest.partner_catalog_sources n'a aucune clé étrangère vers catalog_partners. Le partenaire y est désigné par les colonnes texte partner_name / source_name (visibles dans les vues api.partner_catalog_*_ui). Les deux mondes ne se parlent pas en base.</w:t>
      </w:r>
    </w:p>
    <w:p>
      <w:pPr>
        <w:spacing w:after="120"/>
      </w:pPr>
      <w:r>
        <w:t xml:space="preserve">À l'inverse, </w:t>
      </w:r>
      <w:r>
        <w:rPr>
          <w:rFonts w:ascii="Consolas" w:cs="Consolas" w:eastAsia="Consolas" w:hAnsi="Consolas"/>
          <w:sz w:val="19"/>
          <w:szCs w:val="19"/>
        </w:rPr>
        <w:t xml:space="preserve">public.partner_source_records</w:t>
      </w:r>
      <w:r>
        <w:t xml:space="preserve"> possède bien une vraie clé étrangère partner_id vers catalog_partners.id — mais cette table est globale, sans library_id. Elle relie un partenaire à des notices moissonnées, jamais à une bibliothèque réceptrice.</w:t>
      </w:r>
    </w:p>
    <w:p>
      <w:pPr>
        <w:pStyle w:val="Heading2"/>
      </w:pPr>
      <w:r>
        <w:t xml:space="preserve">2.3 Comment une importation se rattache à une bibliothèque</w:t>
      </w:r>
    </w:p>
    <w:p>
      <w:pPr>
        <w:spacing w:after="120"/>
      </w:pPr>
      <w:r>
        <w:t xml:space="preserve">Le point laissé ouvert par le prompt de reprise est désormais tranché. La chaîne d'import qui porte la bibliothèque réceptrice est le pipeline du schéma ingest :</w:t>
      </w:r>
    </w:p>
    <w:p>
      <w:pPr>
        <w:shd w:fill="F2F2F2" w:val="clear"/>
        <w:spacing w:after="40"/>
      </w:pPr>
      <w:r>
        <w:rPr>
          <w:rFonts w:ascii="Consolas" w:cs="Consolas" w:eastAsia="Consolas" w:hAnsi="Consolas"/>
          <w:sz w:val="19"/>
          <w:szCs w:val="19"/>
        </w:rPr>
        <w:t xml:space="preserve">ingest.partner_catalog_sources  (porte library_id  → libraries.id)</w:t>
      </w:r>
    </w:p>
    <w:p>
      <w:pPr>
        <w:shd w:fill="F2F2F2" w:val="clear"/>
        <w:spacing w:after="40"/>
      </w:pPr>
      <w:r>
        <w:rPr>
          <w:rFonts w:ascii="Consolas" w:cs="Consolas" w:eastAsia="Consolas" w:hAnsi="Consolas"/>
          <w:sz w:val="19"/>
          <w:szCs w:val="19"/>
        </w:rPr>
        <w:t xml:space="preserve">        ↑ source_id</w:t>
      </w:r>
    </w:p>
    <w:p>
      <w:pPr>
        <w:shd w:fill="F2F2F2" w:val="clear"/>
        <w:spacing w:after="40"/>
      </w:pPr>
      <w:r>
        <w:rPr>
          <w:rFonts w:ascii="Consolas" w:cs="Consolas" w:eastAsia="Consolas" w:hAnsi="Consolas"/>
          <w:sz w:val="19"/>
          <w:szCs w:val="19"/>
        </w:rPr>
        <w:t xml:space="preserve">ingest.partner_catalog_import_runs   →  import_files / staging_rows / row_to_draft</w:t>
      </w:r>
    </w:p>
    <w:p>
      <w:pPr>
        <w:spacing w:after="120"/>
      </w:pPr>
      <w:r>
        <w:t xml:space="preserve">Une bibliothèque réceptrice est donc reliée à une source d'import via ingest.partner_catalog_sources. Toute la descendance (runs, fichiers, lignes) remonte au run, donc à la source, donc à la library_id. Le pipeline partner_source_records (annuaire global) est une chaîne distincte, non rattachée à une bibliothèque.</w:t>
      </w:r>
    </w:p>
    <w:p>
      <w:pPr>
        <w:pStyle w:val="Heading2"/>
      </w:pPr>
      <w:r>
        <w:t xml:space="preserve">2.4 Bibliothèques fédérées en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slug</w:t>
            </w:r>
          </w:p>
        </w:tc>
        <w:tc>
          <w:tcPr>
            <w:tcW w:type="dxa" w:w="468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network_mode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blmf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federated</w:t>
            </w:r>
          </w:p>
        </w:tc>
      </w:tr>
      <w:tr>
        <w:tc>
          <w:tcPr>
            <w:tcW w:type="dxa" w:w="468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btl</w:t>
            </w:r>
          </w:p>
        </w:tc>
        <w:tc>
          <w:tcPr>
            <w:tcW w:type="dxa" w:w="468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federated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blt-test-informal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isolated</w:t>
            </w:r>
          </w:p>
        </w:tc>
      </w:tr>
    </w:tbl>
    <w:p>
      <w:pPr>
        <w:spacing w:after="60"/>
      </w:pPr>
      <w:r>
        <w:t xml:space="preserve"/>
      </w:r>
    </w:p>
    <w:p>
      <w:pPr>
        <w:spacing w:after="120"/>
      </w:pPr>
      <w:r>
        <w:t xml:space="preserve">Deux bibliothèques fédérées seulement à ce jour. Le choix direct d'un partenaire-bibliothèque se fera dans la liste des libraries en network_mode='federated', hors la bibliothèque courante.</w:t>
      </w:r>
    </w:p>
    <w:p>
      <w:pPr>
        <w:pStyle w:val="Heading1"/>
      </w:pPr>
      <w:r>
        <w:t xml:space="preserve">3. Décisions de conception (figées)</w:t>
      </w:r>
    </w:p>
    <w:p>
      <w:pPr>
        <w:spacing w:after="120"/>
      </w:pPr>
      <w:r>
        <w:t xml:space="preserve">Quatre points de conception ont été arbitrés avec Xavier. Ils sont consignés ici comme décisions stables ; toute remise en cause relève d'une révision explicite de ce document.</w:t>
      </w:r>
    </w:p>
    <w:p>
      <w:pPr>
        <w:pStyle w:val="Heading2"/>
      </w:pPr>
      <w:r>
        <w:t xml:space="preserve">3.1 Décision D1 — Nature de la cible « partenaire de catalogue »</w:t>
      </w:r>
    </w:p>
    <w:p>
      <w:pPr>
        <w:spacing w:after="120"/>
      </w:pPr>
      <w:r>
        <w:rPr>
          <w:b/>
          <w:bCs/>
        </w:rPr>
        <w:t xml:space="preserve">Décision : </w:t>
      </w:r>
      <w:r>
        <w:t xml:space="preserve">un partenaire de correspondance de type catalogue référence </w:t>
      </w:r>
      <w:r>
        <w:rPr>
          <w:rFonts w:ascii="Consolas" w:cs="Consolas" w:eastAsia="Consolas" w:hAnsi="Consolas"/>
          <w:b/>
          <w:bCs/>
          <w:sz w:val="19"/>
          <w:szCs w:val="19"/>
        </w:rPr>
        <w:t xml:space="preserve">public.catalog_partners</w:t>
      </w:r>
      <w:r>
        <w:t xml:space="preserve"> (l'annuaire des collectifs), et non ingest.partner_catalog_sources.</w:t>
      </w:r>
    </w:p>
    <w:p>
      <w:pPr>
        <w:spacing w:after="120"/>
      </w:pPr>
      <w:r>
        <w:t xml:space="preserve">Justification. Une correspondance est une relation entre organisations, pas entre flux de données. catalog_partners est le registre stable des collectifs ; c'est aussi la table que l'onglet affiche déjà. Lier la relation à une source d'import (objet technique, instable, supprimable) ferait disparaître une relation politique durable avec le tuyau qui la sert — ce qui n'a pas de sens. Une bibliothèque peut correspondre avec un collectif sans importer son catalogue.</w:t>
      </w:r>
    </w:p>
    <w:p>
      <w:pPr>
        <w:spacing w:after="120"/>
      </w:pPr>
      <w:r>
        <w:rPr>
          <w:b/>
          <w:bCs/>
        </w:rPr>
        <w:t xml:space="preserve">Limite assumée. </w:t>
      </w:r>
      <w:r>
        <w:t xml:space="preserve">catalog_partners ignorant les bibliothèques, on ne peut pas dériver automatiquement « les partenaires d'import de telle bibliothèque ». L'éditeur proposera donc l'ensemble des catalog_partners (2 lignes aujourd'hui — sans enjeu d'échelle). Le chaînon manquant — une colonne catalog_partner_id sur ingest.partner_catalog_sources — est renvoyé au backlog, hors périmètre de ce chantier.</w:t>
      </w:r>
    </w:p>
    <w:p>
      <w:pPr>
        <w:pStyle w:val="Heading2"/>
      </w:pPr>
      <w:r>
        <w:t xml:space="preserve">3.2 Décision D2 — Les deux types de partenaires sont deux relations de natures différentes</w:t>
      </w:r>
    </w:p>
    <w:p>
      <w:pPr>
        <w:spacing w:after="120"/>
      </w:pPr>
      <w:r>
        <w:t xml:space="preserve">L'analyse a montré que « partenaire-bibliothèque » et « partenaire-collectif » ne sont pas deux variantes d'un même objet, mais deux relations distinctes :</w:t>
      </w:r>
    </w:p>
    <w:p>
      <w:pPr>
        <w:pStyle w:val="ListParagraph"/>
        <w:numPr>
          <w:ilvl w:val="0"/>
          <w:numId w:val="2"/>
        </w:numPr>
        <w:spacing w:after="60"/>
      </w:pPr>
      <w:r>
        <w:rPr>
          <w:b/>
          <w:bCs/>
        </w:rPr>
        <w:t xml:space="preserve">Partenaire = autre bibliothèque AnarBib fédérée</w:t>
      </w:r>
      <w:r>
        <w:t xml:space="preserve"> : les deux parties existent dans le système (compte, staff, page). La relation peut être réciproque.</w:t>
      </w:r>
    </w:p>
    <w:p>
      <w:pPr>
        <w:pStyle w:val="ListParagraph"/>
        <w:numPr>
          <w:ilvl w:val="0"/>
          <w:numId w:val="2"/>
        </w:numPr>
        <w:spacing w:after="60"/>
      </w:pPr>
      <w:r>
        <w:rPr>
          <w:b/>
          <w:bCs/>
        </w:rPr>
        <w:t xml:space="preserve">Partenaire = collectif extérieur</w:t>
      </w:r>
      <w:r>
        <w:t xml:space="preserve"> (catalog_partners) : l'autre partie n'existe que comme fiche d'annuaire. Le CIRA n'a pas de staff dans AnarBib et ne confirmera jamais rien. La relation est nécessairement unilatérale et déclarative.</w:t>
      </w:r>
    </w:p>
    <w:p>
      <w:pPr>
        <w:pStyle w:val="Heading2"/>
      </w:pPr>
      <w:r>
        <w:t xml:space="preserve">3.3 Décision D3 — Modèle physique : deux colonnes nullables exclusives</w:t>
      </w:r>
    </w:p>
    <w:p>
      <w:pPr>
        <w:spacing w:after="120"/>
      </w:pPr>
      <w:r>
        <w:t xml:space="preserve">La table porte deux références distinctes vers les deux types de cible, dont exactement une est renseignée :</w:t>
      </w:r>
    </w:p>
    <w:p>
      <w:pPr>
        <w:pStyle w:val="ListParagraph"/>
        <w:numPr>
          <w:ilvl w:val="0"/>
          <w:numId w:val="2"/>
        </w:numPr>
        <w:spacing w:after="60"/>
      </w:pPr>
      <w:r>
        <w:rPr>
          <w:rFonts w:ascii="Consolas" w:cs="Consolas" w:eastAsia="Consolas" w:hAnsi="Consolas"/>
          <w:sz w:val="19"/>
          <w:szCs w:val="19"/>
        </w:rPr>
        <w:t xml:space="preserve">partner_library_id</w:t>
      </w:r>
      <w:r>
        <w:t xml:space="preserve"> uuid, nullable, FK → libraries(id)</w:t>
      </w:r>
    </w:p>
    <w:p>
      <w:pPr>
        <w:pStyle w:val="ListParagraph"/>
        <w:numPr>
          <w:ilvl w:val="0"/>
          <w:numId w:val="2"/>
        </w:numPr>
        <w:spacing w:after="60"/>
      </w:pPr>
      <w:r>
        <w:rPr>
          <w:rFonts w:ascii="Consolas" w:cs="Consolas" w:eastAsia="Consolas" w:hAnsi="Consolas"/>
          <w:sz w:val="19"/>
          <w:szCs w:val="19"/>
        </w:rPr>
        <w:t xml:space="preserve">partner_catalog_id</w:t>
      </w:r>
      <w:r>
        <w:t xml:space="preserve"> bigint, nullable, FK → catalog_partners(id)</w:t>
      </w:r>
    </w:p>
    <w:p>
      <w:pPr>
        <w:pStyle w:val="ListParagraph"/>
        <w:numPr>
          <w:ilvl w:val="0"/>
          <w:numId w:val="2"/>
        </w:numPr>
        <w:spacing w:after="60"/>
      </w:pPr>
      <w:r>
        <w:rPr>
          <w:rFonts w:ascii="Consolas" w:cs="Consolas" w:eastAsia="Consolas" w:hAnsi="Consolas"/>
          <w:sz w:val="19"/>
          <w:szCs w:val="19"/>
        </w:rPr>
        <w:t xml:space="preserve">CHECK ( num_nonnulls(partner_library_id, partner_catalog_id) = 1 )</w:t>
      </w:r>
    </w:p>
    <w:p>
      <w:pPr>
        <w:spacing w:after="120"/>
      </w:pPr>
      <w:r>
        <w:t xml:space="preserve">Justification. Ce modèle conserve deux vraies clés étrangères — l'intégrité référentielle est garantie par la base. Le modèle polymorphe (une colonne partner_ref_id non typée + partner_kind) a été écarté : une colonne ne peut pas référencer tantôt un uuid tantôt un bigint, ce qui interdit toute FK et déplace le contrôle d'intégrité vers le code applicatif — contraire à la doctrine de rigueur du projet. Le modèle à deux tables séparées a aussi été écarté : les deux types partagent exactement les mêmes attributs métier, deux tables dupliqueraient sans bénéfice.</w:t>
      </w:r>
    </w:p>
    <w:p>
      <w:pPr>
        <w:pStyle w:val="Heading2"/>
      </w:pPr>
      <w:r>
        <w:t xml:space="preserve">3.4 Décision D4 — Réciprocité : une ligne par déclaration unilatérale</w:t>
      </w:r>
    </w:p>
    <w:p>
      <w:pPr>
        <w:spacing w:after="120"/>
      </w:pPr>
      <w:r>
        <w:t xml:space="preserve">Toute relation est une déclaration unilatérale : la bibliothèque possède sa propre ligne. La réciprocité entre deux bibliothèques AnarBib n'est pas un objet couplé mais le simple fait que deux lignes symétriques existent. L'interface peut afficher « réciproque » lorsque c'est le cas.</w:t>
      </w:r>
    </w:p>
    <w:p>
      <w:pPr>
        <w:spacing w:after="120"/>
      </w:pPr>
      <w:r>
        <w:t xml:space="preserve">Justification. Aucun workflow de proposition/confirmation, aucune table de votes, aucune notification croisée. Pour une instance à deux bibliothèques fédérées, rejouer la machinerie lourde des administrateurs réseau serait disproportionné pour un acte essentiellement déclaratif. La structure à deux colonnes n'interdit pas d'ajouter plus tard un statut pending/confirmed si un besoin de réciprocité formelle apparaît.</w:t>
      </w:r>
    </w:p>
    <w:p>
      <w:pPr>
        <w:pStyle w:val="Heading2"/>
      </w:pPr>
      <w:r>
        <w:t xml:space="preserve">3.5 Décision D5 — « Correspondance affirmée et régulière » : simple appartenance</w:t>
      </w:r>
    </w:p>
    <w:p>
      <w:pPr>
        <w:spacing w:after="120"/>
      </w:pPr>
      <w:r>
        <w:t xml:space="preserve">La qualité « affirmée et régulière » n'est pas modélisée par une échelle ou un booléen. La seule présence d'une ligne dans la table vaut affirmation de la correspondance. Pas de colonne d'intensité, donc pas de vocabulaire gradué à traduire en huit langues. Une colonne notes (texte libre) reste disponible pour le contexte humain.</w:t>
      </w:r>
    </w:p>
    <w:p>
      <w:pPr>
        <w:spacing w:after="120"/>
      </w:pPr>
      <w:r>
        <w:rPr>
          <w:b/>
          <w:bCs/>
        </w:rPr>
        <w:t xml:space="preserve">Articulation avec l'existant. </w:t>
      </w:r>
      <w:r>
        <w:t xml:space="preserve">La colonne catalog_partners.relationship_status décrit l'état de la relation au niveau global du projet ; elle n'est pas remplacée. La nouvelle table exprime un fait différent : l'appartenance d'un partenaire à la liste de correspondance d'une bibliothèque donnée. Les deux coexistent sans recouvrement.</w:t>
      </w:r>
    </w:p>
    <w:p>
      <w:pPr>
        <w:pStyle w:val="Heading1"/>
      </w:pPr>
      <w:r>
        <w:t xml:space="preserve">4. Modèle de données cible</w:t>
      </w:r>
    </w:p>
    <w:p>
      <w:pPr>
        <w:pStyle w:val="Heading2"/>
      </w:pPr>
      <w:r>
        <w:t xml:space="preserve">4.1 Table library_partnerships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360"/>
        <w:gridCol w:w="3000"/>
      </w:tblGrid>
      <w:tr>
        <w:trPr>
          <w:tblHeader/>
        </w:trPr>
        <w:tc>
          <w:tcPr>
            <w:tcW w:type="dxa" w:w="19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Colonne</w:t>
            </w:r>
          </w:p>
        </w:tc>
        <w:tc>
          <w:tcPr>
            <w:tcW w:type="dxa" w:w="11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Type</w:t>
            </w:r>
          </w:p>
        </w:tc>
        <w:tc>
          <w:tcPr>
            <w:tcW w:type="dxa" w:w="33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Contraintes</w:t>
            </w:r>
          </w:p>
        </w:tc>
        <w:tc>
          <w:tcPr>
            <w:tcW w:type="dxa" w:w="30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Rôle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uuid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PK, default gen_random_uuid()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Identifiant de la relation</w:t>
            </w:r>
          </w:p>
        </w:tc>
      </w:tr>
      <w:tr>
        <w:tc>
          <w:tcPr>
            <w:tcW w:type="dxa" w:w="1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library_id</w:t>
            </w:r>
          </w:p>
        </w:tc>
        <w:tc>
          <w:tcPr>
            <w:tcW w:type="dxa" w:w="1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uuid</w:t>
            </w:r>
          </w:p>
        </w:tc>
        <w:tc>
          <w:tcPr>
            <w:tcW w:type="dxa" w:w="33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NOT NULL, FK → libraries(id) ON DELETE CASCADE</w:t>
            </w:r>
          </w:p>
        </w:tc>
        <w:tc>
          <w:tcPr>
            <w:tcW w:type="dxa" w:w="30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Bibliothèque qui déclare la correspondance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partner_library_id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uuid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NULL, FK → libraries(id) ON DELETE CASCADE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Cible si le partenaire est une bibliothèque AnarBib</w:t>
            </w:r>
          </w:p>
        </w:tc>
      </w:tr>
      <w:tr>
        <w:tc>
          <w:tcPr>
            <w:tcW w:type="dxa" w:w="1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partner_catalog_id</w:t>
            </w:r>
          </w:p>
        </w:tc>
        <w:tc>
          <w:tcPr>
            <w:tcW w:type="dxa" w:w="1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bigint</w:t>
            </w:r>
          </w:p>
        </w:tc>
        <w:tc>
          <w:tcPr>
            <w:tcW w:type="dxa" w:w="33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NULL, FK → catalog_partners(id) ON DELETE CASCADE</w:t>
            </w:r>
          </w:p>
        </w:tc>
        <w:tc>
          <w:tcPr>
            <w:tcW w:type="dxa" w:w="30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Cible si le partenaire est un collectif de catalogue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notes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text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NULL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Note de contexte libre, facultative</w:t>
            </w:r>
          </w:p>
        </w:tc>
      </w:tr>
      <w:tr>
        <w:tc>
          <w:tcPr>
            <w:tcW w:type="dxa" w:w="1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created_at</w:t>
            </w:r>
          </w:p>
        </w:tc>
        <w:tc>
          <w:tcPr>
            <w:tcW w:type="dxa" w:w="1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timestamptz</w:t>
            </w:r>
          </w:p>
        </w:tc>
        <w:tc>
          <w:tcPr>
            <w:tcW w:type="dxa" w:w="33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NOT NULL, default now()</w:t>
            </w:r>
          </w:p>
        </w:tc>
        <w:tc>
          <w:tcPr>
            <w:tcW w:type="dxa" w:w="30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Audit</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created_by</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uuid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NULL, FK → profiles(id)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Auteur de la déclaration (audit)</w:t>
            </w:r>
          </w:p>
        </w:tc>
      </w:tr>
    </w:tbl>
    <w:p>
      <w:pPr>
        <w:spacing w:after="60"/>
      </w:pPr>
      <w:r>
        <w:t xml:space="preserve"/>
      </w:r>
    </w:p>
    <w:p>
      <w:pPr>
        <w:pStyle w:val="Heading2"/>
      </w:pPr>
      <w:r>
        <w:t xml:space="preserve">4.2 Contraintes d'intégrité</w:t>
      </w:r>
    </w:p>
    <w:p>
      <w:pPr>
        <w:pStyle w:val="ListParagraph"/>
        <w:numPr>
          <w:ilvl w:val="0"/>
          <w:numId w:val="2"/>
        </w:numPr>
        <w:spacing w:after="60"/>
      </w:pPr>
      <w:r>
        <w:rPr>
          <w:b/>
          <w:bCs/>
        </w:rPr>
        <w:t xml:space="preserve">Exclusivité de cible — </w:t>
      </w:r>
      <w:r>
        <w:t xml:space="preserve">CHECK ( num_nonnulls(partner_library_id, partner_catalog_id) = 1 ) : exactement une des deux références est renseignée.</w:t>
      </w:r>
    </w:p>
    <w:p>
      <w:pPr>
        <w:pStyle w:val="ListParagraph"/>
        <w:numPr>
          <w:ilvl w:val="0"/>
          <w:numId w:val="2"/>
        </w:numPr>
        <w:spacing w:after="60"/>
      </w:pPr>
      <w:r>
        <w:rPr>
          <w:b/>
          <w:bCs/>
        </w:rPr>
        <w:t xml:space="preserve">Anti-auto-référence — </w:t>
      </w:r>
      <w:r>
        <w:t xml:space="preserve">CHECK ( partner_library_id IS DISTINCT FROM library_id ) : une bibliothèque ne se déclare pas partenaire d'elle-même.</w:t>
      </w:r>
    </w:p>
    <w:p>
      <w:pPr>
        <w:pStyle w:val="ListParagraph"/>
        <w:numPr>
          <w:ilvl w:val="0"/>
          <w:numId w:val="2"/>
        </w:numPr>
        <w:spacing w:after="60"/>
      </w:pPr>
      <w:r>
        <w:rPr>
          <w:b/>
          <w:bCs/>
        </w:rPr>
        <w:t xml:space="preserve">Unicité — </w:t>
      </w:r>
      <w:r>
        <w:t xml:space="preserve">deux index uniques partiels pour empêcher les doublons : UNIQUE (library_id, partner_library_id) WHERE partner_library_id IS NOT NULL, et UNIQUE (library_id, partner_catalog_id) WHERE partner_catalog_id IS NOT NULL.</w:t>
      </w:r>
    </w:p>
    <w:p>
      <w:pPr>
        <w:spacing w:after="120"/>
      </w:pPr>
      <w:r>
        <w:rPr>
          <w:b/>
          <w:bCs/>
          <w:i/>
          <w:iCs/>
        </w:rPr>
        <w:t xml:space="preserve">Point à vérifier en base avant migration. </w:t>
      </w:r>
      <w:r>
        <w:rPr>
          <w:i/>
          <w:iCs/>
        </w:rPr>
        <w:t xml:space="preserve">Confirmer le type réel de la clé primaire de libraries (uuid attesté par la cartographie) et celui de profiles(id). Ajuster les types de colonnes si l'introspection révèle une divergence.</w:t>
      </w:r>
    </w:p>
    <w:p>
      <w:pPr>
        <w:pStyle w:val="Heading2"/>
      </w:pPr>
      <w:r>
        <w:t xml:space="preserve">4.3 Sécurité — RLS et accès</w:t>
      </w:r>
    </w:p>
    <w:p>
      <w:pPr>
        <w:spacing w:after="120"/>
      </w:pPr>
      <w:r>
        <w:t xml:space="preserve">RLS activée sur la table. L'écriture (INSERT / UPDATE / DELETE) est réservée au staff de coordination de la bibliothèque concernée — déclarer un partenaire engage politiquement la bibliothèque, ce qui correspond au registre « peut engager la bibliothèque » et non à la simple appartenance à l'équipe. La lecture suit la visibilité de la bibliothèque (la liste des partenaires de correspondance est une information publique de la bibliothèque).</w:t>
      </w:r>
    </w:p>
    <w:p>
      <w:pPr>
        <w:spacing w:after="120"/>
      </w:pPr>
      <w:r>
        <w:rPr>
          <w:b/>
          <w:bCs/>
          <w:i/>
          <w:iCs/>
        </w:rPr>
        <w:t xml:space="preserve">Point à confirmer en base. </w:t>
      </w:r>
      <w:r>
        <w:rPr>
          <w:i/>
          <w:iCs/>
        </w:rPr>
        <w:t xml:space="preserve">Le prompt nomme le helper user_can_act_as_staff_on_library, introuvable dans la documentation de projet. Les helpers attestés sont user_has_library_staff_role (« fait partie de l'équipe ») et user_can_manage_library (« peut engager politiquement la bibliothèque »). Le choix retenu pour l'écriture est user_can_manage_library, cohérent avec la condition coordOnly de l'onglet. Une requête SELECT proname FROM pg_proc WHERE proname LIKE '%library%' lèvera le doute avant d'écrire la migration ; si user_can_act_as_staff_on_library existe réellement et porte la sémantique coordination, il sera retenu à la place.</w:t>
      </w:r>
    </w:p>
    <w:p>
      <w:pPr>
        <w:pStyle w:val="Heading2"/>
      </w:pPr>
      <w:r>
        <w:t xml:space="preserve">4.4 RPC (doctrine RPC v3)</w:t>
      </w:r>
    </w:p>
    <w:p>
      <w:pPr>
        <w:spacing w:after="120"/>
      </w:pPr>
      <w:r>
        <w:t xml:space="preserve">Les écritures passent par des RPC dédiées : il s'agit d'opérations à validation métier (contrôle des droits, vérification du type de cible, anti-doublon). La lecture peut se faire par from() sur une vue protégée par RLS, conformément à la doctrine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RPC</w:t>
            </w:r>
          </w:p>
        </w:tc>
        <w:tc>
          <w:tcPr>
            <w:tcW w:type="dxa" w:w="27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Rôle</w:t>
            </w:r>
          </w:p>
        </w:tc>
        <w:tc>
          <w:tcPr>
            <w:tcW w:type="dxa" w:w="39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Validations clés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fn_library_partnership_add</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Crée une relation de correspondance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Droit de coordination sur library_id ; exactement une cible fournie ; cible existante ; pas d'auto-référence ; pas de doublon</w:t>
            </w:r>
          </w:p>
        </w:tc>
      </w:tr>
      <w:tr>
        <w:tc>
          <w:tcPr>
            <w:tcW w:type="dxa" w:w="27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fn_library_partnership_remove</w:t>
            </w:r>
          </w:p>
        </w:tc>
        <w:tc>
          <w:tcPr>
            <w:tcW w:type="dxa" w:w="27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Supprime une relation</w:t>
            </w:r>
          </w:p>
        </w:tc>
        <w:tc>
          <w:tcPr>
            <w:tcW w:type="dxa" w:w="39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Droit de coordination sur la library_id de la relation visée</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fn_library_partnership_update_notes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Met à jour la note de contexte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Droit de coordination ; relation existante</w:t>
            </w:r>
          </w:p>
        </w:tc>
      </w:tr>
    </w:tbl>
    <w:p>
      <w:pPr>
        <w:spacing w:after="60"/>
      </w:pPr>
      <w:r>
        <w:t xml:space="preserve"/>
      </w:r>
    </w:p>
    <w:p>
      <w:pPr>
        <w:spacing w:after="120"/>
      </w:pPr>
      <w:r>
        <w:t xml:space="preserve">Chaque RPC : SECURITY INVOKER ; REVOKE EXECUTE FROM PUBLIC, anon, authenticated, service_role puis GRANT EXECUTE ciblé sur authenticated ; bloc DO de vérification en fin de migration. Aucun GRANT à anon (cohérence doctrine #150).</w:t>
      </w:r>
    </w:p>
    <w:p>
      <w:pPr>
        <w:pStyle w:val="Heading2"/>
      </w:pPr>
      <w:r>
        <w:t xml:space="preserve">4.5 Vue de lecture</w:t>
      </w:r>
    </w:p>
    <w:p>
      <w:pPr>
        <w:spacing w:after="120"/>
      </w:pPr>
      <w:r>
        <w:t xml:space="preserve">Une vue api.library_partnerships_ui (security_invoker) expose, pour la bibliothèque courante, la liste résolue de ses partenaires : pour chaque ligne, le type de partenaire, son nom d'affichage (library.display_name ou catalog_partner.display_name selon la cible), les métadonnées utiles à l'interface (pays, URL pour un collectif ; slug pour une bibliothèque), la note et l'audit. La vue résout l'union des deux types côté SQL pour que le frontend manipule une liste homogène.</w:t>
      </w:r>
    </w:p>
    <w:p>
      <w:pPr>
        <w:pStyle w:val="Heading1"/>
      </w:pPr>
      <w:r>
        <w:t xml:space="preserve">5. Périmètre et séquence du chantier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rPr>
          <w:tblHeader/>
        </w:trPr>
        <w:tc>
          <w:tcPr>
            <w:tcW w:type="dxa" w:w="21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Étape</w:t>
            </w:r>
          </w:p>
        </w:tc>
        <w:tc>
          <w:tcPr>
            <w:tcW w:type="dxa" w:w="51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Contenu</w:t>
            </w:r>
          </w:p>
        </w:tc>
        <w:tc>
          <w:tcPr>
            <w:tcW w:type="dxa" w:w="21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État au 24/05</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 Analyse &amp; conception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Cartographie base, arbitrage des 5 décisions, modèle cible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CLOSE — objet du présent document</w:t>
            </w:r>
          </w:p>
        </w:tc>
      </w:tr>
      <w:tr>
        <w:tc>
          <w:tcPr>
            <w:tcW w:type="dxa" w:w="2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2 — Migration</w:t>
            </w:r>
          </w:p>
        </w:tc>
        <w:tc>
          <w:tcPr>
            <w:tcW w:type="dxa" w:w="51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Fichier horodaté : table + contraintes + index + RLS + 3 RPC + vue + bloc DO de vérification</w:t>
            </w:r>
          </w:p>
        </w:tc>
        <w:tc>
          <w:tcPr>
            <w:tcW w:type="dxa" w:w="2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À faire — ouvre dès validation de ce document</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 — Frontend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Transformer le bloc tab==='documents' de BibliotecaPage.jsx en éditeur (voir, ajouter depuis biblios fédérées, ajouter depuis collectifs, retirer). Réservé coordOnly.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À faire — après l'étape 2</w:t>
            </w:r>
          </w:p>
        </w:tc>
      </w:tr>
      <w:tr>
        <w:tc>
          <w:tcPr>
            <w:tcW w:type="dxa" w:w="2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4 — i18n</w:t>
            </w:r>
          </w:p>
        </w:tc>
        <w:tc>
          <w:tcPr>
            <w:tcW w:type="dxa" w:w="51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Nouvelles chaînes dans les 8 langues (pt-BR, fr, es, en, it, de, ca, eo). Insertion texte pure dans les JSON, validation node JSON.parse.</w:t>
            </w:r>
          </w:p>
        </w:tc>
        <w:tc>
          <w:tcPr>
            <w:tcW w:type="dxa" w:w="21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À faire — conjointe à l'étape 3</w:t>
            </w:r>
          </w:p>
        </w:tc>
      </w:tr>
    </w:tbl>
    <w:p>
      <w:pPr>
        <w:spacing w:after="60"/>
      </w:pPr>
      <w:r>
        <w:t xml:space="preserve"/>
      </w:r>
    </w:p>
    <w:p>
      <w:pPr>
        <w:pStyle w:val="Heading2"/>
      </w:pPr>
      <w:r>
        <w:t xml:space="preserve">5.1 Étape 3 — détail fonctionnel de l'éditeur</w:t>
      </w:r>
    </w:p>
    <w:p>
      <w:pPr>
        <w:spacing w:after="120"/>
      </w:pPr>
      <w:r>
        <w:t xml:space="preserve">Le bloc actuel (liste globale de catalog_partners en lecture seule, autour de la ligne 1457 de BibliotecaPage.jsx) est remplacé par un éditeur offrant quatre capacités :</w:t>
      </w:r>
    </w:p>
    <w:p>
      <w:pPr>
        <w:pStyle w:val="ListParagraph"/>
        <w:numPr>
          <w:ilvl w:val="0"/>
          <w:numId w:val="3"/>
        </w:numPr>
        <w:spacing w:after="60"/>
      </w:pPr>
      <w:r>
        <w:t xml:space="preserve">Voir les partenaires de correspondance actuels de la bibliothèque (lecture de api.library_partnerships_ui), avec distinction visuelle du type — bibliothèque fédérée ou collectif extérieur — et indication « réciproque » le cas échéant.</w:t>
      </w:r>
    </w:p>
    <w:p>
      <w:pPr>
        <w:pStyle w:val="ListParagraph"/>
        <w:numPr>
          <w:ilvl w:val="0"/>
          <w:numId w:val="3"/>
        </w:numPr>
        <w:spacing w:after="60"/>
      </w:pPr>
      <w:r>
        <w:t xml:space="preserve">Ajouter un partenaire-collectif depuis la liste des catalog_partners non encore liés à cette bibliothèque.</w:t>
      </w:r>
    </w:p>
    <w:p>
      <w:pPr>
        <w:pStyle w:val="ListParagraph"/>
        <w:numPr>
          <w:ilvl w:val="0"/>
          <w:numId w:val="3"/>
        </w:numPr>
        <w:spacing w:after="60"/>
      </w:pPr>
      <w:r>
        <w:t xml:space="preserve">Ajouter un partenaire-bibliothèque depuis la liste des libraries en network_mode='federated', hors la bibliothèque courante et hors partenaires déjà déclarés.</w:t>
      </w:r>
    </w:p>
    <w:p>
      <w:pPr>
        <w:pStyle w:val="ListParagraph"/>
        <w:numPr>
          <w:ilvl w:val="0"/>
          <w:numId w:val="3"/>
        </w:numPr>
        <w:spacing w:after="60"/>
      </w:pPr>
      <w:r>
        <w:t xml:space="preserve">Retirer un partenaire existant.</w:t>
      </w:r>
    </w:p>
    <w:p>
      <w:pPr>
        <w:pStyle w:val="Heading2"/>
      </w:pPr>
      <w:r>
        <w:t xml:space="preserve">5.2 Articulation avec le PEB</w:t>
      </w:r>
    </w:p>
    <w:p>
      <w:pPr>
        <w:spacing w:after="120"/>
      </w:pPr>
      <w:r>
        <w:t xml:space="preserve">Un partenaire de correspondance qui est une bibliothèque fédérée est aussi un partenaire de prêt inter-bibliothèques potentiel. La cohérence avec le filtre pebEligibleLibraries déjà présent dans BibliotecaPage.jsx doit être vérifiée à l'étape 3, sans fusionner les deux notions : être partenaire de correspondance (lien affirmé, déclaratif) et être éligible au PEB (capacité opérationnelle de prêt) restent deux propriétés distinctes. Le chantier n'introduit aucun couplage automatique entre les deux.</w:t>
      </w:r>
    </w:p>
    <w:p>
      <w:pPr>
        <w:pStyle w:val="Heading1"/>
      </w:pPr>
      <w:r>
        <w:t xml:space="preserve">6. Points laissés ouverts</w:t>
      </w:r>
    </w:p>
    <w:p>
      <w:pPr>
        <w:spacing w:after="120"/>
      </w:pPr>
      <w:r>
        <w:t xml:space="preserve">Ces points n'ont pas à être tranchés pour ouvrir l'étape 2 ; ils sont consignés pour suivi.</w:t>
      </w:r>
    </w:p>
    <w:p>
      <w:pPr>
        <w:pStyle w:val="ListParagraph"/>
        <w:numPr>
          <w:ilvl w:val="0"/>
          <w:numId w:val="2"/>
        </w:numPr>
        <w:spacing w:after="60"/>
      </w:pPr>
      <w:r>
        <w:rPr>
          <w:b/>
          <w:bCs/>
        </w:rPr>
        <w:t xml:space="preserve">Chaînon catalog_partners ↔ partner_catalog_sources. </w:t>
      </w:r>
      <w:r>
        <w:t xml:space="preserve">Backlog : ajouter une colonne catalog_partner_id à ingest.partner_catalog_sources permettrait, à terme, de dériver « les partenaires d'import de telle bibliothèque » et de proposer un filtrage plus fin à l'étape 3. Hors périmètre de ce chantier.</w:t>
      </w:r>
    </w:p>
    <w:p>
      <w:pPr>
        <w:pStyle w:val="ListParagraph"/>
        <w:numPr>
          <w:ilvl w:val="0"/>
          <w:numId w:val="2"/>
        </w:numPr>
        <w:spacing w:after="60"/>
      </w:pPr>
      <w:r>
        <w:rPr>
          <w:b/>
          <w:bCs/>
        </w:rPr>
        <w:t xml:space="preserve">Réciprocité formelle. </w:t>
      </w:r>
      <w:r>
        <w:t xml:space="preserve">Si un besoin de relation bilatérale confirmée émerge, un statut pending/confirmed pourra être ajouté sans refonte du modèle.</w:t>
      </w:r>
    </w:p>
    <w:p>
      <w:pPr>
        <w:pStyle w:val="ListParagraph"/>
        <w:numPr>
          <w:ilvl w:val="0"/>
          <w:numId w:val="2"/>
        </w:numPr>
        <w:spacing w:after="60"/>
      </w:pPr>
      <w:r>
        <w:rPr>
          <w:b/>
          <w:bCs/>
        </w:rPr>
        <w:t xml:space="preserve">Helper RLS exact. </w:t>
      </w:r>
      <w:r>
        <w:t xml:space="preserve">À confirmer en base (voir 4.3) avant rédaction de la migration.</w:t>
      </w:r>
    </w:p>
    <w:p>
      <w:pPr>
        <w:pStyle w:val="Heading1"/>
      </w:pPr>
      <w:r>
        <w:t xml:space="preserve">7. Synthèse des décisions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Réf.</w:t>
            </w:r>
          </w:p>
        </w:tc>
        <w:tc>
          <w:tcPr>
            <w:tcW w:type="dxa" w:w="84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Décision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D1</w:t>
            </w:r>
          </w:p>
        </w:tc>
        <w:tc>
          <w:tcPr>
            <w:tcW w:type="dxa" w:w="8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Le partenaire-catalogue référence public.catalog_partners (annuaire des collectifs), pas la source d'import.</w:t>
            </w:r>
          </w:p>
        </w:tc>
      </w:tr>
      <w:tr>
        <w:tc>
          <w:tcPr>
            <w:tcW w:type="dxa" w:w="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D2</w:t>
            </w:r>
          </w:p>
        </w:tc>
        <w:tc>
          <w:tcPr>
            <w:tcW w:type="dxa" w:w="84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Partenaire-bibliothèque et partenaire-collectif sont deux relations de natures différentes : la première peut être réciproque, la seconde est unilatérale déclarative.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D3</w:t>
            </w:r>
          </w:p>
        </w:tc>
        <w:tc>
          <w:tcPr>
            <w:tcW w:type="dxa" w:w="8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Modèle physique : deux colonnes nullables exclusives (partner_library_id / partner_catalog_id) + CHECK num_nonnulls = 1. Polymorphe et deux-tables écartés.</w:t>
            </w:r>
          </w:p>
        </w:tc>
      </w:tr>
      <w:tr>
        <w:tc>
          <w:tcPr>
            <w:tcW w:type="dxa" w:w="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D4</w:t>
            </w:r>
          </w:p>
        </w:tc>
        <w:tc>
          <w:tcPr>
            <w:tcW w:type="dxa" w:w="84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Réciprocité = une ligne par déclaration unilatérale. Pas de workflow de confirmation. Réciproque = deux lignes symétriques, affichées comme telles.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D5</w:t>
            </w:r>
          </w:p>
        </w:tc>
        <w:tc>
          <w:tcPr>
            <w:tcW w:type="dxa" w:w="8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Affirmée et régulière » = simple appartenance à la liste. Pas d'échelle d'intensité. Colonne notes libre conservée.</w:t>
            </w:r>
          </w:p>
        </w:tc>
      </w:tr>
    </w:tbl>
    <w:p>
      <w:pPr>
        <w:spacing w:after="60"/>
      </w:pPr>
      <w:r>
        <w:t xml:space="preserve"/>
      </w:r>
    </w:p>
    <w:p>
      <w:pPr>
        <w:spacing w:after="120"/>
      </w:pPr>
      <w:r>
        <w:rPr>
          <w:i/>
          <w:iCs/>
          <w:color w:val="777777"/>
        </w:rPr>
        <w:t xml:space="preserve">Ce document close l'étape 1 du chantier. Sa validation par Xavier ouvre l'étape 2 (rédaction du fichier de migration horodaté).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4" w:space="3"/>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2026-05-24T18:13:27.175Z</dcterms:created>
  <dcterms:modified xsi:type="dcterms:W3CDTF">2026-05-24T18:13:27.175Z</dcterms:modified>
</cp:coreProperties>
</file>

<file path=docProps/custom.xml><?xml version="1.0" encoding="utf-8"?>
<Properties xmlns="http://schemas.openxmlformats.org/officeDocument/2006/custom-properties" xmlns:vt="http://schemas.openxmlformats.org/officeDocument/2006/docPropsVTypes"/>
</file>