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6F54"/>
          <w:sz w:val="56"/>
          <w:szCs w:val="56"/>
        </w:rPr>
        <w:t xml:space="preserve">AnarBib</w:t>
      </w:r>
    </w:p>
    <w:p>
      <w:pPr>
        <w:spacing w:after="480"/>
        <w:jc w:val="center"/>
      </w:pPr>
      <w:r>
        <w:rPr>
          <w:i/>
          <w:iCs/>
          <w:color w:val="5A5A5A"/>
          <w:sz w:val="22"/>
          <w:szCs w:val="22"/>
        </w:rPr>
        <w:t xml:space="preserve">Système intégré de gestion de bibliothèque militante</w:t>
      </w:r>
    </w:p>
    <w:p>
      <w:pPr>
        <w:spacing w:after="120"/>
        <w:jc w:val="center"/>
      </w:pPr>
      <w:r>
        <w:rPr>
          <w:b/>
          <w:bCs/>
          <w:color w:val="5A5A5A"/>
          <w:sz w:val="26"/>
          <w:szCs w:val="26"/>
        </w:rPr>
        <w:t xml:space="preserve">EA-05 — Paquet 1</w:t>
      </w:r>
    </w:p>
    <w:p>
      <w:pPr>
        <w:spacing w:after="120"/>
        <w:jc w:val="center"/>
      </w:pPr>
      <w:r>
        <w:rPr>
          <w:b/>
          <w:bCs/>
          <w:color w:val="1A1A1A"/>
          <w:sz w:val="34"/>
          <w:szCs w:val="34"/>
        </w:rPr>
        <w:t xml:space="preserve">Catalogue des codes d'erreur de la couche api</w:t>
      </w:r>
    </w:p>
    <w:p>
      <w:pPr>
        <w:spacing w:after="480"/>
        <w:jc w:val="center"/>
      </w:pPr>
      <w:r>
        <w:rPr>
          <w:color w:val="5A5A5A"/>
          <w:sz w:val="22"/>
          <w:szCs w:val="22"/>
        </w:rPr>
        <w:t xml:space="preserve">Recensement, classification, nomenclature à valider</w:t>
      </w:r>
    </w:p>
    <w:p>
      <w:pPr>
        <w:spacing w:after="60"/>
        <w:jc w:val="center"/>
      </w:pPr>
      <w:r>
        <w:rPr>
          <w:color w:val="5A5A5A"/>
          <w:sz w:val="20"/>
          <w:szCs w:val="20"/>
        </w:rPr>
        <w:t xml:space="preserve">Chantier A — Lisibilité immédiate (audit Painel) — docs/decisions/</w:t>
      </w:r>
    </w:p>
    <w:p>
      <w:pPr>
        <w:spacing w:after="60"/>
        <w:jc w:val="center"/>
      </w:pPr>
      <w:r>
        <w:rPr>
          <w:color w:val="5A5A5A"/>
          <w:sz w:val="20"/>
          <w:szCs w:val="20"/>
        </w:rPr>
        <w:t xml:space="preserve">Version 1.0 — 26 mai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 et contexte</w:t>
      </w:r>
    </w:p>
    <w:p>
      <w:pPr>
        <w:spacing w:after="120"/>
      </w:pPr>
      <w:r>
        <w:t xml:space="preserve">Ce document est le premier paquet du chantier EA-05 (messages d'erreur de transition illisibles), issu de l'audit systématique de la page Painel. Il ne contient aucun code : c'est un document de recensement et d'arbitrage. Sa validation conditionne l'écriture du Paquet 2 (migration backend) et du Paquet 3 (traduction frontend).</w:t>
      </w:r>
    </w:p>
    <w:p>
      <w:pPr>
        <w:pStyle w:val="Heading3"/>
      </w:pPr>
      <w:r>
        <w:t xml:space="preserve">Le problème</w:t>
      </w:r>
    </w:p>
    <w:p>
      <w:pPr>
        <w:spacing w:after="120"/>
      </w:pPr>
      <w:r>
        <w:t xml:space="preserve">Quand une action du Painel échoue, le personnel de bibliothèque voit parfois s'afficher un message technique brut — par exemple « cible retirada_a_combinar requiert p_options-&gt;&gt;'pickup_scheduled_for' (timestamptz) ». Pour une personne non informaticienne, c'est illisible. L'audit a classé cet écart comme majeur.</w:t>
      </w:r>
    </w:p>
    <w:p>
      <w:pPr>
        <w:pStyle w:val="Heading3"/>
      </w:pPr>
      <w:r>
        <w:t xml:space="preserve">Ce que le recensement a révélé</w:t>
      </w:r>
    </w:p>
    <w:p>
      <w:pPr>
        <w:spacing w:after="120"/>
      </w:pPr>
      <w:r>
        <w:t xml:space="preserve">Contrairement à l'hypothèse initiale, le backend n'a pas besoin d'une refonte. La couche api lève déjà, dans la grande majorité des cas, un code d'erreur court et stable. Le défaut est double : (a) le frontend affiche le mauvais champ de l'erreur (le détail technique au lieu du code) ; (b) une minorité de fonctions, surtout dans la famille emprunts, lèvent encore une phrase entière sans code. Le chantier consiste donc à harmoniser cette minorité, puis à traduire l'ensemble côté frontend.</w:t>
      </w:r>
    </w:p>
    <w:p>
      <w:pPr>
        <w:pStyle w:val="Heading3"/>
      </w:pPr>
      <w:r>
        <w:t xml:space="preserve">Périmètre chiffré</w:t>
      </w:r>
    </w:p>
    <w:p>
      <w:pPr>
        <w:spacing w:after="120"/>
      </w:pPr>
      <w:r>
        <w:t xml:space="preserve">Le schéma api compte 116 instructions RAISE EXCEPTION. Elles se répartissent en trois familles, détaillées en section 3 : 55 portent déjà un code pur, 31 un code préfixé exploitable, 30 une phrase libre à harmoniser (ces 30 ne représentent que 10 messages distincts, très répétés).</w:t>
      </w:r>
    </w:p>
    <w:p>
      <w:r>
        <w:br w:type="page"/>
      </w:r>
    </w:p>
    <w:p>
      <w:pPr>
        <w:pStyle w:val="Heading1"/>
      </w:pPr>
      <w:r>
        <w:t xml:space="preserve">2. Méthode et convention de nommage</w:t>
      </w:r>
    </w:p>
    <w:p>
      <w:pPr>
        <w:pStyle w:val="Heading2"/>
      </w:pPr>
      <w:r>
        <w:t xml:space="preserve">2.1 Comment les RAISE ont été classés</w:t>
      </w:r>
    </w:p>
    <w:p>
      <w:pPr>
        <w:spacing w:after="120"/>
      </w:pPr>
      <w:r>
        <w:t xml:space="preserve">Chaque RAISE EXCEPTION du dump du schéma api a été analysé sur son premier argument — le message. Trois cas :</w:t>
      </w:r>
    </w:p>
    <w:p>
      <w:pPr>
        <w:pStyle w:val="ListParagraph"/>
        <w:numPr>
          <w:ilvl w:val="0"/>
          <w:numId w:val="2"/>
        </w:numPr>
        <w:spacing w:after="60"/>
      </w:pPr>
      <w:r>
        <w:rPr>
          <w:b/>
          <w:bCs/>
        </w:rPr>
        <w:t xml:space="preserve">Famille A — code pur : </w:t>
      </w:r>
      <w:r>
        <w:t xml:space="preserve">le message est un identifiant court sans espace (ex. transition_not_allowed). Directement exploitable.</w:t>
      </w:r>
    </w:p>
    <w:p>
      <w:pPr>
        <w:pStyle w:val="ListParagraph"/>
        <w:numPr>
          <w:ilvl w:val="0"/>
          <w:numId w:val="2"/>
        </w:numPr>
        <w:spacing w:after="60"/>
      </w:pPr>
      <w:r>
        <w:rPr>
          <w:b/>
          <w:bCs/>
        </w:rPr>
        <w:t xml:space="preserve">Famille B — code préfixé : </w:t>
      </w:r>
      <w:r>
        <w:t xml:space="preserve">le message est de la forme code: phrase explicative (ex. invalid_stage: transicao X -&gt; Y nao permitida). Le code est le préfixe avant le deux-points ; la phrase est du détail. Exploitable sans modification : le frontend lit le préfixe.</w:t>
      </w:r>
    </w:p>
    <w:p>
      <w:pPr>
        <w:pStyle w:val="ListParagraph"/>
        <w:numPr>
          <w:ilvl w:val="0"/>
          <w:numId w:val="2"/>
        </w:numPr>
        <w:spacing w:after="60"/>
      </w:pPr>
      <w:r>
        <w:rPr>
          <w:b/>
          <w:bCs/>
        </w:rPr>
        <w:t xml:space="preserve">Famille C — phrase libre : </w:t>
      </w:r>
      <w:r>
        <w:t xml:space="preserve">le message est une phrase entière, sans code (ex. « Emprestimo % nao encontrado. »). Non exploitable en l'état : c'est l'objet de l'harmonisation du Paquet 2.</w:t>
      </w:r>
    </w:p>
    <w:p>
      <w:pPr>
        <w:pStyle w:val="Heading2"/>
      </w:pPr>
      <w:r>
        <w:t xml:space="preserve">2.2 Convention retenue</w:t>
      </w:r>
    </w:p>
    <w:p>
      <w:pPr>
        <w:spacing w:after="120"/>
      </w:pPr>
      <w:r>
        <w:t xml:space="preserve">Les codes existants suivent une convention simple et cohérente : identifiant en snake_case, en minuscules, sans préfixe de projet, sans accent. Exemples : transition_not_allowed, pickup_scheduled_for_required, not_staff_of_this_library.</w:t>
      </w:r>
    </w:p>
    <w:p>
      <w:pPr>
        <w:spacing w:after="120"/>
      </w:pPr>
      <w:r>
        <w:rPr>
          <w:b/>
          <w:bCs/>
        </w:rPr>
        <w:t xml:space="preserve">Décision : </w:t>
      </w:r>
      <w:r>
        <w:t xml:space="preserve">les nouveaux codes de la famille C suivront exactement cette convention. Pas de préfixe ANARBIB_, pas de SQLSTATE custom. Cohérence avec l'existant avant tout. Le frontend identifiera le code en lisant le message de l'erreur jusqu'au premier deux-points (ou le message entier s'il n'y en a pas).</w:t>
      </w:r>
    </w:p>
    <w:p>
      <w:pPr>
        <w:pStyle w:val="Heading2"/>
      </w:pPr>
      <w:r>
        <w:t xml:space="preserve">2.3 Ce qui n'est pas touché</w:t>
      </w:r>
    </w:p>
    <w:p>
      <w:pPr>
        <w:spacing w:after="120"/>
      </w:pPr>
      <w:r>
        <w:t xml:space="preserve">Le champ ERRCODE (SQLSTATE) des RAISE existants n'est pas modifié : il sert au typage technique de l'erreur (authentification, violation de contrainte…) et reste utile. De même, le champ HINT — qui porte le détail technique — est conservé : il n'est plus destiné à l'affichage mais reste précieux pour le diagnostic en console. Seul le message principal est l'objet de l'harmonisation.</w:t>
      </w:r>
    </w:p>
    <w:p>
      <w:r>
        <w:br w:type="page"/>
      </w:r>
    </w:p>
    <w:p>
      <w:pPr>
        <w:pStyle w:val="Heading1"/>
      </w:pPr>
      <w:r>
        <w:t xml:space="preserve">3. Recensement par famille</w:t>
      </w:r>
    </w:p>
    <w:p>
      <w:pPr>
        <w:pStyle w:val="Heading2"/>
      </w:pPr>
      <w:r>
        <w:t xml:space="preserve">3.1 Famille A — codes purs (55 occurrences, 21 codes distincts)</w:t>
      </w:r>
    </w:p>
    <w:p>
      <w:pPr>
        <w:spacing w:after="120"/>
      </w:pPr>
      <w:r>
        <w:t xml:space="preserve">Ces codes sont déjà conformes. Aucune action backend. Ils devront figurer dans la table de traduction du frontend (Paquet 3) et recevoir une clé i18n (Paquet 4). Le nombre d'occurrences indique la fréquence d'usage du code dans la couche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900"/>
        <w:gridCol w:w="4060"/>
      </w:tblGrid>
      <w:tr>
        <w:trPr>
          <w:tblHeader/>
        </w:trPr>
        <w:tc>
          <w:tcPr>
            <w:tcW w:type="dxa" w:w="44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Code</w:t>
            </w:r>
          </w:p>
        </w:tc>
        <w:tc>
          <w:tcPr>
            <w:tcW w:type="dxa" w:w="9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Occ.</w:t>
            </w:r>
          </w:p>
        </w:tc>
        <w:tc>
          <w:tcPr>
            <w:tcW w:type="dxa" w:w="406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Signification</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auth_required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8</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Appel non authentifié</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reserva_line_not_found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8</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Ligne de réservation introuvable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not_staff_of_this_library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6</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L'appelant·e n'est pas staff de cette bibliothèque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not_authenticated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5</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Session non authentifiée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not_your_reserva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5</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Réservation appartenant à une autre personne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transition_not_allowed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4</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Transition de workflow refusée par la matrice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pickup_confirmation_not_applicable_in_stage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2</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Confirmation de créneau hors étape valide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pickup_confirmation_wrong_proposer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2</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Confirmation par la mauvaise partie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pickup_reply_not_applicable_in_stage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2</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Réponse au créneau hors étape valide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pickup_scheduled_for_required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2</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Créneau de retrait obligatoire et manquant</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cancel_blocked_by_stage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Annulation bloquée par l'étape courante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coordenador_required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Action réservée au rôle coordination</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pickup_counter_proposal_not_applicable_in_stage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Contre-proposition hors étape valide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pickup_negotiation_max_iterations_reached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Limite de 3 itérations de négociation atteinte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pickup_only_from_pronta_para_retirada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Retrait possible seulement depuis pronta_para_retirada</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pickup_proposal_not_applicable_in_stage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Proposition de créneau hors étape valide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reason_required_min_5_chars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Motif obligatoire d'au moins 5 caractères</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reserva_has_no_lines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Réservation sans aucune ligne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reserva_not_found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Réservation introuvable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target_stage_deprecated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Étape cible dépréciée (re-retirada_agendada)</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target_stage_has_dedicated_rpc</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Étape cible à atteindre via une RPC dédiée</w:t>
            </w:r>
          </w:p>
        </w:tc>
      </w:tr>
    </w:tbl>
    <w:p>
      <w:pPr>
        <w:spacing w:after="120"/>
      </w:pPr>
    </w:p>
    <w:p>
      <w:pPr>
        <w:pStyle w:val="Heading2"/>
      </w:pPr>
      <w:r>
        <w:t xml:space="preserve">3.2 Famille B — codes préfixés (31 occurrences, 6 préfixes distincts)</w:t>
      </w:r>
    </w:p>
    <w:p>
      <w:pPr>
        <w:spacing w:after="120"/>
      </w:pPr>
      <w:r>
        <w:t xml:space="preserve">Forme « code: phrase ». Le code (préfixe) est exploitable sans modification backend ; la phrase qui suit est un détail qui partira en console. Aucune action backend. Le frontend lit le préfixe avant le deux-points.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tblHeader/>
        </w:trPr>
        <w:tc>
          <w:tcPr>
            <w:tcW w:type="dxa" w:w="30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Préfixe-code</w:t>
            </w:r>
          </w:p>
        </w:tc>
        <w:tc>
          <w:tcPr>
            <w:tcW w:type="dxa" w:w="9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Occ.</w:t>
            </w:r>
          </w:p>
        </w:tc>
        <w:tc>
          <w:tcPr>
            <w:tcW w:type="dxa" w:w="546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Signification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not_found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18</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Entité (consulta, ligne, holding…) introuvable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invalid_stage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6</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Étape ou paramètre d'étape invalide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not_owner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Action sur une ressource d'une autre personne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schedule_missing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2</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Paramètre de planification manquant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cancel_note_required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Note d'annulation obligatoire (≥ 5 caractères)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not_authorized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Rôle insuffisant pour l'action demandée</w:t>
            </w:r>
          </w:p>
        </w:tc>
      </w:tr>
    </w:tbl>
    <w:p>
      <w:pPr>
        <w:spacing w:after="60"/>
      </w:pPr>
    </w:p>
    <w:p>
      <w:pPr>
        <w:spacing w:after="200"/>
      </w:pPr>
      <w:r>
        <w:rPr>
          <w:b/>
          <w:bCs/>
          <w:i/>
          <w:iCs/>
        </w:rPr>
        <w:t xml:space="preserve">Note sur not_found : </w:t>
      </w:r>
      <w:r>
        <w:rPr>
          <w:i/>
          <w:iCs/>
        </w:rPr>
        <w:t xml:space="preserve">18 occurrences, c'est le code le plus fréquent du schéma. La phrase qui suit le deux-points précise l'entité (consulta, linha, holding…). Le frontend pourra se contenter d'un message générique « élément introuvable », ou affiner plus tard si besoin — décision de Paquet 3.</w:t>
      </w:r>
    </w:p>
    <w:p>
      <w:r>
        <w:br w:type="page"/>
      </w:r>
    </w:p>
    <w:p>
      <w:pPr>
        <w:pStyle w:val="Heading2"/>
      </w:pPr>
      <w:r>
        <w:t xml:space="preserve">3.3 Famille C — phrases libres à harmoniser (30 occurrences, 10 messages)</w:t>
      </w:r>
    </w:p>
    <w:p>
      <w:pPr>
        <w:spacing w:after="120"/>
      </w:pPr>
      <w:r>
        <w:t xml:space="preserve">C'est le seul périmètre qui demande une migration backend. Ces RAISE lèvent une phrase entière, sans code. Elles se concentrent dans les fonctions de la famille emprunts (return, renew, schedule_return, create_loan…) et sont très répétitives : 30 occurrences pour seulement 10 messages distincts. Le tableau ci-dessous propose, pour chaque message, un code normalisé — colonne à valider.</w:t>
      </w:r>
    </w:p>
    <w:p>
      <w:pPr>
        <w:spacing w:after="120"/>
      </w:pPr>
      <w:r>
        <w:t xml:space="preserve">La colonne « lignes » renvoie aux numéros de ligne dans le dump du schéma api, pour le repérage lors de la rédaction de la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2700"/>
        <w:gridCol w:w="2360"/>
      </w:tblGrid>
      <w:tr>
        <w:trPr>
          <w:tblHeader/>
        </w:trPr>
        <w:tc>
          <w:tcPr>
            <w:tcW w:type="dxa" w:w="36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Message actuel</w:t>
            </w:r>
          </w:p>
        </w:tc>
        <w:tc>
          <w:tcPr>
            <w:tcW w:type="dxa" w:w="7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Occ.</w:t>
            </w:r>
          </w:p>
        </w:tc>
        <w:tc>
          <w:tcPr>
            <w:tcW w:type="dxa" w:w="270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Code proposé</w:t>
            </w:r>
          </w:p>
        </w:tc>
        <w:tc>
          <w:tcPr>
            <w:tcW w:type="dxa" w:w="2360"/>
            <w:tcBorders>
              <w:top w:val="single" w:color="CCCCCC" w:sz="1"/>
              <w:left w:val="single" w:color="CCCCCC" w:sz="1"/>
              <w:bottom w:val="single" w:color="CCCCCC" w:sz="1"/>
              <w:right w:val="single" w:color="CCCCCC" w:sz="1"/>
            </w:tcBorders>
            <w:shd w:fill="1F6F54" w:val="clear"/>
            <w:tcMar>
              <w:top w:type="dxa" w:w="60"/>
              <w:left w:type="dxa" w:w="100"/>
              <w:bottom w:type="dxa" w:w="60"/>
              <w:right w:type="dxa" w:w="100"/>
            </w:tcMar>
          </w:tcPr>
          <w:p>
            <w:r>
              <w:rPr>
                <w:b/>
                <w:bCs/>
                <w:color w:val="FFFFFF"/>
                <w:sz w:val="18"/>
                <w:szCs w:val="18"/>
              </w:rPr>
              <w:t xml:space="preserve">Lignes (dump api)</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Emprestimo % nao encontrado.</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7</w:t>
            </w:r>
          </w:p>
        </w:tc>
        <w:tc>
          <w:tcPr>
            <w:tcW w:type="dxa" w:w="2700"/>
            <w:tcBorders>
              <w:top w:val="single" w:color="CCCCCC" w:sz="1"/>
              <w:left w:val="single" w:color="CCCCCC" w:sz="1"/>
              <w:bottom w:val="single" w:color="CCCCCC" w:sz="1"/>
              <w:right w:val="single" w:color="CCCCCC" w:sz="1"/>
            </w:tcBorders>
            <w:shd w:fill="EAF3E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loan_not_found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513, 863, 1956, 2118, 2551, 2593, 2635</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Acao nao autorizada (%/%) sobre emprestimo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7</w:t>
            </w:r>
          </w:p>
        </w:tc>
        <w:tc>
          <w:tcPr>
            <w:tcW w:type="dxa" w:w="2700"/>
            <w:tcBorders>
              <w:top w:val="single" w:color="CCCCCC" w:sz="1"/>
              <w:left w:val="single" w:color="CCCCCC" w:sz="1"/>
              <w:bottom w:val="single" w:color="CCCCCC" w:sz="1"/>
              <w:right w:val="single" w:color="CCCCCC" w:sz="1"/>
            </w:tcBorders>
            <w:shd w:fill="EAF3E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loan_action_not_allowed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523, 869, 1962, 2130, 2557, 2599, 2646</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Authentification obrigatoria.</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6</w:t>
            </w:r>
          </w:p>
        </w:tc>
        <w:tc>
          <w:tcPr>
            <w:tcW w:type="dxa" w:w="2700"/>
            <w:tcBorders>
              <w:top w:val="single" w:color="CCCCCC" w:sz="1"/>
              <w:left w:val="single" w:color="CCCCCC" w:sz="1"/>
              <w:bottom w:val="single" w:color="CCCCCC" w:sz="1"/>
              <w:right w:val="single" w:color="CCCCCC" w:sz="1"/>
            </w:tcBorders>
            <w:shd w:fill="EAF3E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auth_required (code existant)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756, 857, 1946, 2541, 2587, 2625</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Pelo menos uma linha deve ser indicada.</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4</w:t>
            </w:r>
          </w:p>
        </w:tc>
        <w:tc>
          <w:tcPr>
            <w:tcW w:type="dxa" w:w="2700"/>
            <w:tcBorders>
              <w:top w:val="single" w:color="CCCCCC" w:sz="1"/>
              <w:left w:val="single" w:color="CCCCCC" w:sz="1"/>
              <w:bottom w:val="single" w:color="CCCCCC" w:sz="1"/>
              <w:right w:val="single" w:color="CCCCCC" w:sz="1"/>
            </w:tcBorders>
            <w:shd w:fill="EAF3E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line_required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507, 1950, 2545, 2629</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Voce so pode cancelar o agendamento dos seus proprios emprestimos.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2700"/>
            <w:tcBorders>
              <w:top w:val="single" w:color="CCCCCC" w:sz="1"/>
              <w:left w:val="single" w:color="CCCCCC" w:sz="1"/>
              <w:bottom w:val="single" w:color="CCCCCC" w:sz="1"/>
              <w:right w:val="single" w:color="CCCCCC" w:sz="1"/>
            </w:tcBorders>
            <w:shd w:fill="EAF3E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not_your_loan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519</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Voce so pode renovar seus proprios emprestimos.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2700"/>
            <w:tcBorders>
              <w:top w:val="single" w:color="CCCCCC" w:sz="1"/>
              <w:left w:val="single" w:color="CCCCCC" w:sz="1"/>
              <w:bottom w:val="single" w:color="CCCCCC" w:sz="1"/>
              <w:right w:val="single" w:color="CCCCCC" w:sz="1"/>
            </w:tcBorders>
            <w:shd w:fill="EAF3E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not_your_loan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2124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Voce so pode agendar a devolucao dos seus proprios emprestimos.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2700"/>
            <w:tcBorders>
              <w:top w:val="single" w:color="CCCCCC" w:sz="1"/>
              <w:left w:val="single" w:color="CCCCCC" w:sz="1"/>
              <w:bottom w:val="single" w:color="CCCCCC" w:sz="1"/>
              <w:right w:val="single" w:color="CCCCCC" w:sz="1"/>
            </w:tcBorders>
            <w:shd w:fill="EAF3E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not_your_loan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2642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Biblioteca ativa nao identificada.</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2700"/>
            <w:tcBorders>
              <w:top w:val="single" w:color="CCCCCC" w:sz="1"/>
              <w:left w:val="single" w:color="CCCCCC" w:sz="1"/>
              <w:bottom w:val="single" w:color="CCCCCC" w:sz="1"/>
              <w:right w:val="single" w:color="CCCCCC" w:sz="1"/>
            </w:tcBorders>
            <w:shd w:fill="EAF3E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library_not_identified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767</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Acao nao autorizada para o seu papel (%).</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2700"/>
            <w:tcBorders>
              <w:top w:val="single" w:color="CCCCCC" w:sz="1"/>
              <w:left w:val="single" w:color="CCCCCC" w:sz="1"/>
              <w:bottom w:val="single" w:color="CCCCCC" w:sz="1"/>
              <w:right w:val="single" w:color="CCCCCC" w:sz="1"/>
            </w:tcBorders>
            <w:shd w:fill="EAF3E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loan_action_not_allowed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774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Non authentifie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1A1A1A"/>
                <w:sz w:val="18"/>
                <w:szCs w:val="18"/>
              </w:rPr>
              <w:t xml:space="preserve">1</w:t>
            </w:r>
          </w:p>
        </w:tc>
        <w:tc>
          <w:tcPr>
            <w:tcW w:type="dxa" w:w="2700"/>
            <w:tcBorders>
              <w:top w:val="single" w:color="CCCCCC" w:sz="1"/>
              <w:left w:val="single" w:color="CCCCCC" w:sz="1"/>
              <w:bottom w:val="single" w:color="CCCCCC" w:sz="1"/>
              <w:right w:val="single" w:color="CCCCCC" w:sz="1"/>
            </w:tcBorders>
            <w:shd w:fill="EAF3E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auth_required (code existant)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color w:val="1A1A1A"/>
                <w:sz w:val="16"/>
                <w:szCs w:val="16"/>
              </w:rPr>
              <w:t xml:space="preserve">891</w:t>
            </w:r>
          </w:p>
        </w:tc>
      </w:tr>
    </w:tbl>
    <w:p>
      <w:pPr>
        <w:spacing w:after="140"/>
      </w:pPr>
    </w:p>
    <w:p>
      <w:pPr>
        <w:pStyle w:val="Heading3"/>
      </w:pPr>
      <w:r>
        <w:t xml:space="preserve">Synthèse de la nomenclature famille C</w:t>
      </w:r>
    </w:p>
    <w:p>
      <w:pPr>
        <w:spacing w:after="120"/>
      </w:pPr>
      <w:r>
        <w:t xml:space="preserve">10 messages distincts → 5 codes seulement, dont un déjà existant :</w:t>
      </w:r>
    </w:p>
    <w:p>
      <w:pPr>
        <w:pStyle w:val="ListParagraph"/>
        <w:numPr>
          <w:ilvl w:val="0"/>
          <w:numId w:val="2"/>
        </w:numPr>
        <w:spacing w:after="60"/>
      </w:pPr>
      <w:r>
        <w:rPr>
          <w:rFonts w:ascii="Consolas" w:cs="Consolas" w:eastAsia="Consolas" w:hAnsi="Consolas"/>
          <w:b/>
          <w:bCs/>
        </w:rPr>
        <w:t xml:space="preserve">auth_required</w:t>
      </w:r>
      <w:r>
        <w:t xml:space="preserve"> — code DÉJÀ présent en famille A. Les 7 RAISE « Authentification obrigatoria. » / « Non authentifie » seront simplement ramenés à ce code commun. Les fonctions emprunts avaient divergé de la convention ; on les y réaligne.</w:t>
      </w:r>
    </w:p>
    <w:p>
      <w:pPr>
        <w:pStyle w:val="ListParagraph"/>
        <w:numPr>
          <w:ilvl w:val="0"/>
          <w:numId w:val="2"/>
        </w:numPr>
        <w:spacing w:after="60"/>
      </w:pPr>
      <w:r>
        <w:rPr>
          <w:rFonts w:ascii="Consolas" w:cs="Consolas" w:eastAsia="Consolas" w:hAnsi="Consolas"/>
          <w:b/>
          <w:bCs/>
        </w:rPr>
        <w:t xml:space="preserve">loan_not_found</w:t>
      </w:r>
      <w:r>
        <w:t xml:space="preserve"> — nouveau. Emprunt introuvable (7 RAISE).</w:t>
      </w:r>
    </w:p>
    <w:p>
      <w:pPr>
        <w:pStyle w:val="ListParagraph"/>
        <w:numPr>
          <w:ilvl w:val="0"/>
          <w:numId w:val="2"/>
        </w:numPr>
        <w:spacing w:after="60"/>
      </w:pPr>
      <w:r>
        <w:rPr>
          <w:rFonts w:ascii="Consolas" w:cs="Consolas" w:eastAsia="Consolas" w:hAnsi="Consolas"/>
          <w:b/>
          <w:bCs/>
        </w:rPr>
        <w:t xml:space="preserve">loan_action_not_allowed</w:t>
      </w:r>
      <w:r>
        <w:t xml:space="preserve"> — nouveau. Action de circulation refusée pour le rôle ou l'état de l'emprunt (8 RAISE, en fusionnant la variante « para o seu papel »).</w:t>
      </w:r>
    </w:p>
    <w:p>
      <w:pPr>
        <w:pStyle w:val="ListParagraph"/>
        <w:numPr>
          <w:ilvl w:val="0"/>
          <w:numId w:val="2"/>
        </w:numPr>
        <w:spacing w:after="60"/>
      </w:pPr>
      <w:r>
        <w:rPr>
          <w:rFonts w:ascii="Consolas" w:cs="Consolas" w:eastAsia="Consolas" w:hAnsi="Consolas"/>
          <w:b/>
          <w:bCs/>
        </w:rPr>
        <w:t xml:space="preserve">line_required</w:t>
      </w:r>
      <w:r>
        <w:t xml:space="preserve"> — nouveau. Au moins une ligne doit être indiquée (4 RAISE).</w:t>
      </w:r>
    </w:p>
    <w:p>
      <w:pPr>
        <w:pStyle w:val="ListParagraph"/>
        <w:numPr>
          <w:ilvl w:val="0"/>
          <w:numId w:val="2"/>
        </w:numPr>
        <w:spacing w:after="60"/>
      </w:pPr>
      <w:r>
        <w:rPr>
          <w:rFonts w:ascii="Consolas" w:cs="Consolas" w:eastAsia="Consolas" w:hAnsi="Consolas"/>
          <w:b/>
          <w:bCs/>
        </w:rPr>
        <w:t xml:space="preserve">not_your_loan</w:t>
      </w:r>
      <w:r>
        <w:t xml:space="preserve"> — nouveau. Action sur l'emprunt d'une autre personne. Regroupe trois phrases distinctes (annuler / renouveler / planifier le retour) sous un seul code : le motif est le même, la nuance de verbe relève du détail.</w:t>
      </w:r>
    </w:p>
    <w:p>
      <w:pPr>
        <w:pStyle w:val="ListParagraph"/>
        <w:numPr>
          <w:ilvl w:val="0"/>
          <w:numId w:val="2"/>
        </w:numPr>
        <w:spacing w:after="60"/>
      </w:pPr>
      <w:r>
        <w:rPr>
          <w:rFonts w:ascii="Consolas" w:cs="Consolas" w:eastAsia="Consolas" w:hAnsi="Consolas"/>
          <w:b/>
          <w:bCs/>
        </w:rPr>
        <w:t xml:space="preserve">library_not_identified</w:t>
      </w:r>
      <w:r>
        <w:t xml:space="preserve"> — nouveau. Bibliothèque active non identifiée (1 RAISE).</w:t>
      </w:r>
    </w:p>
    <w:p>
      <w:pPr>
        <w:spacing w:after="120"/>
      </w:pPr>
      <w:r>
        <w:t xml:space="preserve">Soit 5 nouveaux codes (loan_not_found, loan_action_not_allowed, line_required, not_your_loan, library_not_identified) et la réutilisation de auth_required. Ce sont ces 5 noms qui sont soumis à validation.</w:t>
      </w:r>
    </w:p>
    <w:p>
      <w:r>
        <w:br w:type="page"/>
      </w:r>
    </w:p>
    <w:p>
      <w:pPr>
        <w:pStyle w:val="Heading1"/>
      </w:pPr>
      <w:r>
        <w:t xml:space="preserve">4. Points soumis à validation</w:t>
      </w:r>
    </w:p>
    <w:p>
      <w:pPr>
        <w:spacing w:after="120"/>
      </w:pPr>
      <w:r>
        <w:t xml:space="preserve">Avant de passer au Paquet 2 (migration), trois points méritent une décision explicite.</w:t>
      </w:r>
    </w:p>
    <w:p>
      <w:pPr>
        <w:pStyle w:val="Heading3"/>
      </w:pPr>
      <w:r>
        <w:t xml:space="preserve">4.1 Les 5 noms de codes de la famille C</w:t>
      </w:r>
    </w:p>
    <w:p>
      <w:pPr>
        <w:spacing w:after="120"/>
      </w:pPr>
      <w:r>
        <w:t xml:space="preserve">loan_not_found, loan_action_not_allowed, line_required, not_your_loan, library_not_identified. À valider, renommer ou contester. Une fois figés, ils sont stables : ils servent de contrat entre le backend et le frontend.</w:t>
      </w:r>
    </w:p>
    <w:p>
      <w:pPr>
        <w:pStyle w:val="Heading3"/>
      </w:pPr>
      <w:r>
        <w:t xml:space="preserve">4.2 Le regroupement de not_your_loan</w:t>
      </w:r>
    </w:p>
    <w:p>
      <w:pPr>
        <w:spacing w:after="120"/>
      </w:pPr>
      <w:r>
        <w:t xml:space="preserve">Trois messages portugais distincts — annuler, renouveler, planifier le retour — seraient unifiés sous not_your_loan. Avantage : une seule clé i18n, un seul message (« Cet emprunt appartient à une autre personne »). Inconvénient mineur : on perd la nuance du verbe. Alternative possible : trois codes distincts. La proposition retient l'unification, plus simple et suffisante du point de vue de la personne utilisatrice — mais le choix revient au collectif.</w:t>
      </w:r>
    </w:p>
    <w:p>
      <w:pPr>
        <w:pStyle w:val="Heading3"/>
      </w:pPr>
      <w:r>
        <w:t xml:space="preserve">4.3 La granularité de not_found (famille B, 18 occurrences)</w:t>
      </w:r>
    </w:p>
    <w:p>
      <w:pPr>
        <w:spacing w:after="120"/>
      </w:pPr>
      <w:r>
        <w:t xml:space="preserve">not_found est suivi d'une phrase qui précise l'entité (consulta, ligne, holding…). Deux options pour le frontend : un message générique unique « Élément introuvable », ou un message affiné par entité. La proposition retient le générique pour le Paquet 3, l'affinage restant possible plus tard. Ce point ne bloque pas le Paquet 2 (aucune migration sur la famille B) mais conditionne le Paquet 3.</w:t>
      </w:r>
    </w:p>
    <w:p>
      <w:r>
        <w:br w:type="page"/>
      </w:r>
    </w:p>
    <w:p>
      <w:pPr>
        <w:pStyle w:val="Heading1"/>
      </w:pPr>
      <w:r>
        <w:t xml:space="preserve">5. Séquence des paquets suivants</w:t>
      </w:r>
    </w:p>
    <w:p>
      <w:pPr>
        <w:spacing w:after="120"/>
      </w:pPr>
      <w:r>
        <w:t xml:space="preserve">Une fois ce document validé :</w:t>
      </w:r>
    </w:p>
    <w:p>
      <w:pPr>
        <w:spacing w:after="120"/>
      </w:pPr>
      <w:r>
        <w:rPr>
          <w:b/>
          <w:bCs/>
          <w:color w:val="1F6F54"/>
        </w:rPr>
        <w:t xml:space="preserve">Paquet 2 — Migration backend d'harmonisation — </w:t>
      </w:r>
      <w:r>
        <w:t xml:space="preserve">Une migration qui réécrit les 30 RAISE de la famille C pour leur substituer les 5 codes validés. Touche plusieurs fonctions api.* de la famille emprunts via CREATE OR REPLACE. Bloc DO de vérification, circuit Woodpecker habituel. La phrase portugaise actuelle peut être conservée en HINT (détail console) ou supprimée — à décider à l'ouverture du Paquet 2.</w:t>
      </w:r>
    </w:p>
    <w:p>
      <w:pPr>
        <w:spacing w:after="120"/>
      </w:pPr>
      <w:r>
        <w:rPr>
          <w:b/>
          <w:bCs/>
          <w:color w:val="1F6F54"/>
        </w:rPr>
        <w:t xml:space="preserve">Paquet 3 — Frontend : table de correspondance et routage — </w:t>
      </w:r>
      <w:r>
        <w:t xml:space="preserve">Une table code → clé i18n couvrant les familles A, B et C. Le bloc catch lit le code de l'erreur (message entier, ou préfixe avant le deux-points), le traduit, et le transmet au système de toast livré par EA-09. Le canal d'affichage propre à l'onglet Réservations (le bloc rouge actuel) est rebranché sur le toast.</w:t>
      </w:r>
    </w:p>
    <w:p>
      <w:pPr>
        <w:spacing w:after="120"/>
      </w:pPr>
      <w:r>
        <w:rPr>
          <w:b/>
          <w:bCs/>
          <w:color w:val="1F6F54"/>
        </w:rPr>
        <w:t xml:space="preserve">Paquet 4 — i18n — </w:t>
      </w:r>
      <w:r>
        <w:t xml:space="preserve">Une clé par code, sur les huit locales. Volume : famille A (21) + famille B (6) + famille C (5) + un message générique de repli, soit une trentaine de clés.</w:t>
      </w:r>
    </w:p>
    <w:p>
      <w:pPr>
        <w:spacing w:after="120"/>
      </w:pPr>
      <w:r>
        <w:rPr>
          <w:b/>
          <w:bCs/>
          <w:color w:val="1F6F54"/>
        </w:rPr>
        <w:t xml:space="preserve">Paquet 5 — Validation — </w:t>
      </w:r>
      <w:r>
        <w:t xml:space="preserve">Build, tests, vérification en production : provoquer l'erreur de la capture d'origine et constater l'affichage d'un message humain traduit.</w:t>
      </w:r>
    </w:p>
    <w:p>
      <w:pPr>
        <w:pStyle w:val="Heading3"/>
      </w:pPr>
      <w:r>
        <w:t xml:space="preserve">Filet de sécurité</w:t>
      </w:r>
    </w:p>
    <w:p>
      <w:pPr>
        <w:spacing w:after="120"/>
      </w:pPr>
      <w:r>
        <w:t xml:space="preserve">Le frontend doit prévoir un message de repli : si un code remonté n'est pas dans la table de correspondance — code oublié, ou nouveau code ajouté au backend après coup — la personne voit « Une erreur est survenue lors de cette action » plutôt qu'un libellé vide ou le code brut. Le détail technique part alors en console. Ce repli garantit qu'aucune évolution future du backend ne pourra réexposer un message illisible à l'écran.</w:t>
      </w:r>
    </w:p>
    <w:p>
      <w:pPr>
        <w:pStyle w:val="Heading3"/>
      </w:pPr>
      <w:r>
        <w:t xml:space="preserve">Apport durable</w:t>
      </w:r>
    </w:p>
    <w:p>
      <w:pPr>
        <w:spacing w:after="120"/>
      </w:pPr>
      <w:r>
        <w:t xml:space="preserve">Au-delà d'EA-05, ce catalogue des codes d'erreur de la couche api est un artefact réutilisable : référence pour l'espace lecteur, pour toute nouvelle fonction api, et candidat naturel à une section du Grand Livre Blanc. La couche api gagne une convention d'erreur explicite et documentée.</w:t>
      </w:r>
    </w:p>
    <w:sectPr>
      <w:headerReference w:type="default" r:id="rId7"/>
      <w:footerReference w:type="default" r:id="rId8"/>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docs/decisions/ — v1.0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AnarBib — EA-05 Paquet 1 — Catalogue codes d'erreur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54" w:sz="8" w:space="4"/>
      </w:pBdr>
      <w:spacing w:after="200" w:before="280"/>
      <w:outlineLvl w:val="0"/>
    </w:pPr>
    <w:rPr>
      <w:rFonts w:ascii="Arial" w:cs="Arial" w:eastAsia="Arial" w:hAnsi="Arial"/>
      <w:b/>
      <w:bCs/>
      <w:color w:val="1F6F54"/>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1F6F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EA-05 Paquet 1 — Catalogue des codes d'erreur api</dc:title>
  <dc:creator>AnarBib</dc:creator>
  <cp:lastModifiedBy>Un-named</cp:lastModifiedBy>
  <cp:revision>1</cp:revision>
  <dcterms:created xsi:type="dcterms:W3CDTF">2026-05-26T14:33:17.073Z</dcterms:created>
  <dcterms:modified xsi:type="dcterms:W3CDTF">2026-05-26T14:33:17.074Z</dcterms:modified>
</cp:coreProperties>
</file>

<file path=docProps/custom.xml><?xml version="1.0" encoding="utf-8"?>
<Properties xmlns="http://schemas.openxmlformats.org/officeDocument/2006/custom-properties" xmlns:vt="http://schemas.openxmlformats.org/officeDocument/2006/docPropsVTypes"/>
</file>