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E40AF"/>
          <w:sz w:val="28"/>
          <w:szCs w:val="28"/>
        </w:rPr>
        <w:t xml:space="preserve">AnarBib</w:t>
      </w:r>
    </w:p>
    <w:p>
      <w:pPr>
        <w:spacing w:after="60"/>
        <w:jc w:val="center"/>
      </w:pPr>
      <w:r>
        <w:rPr>
          <w:b/>
          <w:bCs/>
          <w:sz w:val="34"/>
          <w:szCs w:val="34"/>
        </w:rPr>
        <w:t xml:space="preserve">#ILL-digital — Note de cadrage</w:t>
      </w:r>
    </w:p>
    <w:p>
      <w:pPr>
        <w:spacing w:after="240"/>
        <w:jc w:val="center"/>
      </w:pPr>
      <w:r>
        <w:rPr>
          <w:color w:val="4B5563"/>
          <w:sz w:val="24"/>
          <w:szCs w:val="24"/>
        </w:rPr>
        <w:t xml:space="preserve">Partage numérique entre bibliothèques</w:t>
      </w:r>
    </w:p>
    <w:p>
      <w:pPr>
        <w:spacing w:after="240"/>
      </w:pPr>
      <w:r>
        <w:rPr>
          <w:i/>
          <w:iCs/>
          <w:color w:val="4B5563"/>
          <w:sz w:val="20"/>
          <w:szCs w:val="20"/>
        </w:rPr>
        <w:t xml:space="preserve">Document de cadrage — 25/05/2026. Sous-travail #ILL-digital du chantier PEB. Statut : à spécifier. Ce document NE contient PAS de spécification technique : il pose les questions ouvertes à trancher avant toute conception. Plusieurs de ces questions relèvent d'un choix politique du collectif, non d'une décision technique.</w:t>
      </w:r>
    </w:p>
    <w:p>
      <w:pPr>
        <w:pStyle w:val="Heading1"/>
      </w:pPr>
      <w:r>
        <w:t xml:space="preserve">1. Pourquoi ce document</w:t>
      </w:r>
    </w:p>
    <w:p>
      <w:pPr>
        <w:spacing w:after="160"/>
      </w:pPr>
      <w:r>
        <w:t xml:space="preserve">Le chantier PEB (prêt entre bibliothèques) est clos : cinq de ses six sous-travaux sont livrés et en production. Le sixième, #ILL-digital — le partage numérique de documents entre bibliothèques — a été délibérément laissé de côté, non par manque de temps mais parce que le besoin lui-même n'est pas encore spécifié.</w:t>
      </w:r>
    </w:p>
    <w:p>
      <w:pPr>
        <w:spacing w:after="160"/>
      </w:pPr>
      <w:r>
        <w:t xml:space="preserve">Ce document recense les questions à trancher. Il a vocation à être discuté — éventuellement porté aux bibliothèques utilisatrices — avant qu'une seule ligne de code ou de schéma ne soit écrite. Tant que ces questions restent ouvertes, #ILL-digital demeure au backlog au statut « à spécifier », et non « à coder ».</w:t>
      </w:r>
    </w:p>
    <w:p>
      <w:pPr>
        <w:pStyle w:val="Heading1"/>
      </w:pPr>
      <w:r>
        <w:t xml:space="preserve">2. Le besoin esquissé</w:t>
      </w:r>
    </w:p>
    <w:p>
      <w:pPr>
        <w:spacing w:after="160"/>
      </w:pPr>
      <w:r>
        <w:t xml:space="preserve">Entre deux bibliothèques éloignées, faire circuler un document épuisé, rare ou fragile passe rarement par l'envoi physique de l'objet. La voie courante est la dématérialisation : la bibliothèque qui détient le document le numérise (scan, photographie), transmet un fichier (PDF, images) à la bibliothèque demandeuse, qui le consulte à l'écran ou l'imprime localement.</w:t>
      </w:r>
    </w:p>
    <w:p>
      <w:pPr>
        <w:spacing w:after="160"/>
      </w:pPr>
      <w:r>
        <w:t xml:space="preserve">La caractéristique déterminante : il n'y a pas de retour d'objet. Le fichier est transmis, point. Ce n'est pas un prêt au sens habituel — rien ne fait l'aller-retour.</w:t>
      </w:r>
    </w:p>
    <w:p>
      <w:pPr>
        <w:pStyle w:val="Heading1"/>
      </w:pPr>
      <w:r>
        <w:t xml:space="preserve">3. Le point structurant : un circuit distinct, pas une extension du PEB</w:t>
      </w:r>
    </w:p>
    <w:p>
      <w:pPr>
        <w:spacing w:after="160"/>
      </w:pPr>
      <w:r>
        <w:t xml:space="preserve">C'est la décision de cadrage la plus importante, et elle est déjà prise : le partage numérique ne sera PAS modélisé comme un PEB d'un genre particulier. Il constituera un circuit à part entière.</w:t>
      </w:r>
    </w:p>
    <w:p>
      <w:pPr>
        <w:spacing w:after="160"/>
      </w:pPr>
      <w:r>
        <w:rPr>
          <w:b/>
          <w:bCs/>
        </w:rPr>
        <w:t xml:space="preserve">Pourquoi pas une extension du PEB. </w:t>
      </w:r>
      <w:r>
        <w:t xml:space="preserve">Toute la machinerie du PEB — les statuts (emprestado, em_devolucao, devolvido), les triggers de cycle de vie, la détection de retard, le pointage de retour exemplaire par exemplaire, l'archivage — présuppose un objet physique qui part puis revient. Le partage numérique casse ce présupposé : rien ne revient, il n'y a ni retour ni retard possible. Greffer une exception « numérique » sur cette machine à états, tout juste verrouillée par le sous-travail #ILL-lifecycle, la fragiliserait : chaque trigger, chaque calcul devrait désormais se demander s'il a affaire à un PEB ordinaire ou numérique. Le coût de maintenance et le risque de régression seraient disproportionnés.</w:t>
      </w:r>
    </w:p>
    <w:p>
      <w:pPr>
        <w:spacing w:after="160"/>
      </w:pPr>
      <w:r>
        <w:rPr>
          <w:b/>
          <w:bCs/>
        </w:rPr>
        <w:t xml:space="preserve">Un circuit distinct, plus simple. </w:t>
      </w:r>
      <w:r>
        <w:t xml:space="preserve">Modélisé à part, le partage numérique se réduit à un flux court : une demande de numérisation, une transmission, une clôture. Deux ou trois états, pas de cycle de retour. Chaque circuit reste simple et lisible séparément.</w:t>
      </w:r>
    </w:p>
    <w:p>
      <w:pPr>
        <w:spacing w:after="160"/>
      </w:pPr>
      <w:r>
        <w:rPr>
          <w:b/>
          <w:bCs/>
        </w:rPr>
        <w:t xml:space="preserve">Un circuit à cheval sur trois domaines. </w:t>
      </w:r>
      <w:r>
        <w:t xml:space="preserve">Le partage numérique ne se range pas dans un seul module de l'application. Il traverse au moins trois domaines fonctionnels : Biblioteca (la demande naît entre deux bibliothèques, comme une relation de réseau), Catalogação (le document numérisé est rattaché à une notice, à un exemplaire — quel statut documentaire pour une version numérique ?), et Importações (un fichier reçu d'une autre bibliothèque entre dans le fonds local — par quel canal, avec quelles métadonnées ?). Cette transversalité est elle-même une question de conception : le circuit devra être pensé comme un fil traversant ces trois domaines, non comme une fonctionnalité isolée. C'est aussi ce qui en fait un chantier à part entière, et non un appendice.</w:t>
      </w:r>
    </w:p>
    <w:p>
      <w:pPr>
        <w:pStyle w:val="Heading1"/>
      </w:pPr>
      <w:r>
        <w:t xml:space="preserve">4. Questions ouvertes — à trancher avant toute conception</w:t>
      </w:r>
    </w:p>
    <w:p>
      <w:pPr>
        <w:pStyle w:val="Heading2"/>
      </w:pPr>
      <w:r>
        <w:t xml:space="preserve">4.1 Périmètre et statut des documents</w:t>
      </w:r>
    </w:p>
    <w:p>
      <w:pPr>
        <w:spacing w:after="160"/>
      </w:pPr>
      <w:r>
        <w:t xml:space="preserve">Ces questions sont d'abord politiques. Elles appellent une position du collectif, pas une réponse technique.</w:t>
      </w:r>
    </w:p>
    <w:p>
      <w:pPr>
        <w:pStyle w:val="ListParagraph"/>
        <w:numPr>
          <w:ilvl w:val="0"/>
          <w:numId w:val="1"/>
        </w:numPr>
        <w:spacing w:after="120"/>
      </w:pPr>
      <w:r>
        <w:t xml:space="preserve">Que numérise-t-on et que s'autorise-t-on à diffuser ? Domaine public, ouvrages épuisés, brochures et matériel militant, fonds propre de la bibliothèque : ces catégories n'ont pas le même statut. Le circuit doit-il distinguer ?</w:t>
      </w:r>
    </w:p>
    <w:p>
      <w:pPr>
        <w:pStyle w:val="ListParagraph"/>
        <w:numPr>
          <w:ilvl w:val="0"/>
          <w:numId w:val="1"/>
        </w:numPr>
        <w:spacing w:after="120"/>
      </w:pPr>
      <w:r>
        <w:t xml:space="preserve">La bibliothèque anarchiste a vraisemblablement une position sur la libre circulation des savoirs. Cette position doit être explicitée : elle déterminera ce que le circuit autorise, refuse ou signale.</w:t>
      </w:r>
    </w:p>
    <w:p>
      <w:pPr>
        <w:pStyle w:val="ListParagraph"/>
        <w:numPr>
          <w:ilvl w:val="0"/>
          <w:numId w:val="1"/>
        </w:numPr>
        <w:spacing w:after="120"/>
      </w:pPr>
      <w:r>
        <w:t xml:space="preserve">Le partage est-il strictement de bibliothèque à bibliothèque, ou un document numérisé peut-il être mis à disposition plus largement (lecteurs et lectrices, public) ? Cela change radicalement la nature du circuit.</w:t>
      </w:r>
    </w:p>
    <w:p>
      <w:pPr>
        <w:pStyle w:val="Heading2"/>
      </w:pPr>
      <w:r>
        <w:t xml:space="preserve">4.2 Cycle de vie du fichier</w:t>
      </w:r>
    </w:p>
    <w:p>
      <w:pPr>
        <w:pStyle w:val="ListParagraph"/>
        <w:numPr>
          <w:ilvl w:val="0"/>
          <w:numId w:val="1"/>
        </w:numPr>
        <w:spacing w:after="120"/>
      </w:pPr>
      <w:r>
        <w:t xml:space="preserve">Que devient le fichier après usage ? Conservation durable par la bibliothèque demandeuse (il rejoint son fonds), ou suppression après consultation (le partage est ponctuel) ?</w:t>
      </w:r>
    </w:p>
    <w:p>
      <w:pPr>
        <w:pStyle w:val="ListParagraph"/>
        <w:numPr>
          <w:ilvl w:val="0"/>
          <w:numId w:val="1"/>
        </w:numPr>
        <w:spacing w:after="120"/>
      </w:pPr>
      <w:r>
        <w:t xml:space="preserve">Si le fichier est conservé : où ? Rattaché à une notice de catalogue comme un exemplaire numérique ? Stocké comme pièce jointe du circuit ? La réponse engage Catalogação et le stockage (Supabase Storage).</w:t>
      </w:r>
    </w:p>
    <w:p>
      <w:pPr>
        <w:pStyle w:val="ListParagraph"/>
        <w:numPr>
          <w:ilvl w:val="0"/>
          <w:numId w:val="1"/>
        </w:numPr>
        <w:spacing w:after="120"/>
      </w:pPr>
      <w:r>
        <w:t xml:space="preserve">La bibliothèque qui numérise garde-t-elle une trace du fichier transmis, ou seulement de la demande satisfaite ?</w:t>
      </w:r>
    </w:p>
    <w:p>
      <w:pPr>
        <w:pStyle w:val="Heading2"/>
      </w:pPr>
      <w:r>
        <w:t xml:space="preserve">4.3 Le flux et ses états</w:t>
      </w:r>
    </w:p>
    <w:p>
      <w:pPr>
        <w:pStyle w:val="ListParagraph"/>
        <w:numPr>
          <w:ilvl w:val="0"/>
          <w:numId w:val="1"/>
        </w:numPr>
        <w:spacing w:after="120"/>
      </w:pPr>
      <w:r>
        <w:t xml:space="preserve">Quels états pour le circuit ? Une esquisse minimale : demande émise → numérisation en cours → fichier transmis → clôturé. Faut-il un état de refus ? un état « document indisponible » ?</w:t>
      </w:r>
    </w:p>
    <w:p>
      <w:pPr>
        <w:pStyle w:val="ListParagraph"/>
        <w:numPr>
          <w:ilvl w:val="0"/>
          <w:numId w:val="1"/>
        </w:numPr>
        <w:spacing w:after="120"/>
      </w:pPr>
      <w:r>
        <w:t xml:space="preserve">Qui peut initier une demande de numérisation : le staff seulement, ou aussi un lecteur ou une lectrice via une bibliothèque ?</w:t>
      </w:r>
    </w:p>
    <w:p>
      <w:pPr>
        <w:pStyle w:val="ListParagraph"/>
        <w:numPr>
          <w:ilvl w:val="0"/>
          <w:numId w:val="1"/>
        </w:numPr>
        <w:spacing w:after="120"/>
      </w:pPr>
      <w:r>
        <w:t xml:space="preserve">La transmission du fichier passe-t-elle par l'application (upload / download via Supabase Storage) ou hors application (la demande est tracée, mais l'échange du fichier se fait par un autre canal) ? Le premier choix est plus intégré mais soulève les questions de stockage, de taille, de tracking — ce dernier point étant sensible vu la doctrine du projet (cf. migration Resend, choix anti-tracking).</w:t>
      </w:r>
    </w:p>
    <w:p>
      <w:pPr>
        <w:pStyle w:val="Heading2"/>
      </w:pPr>
      <w:r>
        <w:t xml:space="preserve">4.4 Articulation avec l'existant</w:t>
      </w:r>
    </w:p>
    <w:p>
      <w:pPr>
        <w:pStyle w:val="ListParagraph"/>
        <w:numPr>
          <w:ilvl w:val="0"/>
          <w:numId w:val="1"/>
        </w:numPr>
        <w:spacing w:after="120"/>
      </w:pPr>
      <w:r>
        <w:t xml:space="preserve">Le circuit numérique réutilise-t-il la notion de partenaires de correspondance (chantier #PARTNERS) pour savoir entre quelles bibliothèques le partage est ouvert ?</w:t>
      </w:r>
    </w:p>
    <w:p>
      <w:pPr>
        <w:pStyle w:val="ListParagraph"/>
        <w:numPr>
          <w:ilvl w:val="0"/>
          <w:numId w:val="1"/>
        </w:numPr>
        <w:spacing w:after="120"/>
      </w:pPr>
      <w:r>
        <w:t xml:space="preserve">Un document déjà présent au catalogue sous forme physique peut-il recevoir une version numérique « de partage » ? Quelle granularité côté Catalogação : nouvel exemplaire, nouvelle nature d'exemplaire, champ dédié ?</w:t>
      </w:r>
    </w:p>
    <w:p>
      <w:pPr>
        <w:pStyle w:val="ListParagraph"/>
        <w:numPr>
          <w:ilvl w:val="0"/>
          <w:numId w:val="1"/>
        </w:numPr>
        <w:spacing w:after="120"/>
      </w:pPr>
      <w:r>
        <w:t xml:space="preserve">Le circuit numérique doit-il apparaître dans les comptes-rendus hebdomadaires, au même titre que la section PEB ajoutée par #ILL-reports ?</w:t>
      </w:r>
    </w:p>
    <w:p>
      <w:pPr>
        <w:pStyle w:val="Heading1"/>
      </w:pPr>
      <w:r>
        <w:t xml:space="preserve">5. Prochaine étape</w:t>
      </w:r>
    </w:p>
    <w:p>
      <w:pPr>
        <w:spacing w:after="160"/>
      </w:pPr>
      <w:r>
        <w:t xml:space="preserve">Ce document n'appelle pas une réponse immédiate. La prochaine étape n'est pas une migration ni un composant : c'est une discussion. Les questions de la section 4.1 en particulier devraient être portées aux bibliothèques utilisatrices, car elles engagent un positionnement politique que l'équipe de développement ne peut pas trancher seule.</w:t>
      </w:r>
    </w:p>
    <w:p>
      <w:pPr>
        <w:spacing w:after="160"/>
      </w:pPr>
      <w:r>
        <w:t xml:space="preserve">Une fois ces questions arbitrées, une spécification technique pourra être rédigée — vraisemblablement un document spec-flux-partage-numerique.md dans docs/specs/ — et le sous-travail #ILL-digital passera alors du statut « à spécifier » au statut « à coder ». D'ici là, il reste inscrit au backlog pour mémoire, sans échéance.</w:t>
      </w:r>
    </w:p>
    <w:p>
      <w:pPr>
        <w:spacing w:after="240"/>
      </w:pPr>
      <w:r>
        <w:rPr>
          <w:i/>
          <w:iCs/>
          <w:color w:val="4B5563"/>
          <w:sz w:val="20"/>
          <w:szCs w:val="20"/>
        </w:rPr>
        <w:t xml:space="preserve">Fin du document de cadrage #ILL-digital. À classer dans docs/decisions/.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40A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4B556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2026-05-25T11:52:49.559Z</dcterms:created>
  <dcterms:modified xsi:type="dcterms:W3CDTF">2026-05-25T11:52:49.559Z</dcterms:modified>
</cp:coreProperties>
</file>

<file path=docProps/custom.xml><?xml version="1.0" encoding="utf-8"?>
<Properties xmlns="http://schemas.openxmlformats.org/officeDocument/2006/custom-properties" xmlns:vt="http://schemas.openxmlformats.org/officeDocument/2006/docPropsVTypes"/>
</file>