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595959"/>
          <w:sz w:val="22"/>
          <w:szCs w:val="22"/>
        </w:rPr>
        <w:t xml:space="preserve">AnarBib — Dossier d’ouverture de chantier</w:t>
      </w:r>
    </w:p>
    <w:p>
      <w:pPr>
        <w:spacing w:after="60"/>
      </w:pPr>
      <w:r>
        <w:rPr>
          <w:b/>
          <w:bCs/>
          <w:sz w:val="44"/>
          <w:szCs w:val="44"/>
        </w:rPr>
        <w:t xml:space="preserve">Extension mobile / Mode terrain</w:t>
      </w:r>
    </w:p>
    <w:p>
      <w:pPr>
        <w:spacing w:after="240"/>
      </w:pPr>
      <w:r>
        <w:rPr>
          <w:i/>
          <w:iCs/>
          <w:color w:val="2E75B6"/>
          <w:sz w:val="26"/>
          <w:szCs w:val="26"/>
        </w:rPr>
        <w:t xml:space="preserve">Scanner de catalogage · Carte-lecteur détachable · PWA mono-codebase</w:t>
      </w:r>
    </w:p>
    <w:p>
      <w:pPr>
        <w:pBdr>
          <w:bottom w:val="single" w:color="2E75B6" w:sz="6" w:space="1"/>
        </w:pBd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CHANTIER_extension_mobile_mode_terrain_2026-05-26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v0.1 — dossier d’ouverture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 mai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Emplacement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docs/decisions/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Ouvert — cadrage. Quatre arbitrages en attente (§ 7).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Origine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Demande du camarade de la BTL (lecteur code-barres mobile). Sous-point carte-lecteur soulevé en séance.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Articulation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Consécutif au chantier-cadre Biblioteca ; croisé avec Catalogção ; étape revendiquée pour Bologne FICEDL (septembre 2026).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Contexte et raison d’être</w:t>
      </w:r>
    </w:p>
    <w:p>
      <w:pPr>
        <w:spacing w:after="120" w:before="0" w:line="276"/>
      </w:pPr>
      <w:r>
        <w:t xml:space="preserve">Ce chantier naît d’une demande concrète : </w:t>
      </w:r>
      <w:r>
        <w:rPr>
          <w:b/>
          <w:bCs/>
        </w:rPr>
        <w:t xml:space="preserve">doter AnarBib d’une capacité de lecture de codes-barres sur téléphone</w:t>
      </w:r>
      <w:r>
        <w:t xml:space="preserve">, le capteur du téléphone transmettant les métadonnées lues à la page de catalogage. La discussion a dégagé un principe directeur plus large et un sous-point jamais formalisé jusqu’ici — la carte-lecteur.</w:t>
      </w:r>
    </w:p>
    <w:p>
      <w:pPr>
        <w:pStyle w:val="Heading2"/>
      </w:pPr>
      <w:r>
        <w:t xml:space="preserve">1.1 Le principe directeur : le mobile comme extension, pas comme miroir</w:t>
      </w:r>
    </w:p>
    <w:p>
      <w:pPr>
        <w:spacing w:after="120" w:before="0" w:line="276"/>
      </w:pPr>
      <w:r>
        <w:t xml:space="preserve">Porter sur mobile le panneau coordination/réseau complet — catalogage intégral, workflow consultas, administration réseau — serait une erreur d’expérience utilisateur. Ce sont des écrans denses, multi-colonnes, conçus pour un grand viewport et un clavier. La posture retenue est inverse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Le mobile n’est pas une version dégradée du desktop.</w:t>
      </w:r>
      <w:r>
        <w:t xml:space="preserve"> Il porte des tâches qui lui sont propres — des tâches de terrain, debout, en mouvement, sur un coin de table de permanence.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Aucune fonction staff complexe n’est portée.</w:t>
      </w:r>
      <w:r>
        <w:t xml:space="preserve"> Catalogage complet, admin réseau et workflow consultas restent desktop.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Une seule codebase.</w:t>
      </w:r>
      <w:r>
        <w:t xml:space="preserve"> Le mobile est une PWA responsive dans le repo unique anarbib-app, avec des vues dédiées qui réutilisent composants et i18n six langues. Le mobile n’est pas un second front à maintenir.</w:t>
      </w:r>
    </w:p>
    <w:p>
      <w:pPr>
        <w:pStyle w:val="Heading2"/>
      </w:pPr>
      <w:r>
        <w:t xml:space="preserve">1.2 Connexion simultanée multi-appareils — acquis technique</w:t>
      </w:r>
    </w:p>
    <w:p>
      <w:pPr>
        <w:spacing w:after="120" w:before="0" w:line="276"/>
      </w:pPr>
      <w:r>
        <w:t xml:space="preserve">Question posée en séance : un même compte peut-il être connecté sur deux appareils à la fois ? </w:t>
      </w:r>
      <w:r>
        <w:rPr>
          <w:b/>
          <w:bCs/>
        </w:rPr>
        <w:t xml:space="preserve">Oui, par défaut.</w:t>
      </w:r>
      <w:r>
        <w:t xml:space="preserve"> Supabase Auth (GoTrue) n’impose pas de session unique : chaque appareil obtient sa propre paire access_token / refresh_token, indépendante. Un même compte — lecteur, bibliothécaire, coordenador, administrateur réseau — peut donc être connecté simultanément sur un poste Windows/Linux/macOS et sur un Android. Les politiques RLS s’appliquent identiquement : le rôle vient du JWT, pas de l’appareil. Aucune limite de sessions concurrentes côté Supabase tant qu’aucune stratégie de révocation n’est activée.</w:t>
      </w:r>
    </w:p>
    <w:p>
      <w:pPr>
        <w:spacing w:after="120" w:before="0" w:line="276"/>
      </w:pPr>
      <w:r>
        <w:t xml:space="preserve">Conséquence : tout scénario « desktop ⇄ mobile » ne requiert pas d’appairage spécial. Les deux appareils sont déjà deux clients légitimes du même backend.</w:t>
      </w:r>
    </w:p>
    <w:p>
      <w:pPr>
        <w:pStyle w:val="Heading1"/>
      </w:pPr>
      <w:r>
        <w:t xml:space="preserve">2. Décision actée : scanner de catalogage — Option B</w:t>
      </w:r>
    </w:p>
    <w:p>
      <w:pPr>
        <w:spacing w:after="120" w:before="0" w:line="276"/>
      </w:pPr>
      <w:r>
        <w:t xml:space="preserve">Deux architectures avaient été envisagées pour le scanner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80"/>
        <w:gridCol w:w="2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 — Relais temps réel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mobile pousse le scan dans une table tampon ; le desktop, abonné en Supabase Realtime, le voit apparaître et résout les métadonnées.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Écartée pour l’instant. </w:t>
            </w:r>
            <w:r>
              <w:rPr>
                <w:sz w:val="20"/>
                <w:szCs w:val="20"/>
              </w:rPr>
              <w:t xml:space="preserve">Raffinement optionnel ultérieur si un besoin réel de co-saisie synchrone émerge.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 — Poste de saisie autonome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mobile est un mini-poste : scan → résolution ISBN → fiche minimale pré-remplie → file d’attente « à compléter sur desktop ». Aucun couplage temps réel, aucune session desktop ouverte requise.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RETENUE.</w:t>
            </w:r>
            <w:r>
              <w:rPr>
                <w:sz w:val="20"/>
                <w:szCs w:val="20"/>
              </w:rPr>
              <w:t xml:space="preserve"> Colle au public non-spécialiste et à la discipline de clôture itérative : le chantier se livre seul.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</w:rPr>
        <w:t xml:space="preserve">Note technique — accès caméra. </w:t>
      </w:r>
      <w:r>
        <w:t xml:space="preserve">La lecture caméra en navigateur mobile passe par getUserMedia + une bibliothèque de décodage (type ZXing) ou l’API native BarcodeDetector (support inégal selon Android/navigateur). Une PWA installable rend l’accès caméra et l’ergonomie nettement meilleurs qu’un simple onglet — et reste cohérente avec le refus du tracking : pas de store, pas d’app native propriétaire.</w:t>
      </w:r>
    </w:p>
    <w:p>
      <w:pPr>
        <w:pStyle w:val="Heading1"/>
      </w:pPr>
      <w:r>
        <w:t xml:space="preserve">3. Le sous-point carte-lecteur</w:t>
      </w:r>
    </w:p>
    <w:p>
      <w:pPr>
        <w:spacing w:after="120" w:before="0" w:line="276"/>
      </w:pPr>
      <w:r>
        <w:t xml:space="preserve">La carte-lecteur est un objet qui « va de soi » dans une bibliothèque et qu’aucun écran n’avait jusqu’ici réclamé. Le scénario de scan la fait remonter. Sa conception a traversé trois états de réflexion successifs, dont la trace est conservée ici parce qu’elle constitue le raisonnement de sécurité du chantier.</w:t>
      </w:r>
    </w:p>
    <w:p>
      <w:pPr>
        <w:pStyle w:val="Heading2"/>
      </w:pPr>
      <w:r>
        <w:t xml:space="preserve">3.1 Question doctrinale préalable</w:t>
      </w:r>
    </w:p>
    <w:p>
      <w:pPr>
        <w:spacing w:after="120" w:before="0" w:line="276"/>
      </w:pPr>
      <w:r>
        <w:t xml:space="preserve">Une bibliothèque militante anarchiste veut-elle « ficher » ses lecteur·ices avec une carte ? La réponse n’est pas évidente et ne se tranche pas </w:t>
      </w:r>
      <w:r>
        <w:rPr>
          <w:i/>
          <w:iCs/>
        </w:rPr>
        <w:t xml:space="preserve">pour</w:t>
      </w:r>
      <w:r>
        <w:t xml:space="preserve"> les bibliothèques. La carte-lecteur est donc une </w:t>
      </w:r>
      <w:r>
        <w:rPr>
          <w:b/>
          <w:bCs/>
        </w:rPr>
        <w:t xml:space="preserve">capacité activable par bibliothèque</w:t>
      </w:r>
      <w:r>
        <w:t xml:space="preserve">, sur le modèle de circulation_mode : une simple case à cocher dans l’onglet profil côté Biblioteca. Une bibliothèque qui n’en veut pas fonctionne à l’identification nominale en permanence.</w:t>
      </w:r>
    </w:p>
    <w:p>
      <w:pPr>
        <w:pStyle w:val="Heading2"/>
      </w:pPr>
      <w:r>
        <w:t xml:space="preserve">3.2 État 1 — « projection sans état » (abandonné)</w:t>
      </w:r>
    </w:p>
    <w:p>
      <w:pPr>
        <w:spacing w:after="120" w:before="0" w:line="276"/>
      </w:pPr>
      <w:r>
        <w:t xml:space="preserve">Première intuition : la carte n’est pas une entité nouvelle mais une projection de l’appartenance lecteur existante (user_library_memberships, role='reader'). Pas de table « cartes », pas de CRUD, pas d’onglet d’édition côté Painel : la carte se génère à la volée. Cette intuition a été affinée puis corrigée (§ 3.3 et § 3.4) mais elle laisse un acquis ferme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Aucun onglet d’édition de cartes côté Painel.</w:t>
      </w:r>
      <w:r>
        <w:t xml:space="preserve"> La carte ne contient ni nom choisi, ni numéro composé, ni date — il n’y a donc rien à éditer. Cet acquis tient pour la version finale.</w:t>
      </w:r>
    </w:p>
    <w:p>
      <w:pPr>
        <w:pStyle w:val="Heading2"/>
      </w:pPr>
      <w:r>
        <w:t xml:space="preserve">3.3 État 2 — la carte sobre : logo/slug + code</w:t>
      </w:r>
    </w:p>
    <w:p>
      <w:pPr>
        <w:spacing w:after="120" w:before="0" w:line="276"/>
      </w:pPr>
      <w:r>
        <w:t xml:space="preserve">Affinement : la carte ne porte rien d’humainement lisible. Ni nom, ni identifiant en clair — seulement le </w:t>
      </w:r>
      <w:r>
        <w:rPr>
          <w:b/>
          <w:bCs/>
        </w:rPr>
        <w:t xml:space="preserve">logo ou le slug de la bibliothèque</w:t>
      </w:r>
      <w:r>
        <w:t xml:space="preserve"> et un QR / code-barres. Quiconque trouve la carte au sol ne sait ni à qui elle appartient ni ce qu’elle « vaut ». La carte cesse d’être un document d’identité pour redevenir un simple jeton.</w:t>
      </w:r>
    </w:p>
    <w:p>
      <w:pPr>
        <w:spacing w:after="120" w:before="0" w:line="276"/>
      </w:pPr>
      <w:r>
        <w:t xml:space="preserve">Précision importante : le code scanné doit bien résoudre vers </w:t>
      </w:r>
      <w:r>
        <w:rPr>
          <w:i/>
          <w:iCs/>
        </w:rPr>
        <w:t xml:space="preserve">quelque chose</w:t>
      </w:r>
      <w:r>
        <w:t xml:space="preserve"> en base. Un identifiant existe donc forcément ; il vit </w:t>
      </w:r>
      <w:r>
        <w:rPr>
          <w:i/>
          <w:iCs/>
        </w:rPr>
        <w:t xml:space="preserve">dans</w:t>
      </w:r>
      <w:r>
        <w:t xml:space="preserve"> le QR, pas à côté. Il doit être opaque, aléatoire, non séquentiel — jamais un entier incrémental, qui classerait les gens et révélerait l’ancienneté.</w:t>
      </w:r>
    </w:p>
    <w:p>
      <w:pPr>
        <w:pStyle w:val="Heading2"/>
      </w:pPr>
      <w:r>
        <w:t xml:space="preserve">3.4 État 3 — RECADRAGE DE SÉCURITÉ : la carte doit être détachable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La faille que les états 1 et 2 masquaient</w:t>
            </w:r>
          </w:p>
          <w:p>
            <w:pPr>
              <w:spacing w:after="100" w:line="276"/>
            </w:pPr>
            <w:r>
              <w:rPr>
                <w:sz w:val="21"/>
                <w:szCs w:val="21"/>
              </w:rPr>
              <w:t xml:space="preserve">Si « ma carte » est un écran à l’intérieur de l’app, derrière la session authentifiée du lecteur, alors la carte n’est pas un objet — c’est une vue de l’app. Présenter sa carte à la table d’accueil revient à tendre un téléphone déverrouillé, session ouverte. Un retour arrière depuis cet écran et l’on remonte à tout le compte lecteur.</w:t>
            </w:r>
          </w:p>
          <w:p>
            <w:pPr>
              <w:spacing w:after="0" w:line="276"/>
            </w:pPr>
            <w:r>
              <w:rPr>
                <w:sz w:val="21"/>
                <w:szCs w:val="21"/>
              </w:rPr>
              <w:t xml:space="preserve">Modèle de menace réel : un téléphone saisi en manifestation, une fouille, une interpellation. Ce n’est alors plus « montrer une carte », c’est donner l’accès à tout l’historique de lecture militante — emprunts, consultas, appartenances à des bibliothèques anarchistes. Une carte qui est une porte vers le compte trahit le projet.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t xml:space="preserve">La carte doit donc être un </w:t>
      </w:r>
      <w:r>
        <w:rPr>
          <w:b/>
          <w:bCs/>
        </w:rPr>
        <w:t xml:space="preserve">artefact détachable</w:t>
      </w:r>
      <w:r>
        <w:t xml:space="preserve"> : produit par l’app, mais qui quitte l’app. Affichable et scannable sans session, sans même qu’AnarBib soit ouverte. Le bon mot n’est pas « écran » mais </w:t>
      </w:r>
      <w:r>
        <w:rPr>
          <w:i/>
          <w:iCs/>
        </w:rPr>
        <w:t xml:space="preserve">laissez-passer</w:t>
      </w:r>
      <w:r>
        <w:t xml:space="preserve"> — un objet qu’on génère, qu’on emporte, et qui ne ramène à rien si on le retourne.</w:t>
      </w:r>
    </w:p>
    <w:p>
      <w:pPr>
        <w:pStyle w:val="Heading2"/>
      </w:pPr>
      <w:r>
        <w:t xml:space="preserve">3.5 Les trois propriétés de la carte-lecteur AnarBib</w:t>
      </w:r>
    </w:p>
    <w:p>
      <w:pPr>
        <w:spacing w:after="120" w:before="0" w:line="276"/>
      </w:pPr>
      <w:r>
        <w:t xml:space="preserve">Le principe à inscrire au Grand Livre Blanc n’est plus « projection sans état ». C’est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Propriété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Définition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Menace couverte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Détachable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carte est un fichier (PNG / SVG / PDF) exporté hors de l’app : galerie, impression, favori. À la permanence, le lecteur ouvre sa galerie, pas AnarBib.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Retour arrière depuis la carte ⇒ on tombe sur la galerie photo, jamais sur le compte. L’objet est inerte une fois détaché.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Révocable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jeton porte un statut minimal (actif / révoqué). Une action « régénérer ma carte » invalide l’ancien jeton et en émet un neuf. Côté reader, jamais côté Painel.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fichier qui vit hors de l’app peut être perdu, photographié, saisi. Le lecteur doit pouvoir déclarer « cette carte ne vaut plus rien ».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Inerte hors scan staff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QR encode un jeton de présentation opaque : un pointeur, pas une clé. Il résout vers l’appartenance uniquement via une RPC réservée au staff authentifié de la bonne bibliothèque.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carte trouvée ou scannée hors contexte ne prouve rien et ne permet pas de se faire passer pour le lecteur. Le jeton n’est qu’un index.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DOCTRINE — </w:t>
            </w:r>
            <w:r>
              <w:rPr>
                <w:sz w:val="22"/>
                <w:szCs w:val="22"/>
              </w:rPr>
              <w:t xml:space="preserve">La carte-lecteur AnarBib est un laissez-passer détachable, révocable et inerte hors contexte de scan staff. Elle n’est ni un document d’identité, ni un écran de l’app, ni un objet géré côté Painel.</w:t>
            </w:r>
          </w:p>
        </w:tc>
      </w:tr>
    </w:tbl>
    <w:p>
      <w:pPr>
        <w:pStyle w:val="Heading2"/>
      </w:pPr>
      <w:r>
        <w:t xml:space="preserve">3.6 Risque résiduel — énoncé honnête</w:t>
      </w:r>
    </w:p>
    <w:p>
      <w:pPr>
        <w:spacing w:after="120" w:before="0" w:line="276"/>
      </w:pPr>
      <w:r>
        <w:t xml:space="preserve">Un fichier-image dans une galerie est détachable, mais il reste sur le téléphone. Si le modèle de menace est la saisie de l’appareil, le QR dans la galerie est trouvable. Il </w:t>
      </w:r>
      <w:r>
        <w:rPr>
          <w:b/>
          <w:bCs/>
        </w:rPr>
        <w:t xml:space="preserve">ne donne pas accès au compte</w:t>
      </w:r>
      <w:r>
        <w:t xml:space="preserve"> — c’est l’essentiel — mais il révèle l’appartenance à </w:t>
      </w:r>
      <w:r>
        <w:rPr>
          <w:i/>
          <w:iCs/>
        </w:rPr>
        <w:t xml:space="preserve">cette</w:t>
      </w:r>
      <w:r>
        <w:t xml:space="preserve"> bibliothèque (logo, slug). Pour la plupart des collectifs ce sera acceptable ; pour les plus exposés, peut-être pas.</w:t>
      </w:r>
    </w:p>
    <w:p>
      <w:pPr>
        <w:spacing w:after="120" w:before="0" w:line="276"/>
      </w:pPr>
      <w:r>
        <w:t xml:space="preserve">Conséquence : la </w:t>
      </w:r>
      <w:r>
        <w:rPr>
          <w:i/>
          <w:iCs/>
        </w:rPr>
        <w:t xml:space="preserve">génération</w:t>
      </w:r>
      <w:r>
        <w:t xml:space="preserve"> même de la carte reste un choix du lecteur. Un lecteur très exposé peut décider de ne jamais en générer et de fonctionner à l’identification nominale. La sécurité parfaite n’existe pas ; la transparence sur ce qu’on protège et ce qu’on ne protège pas, oui — et c’est cohérent avec la posture revendiquée pour Bologne.</w:t>
      </w:r>
    </w:p>
    <w:p>
      <w:r>
        <w:br w:type="page"/>
      </w:r>
    </w:p>
    <w:p>
      <w:pPr>
        <w:pStyle w:val="Heading1"/>
      </w:pPr>
      <w:r>
        <w:t xml:space="preserve">4. Périmètre fonctionnel — paquets</w:t>
      </w:r>
    </w:p>
    <w:p>
      <w:pPr>
        <w:spacing w:after="120" w:before="0" w:line="276"/>
      </w:pPr>
      <w:r>
        <w:t xml:space="preserve">Le chantier est découpé en paquets numérotés, volontairement modulaires pour pouvoir être séquencés sans être coincés dans Catalogção (voir § 6).</w:t>
      </w:r>
    </w:p>
    <w:p>
      <w:pPr>
        <w:pStyle w:val="Heading2"/>
      </w:pPr>
      <w:r>
        <w:t xml:space="preserve">Paquet 0 — Socle PWA &amp; shell mobile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Manifest, service worker, installabilité, détection de viewport.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Routes mobiles distinctes (/scan, /recolement, /permanence, « ma carte 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Vérification que l’i18n six langues suit sur les vues mobiles.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</w:rPr>
        <w:t xml:space="preserve">Rien d’utilisateur visible en propre, mais </w:t>
      </w:r>
      <w:r>
        <w:rPr>
          <w:b/>
          <w:bCs/>
          <w:i/>
          <w:iCs/>
        </w:rPr>
        <w:t xml:space="preserve">tout le reste en dépend.</w:t>
      </w:r>
    </w:p>
    <w:p>
      <w:pPr>
        <w:pStyle w:val="Heading2"/>
      </w:pPr>
      <w:r>
        <w:t xml:space="preserve">Paquet 1 — Carte-lecteur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Côté Biblioteca : </w:t>
      </w:r>
      <w:r>
        <w:t xml:space="preserve">une case à cocher dans l’onglet profil — capacité reader_cards_enabled (nom de travail).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Côté backend : </w:t>
      </w:r>
      <w:r>
        <w:t xml:space="preserve">un jeton de carte opaque et révocable ratté à l’appartenance ; une RPC « générer / régénérer ma carte » (rôle reader) ; une RPC « résoudre un jeton scanné » réservée au staff authentifié de la bonne bibliothèque, soumise RLS.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Côté reader : </w:t>
      </w:r>
      <w:r>
        <w:t xml:space="preserve">une action « générer ma carte » produisant un fichier exportable (image ou PDF), pas un écran à présenter ; une action « régénérer » qui invalide la précédente.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Livrable seul, </w:t>
      </w:r>
      <w:r>
        <w:t xml:space="preserve">avec de la valeur indépendamment du scanner.</w:t>
      </w:r>
    </w:p>
    <w:p>
      <w:pPr>
        <w:pStyle w:val="Heading2"/>
      </w:pPr>
      <w:r>
        <w:t xml:space="preserve">Paquet 2 — Scanner de catalogage (Option 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Accès caméra (PWA + bibliothèque de décodage code-barres).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Résolution ISBN, fiche minimale pré-remplie, file « à compléter sur desktop 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</w:rPr>
        <w:t xml:space="preserve">Dépend du Paquet 0. Croise Catalogção </w:t>
      </w:r>
      <w:r>
        <w:rPr>
          <w:i/>
          <w:iCs/>
        </w:rPr>
        <w:t xml:space="preserve">— à caler après ou en articulation avec lui, pour ne pas cataloguer dans le vide.</w:t>
      </w:r>
    </w:p>
    <w:p>
      <w:pPr>
        <w:pStyle w:val="Heading2"/>
      </w:pPr>
      <w:r>
        <w:t xml:space="preserve">Paquet 3 — Permanence mobile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Prêt / retour express par scan : carte-lecteur + livre, validation.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Dépend du Paquet 1 ET du Paquet 2.</w:t>
      </w:r>
      <w:r>
        <w:t xml:space="preserve"> Vient donc après les deux.</w:t>
      </w:r>
    </w:p>
    <w:p>
      <w:pPr>
        <w:pStyle w:val="Heading2"/>
      </w:pPr>
      <w:r>
        <w:t xml:space="preserve">Paquet 4 — Récolement / inventaire physique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Inventaire scan-en-rayon : l’app coche les exemplaires vus, signale les manquants.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Dépend du Paquet 2 seul.</w:t>
      </w:r>
      <w:r>
        <w:t xml:space="preserve"> Indépendant de la carte-lecteur.</w:t>
      </w:r>
    </w:p>
    <w:p>
      <w:pPr>
        <w:pStyle w:val="Heading2"/>
      </w:pPr>
      <w:r>
        <w:t xml:space="preserve">Paquet 5 (optionnel / horizon) — Notifications push PWA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Une PWA peut recevoir des push. Se branche sur l’EF notify-event existante.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Exemple d’usage : un coordenador prévenu qu’un vote de cooptation a démarré, sans avoir besoin du panneau réseau sur mobile.</w:t>
      </w:r>
    </w:p>
    <w:p>
      <w:pPr>
        <w:pStyle w:val="Heading1"/>
      </w:pPr>
      <w:r>
        <w:t xml:space="preserve">5. Dépendances entre paquets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Paquet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Dépend 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Peut être livré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 — Socle PWA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 (rien)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tête. Prérequis de tout le reste.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 — Carte-lecteur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Paquet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Tôt. Ne dépend de rien d’autre. Parallèle au Paquet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 — Scanner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Paquet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articulation avec Catalogção. Parallèle au Paquet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 — Permanence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Paquets 1 ET 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Après carte-lecteur et scanner.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 — Récolement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Paquet 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Après le scanner. Indépendant de la carte.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 — Push PWA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Paquet 0 + notify-event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Horizon. Optionnel.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b/>
          <w:bCs/>
        </w:rPr>
        <w:t xml:space="preserve">En clair : </w:t>
      </w:r>
      <w:r>
        <w:t xml:space="preserve">Socle PWA → tout le reste. Carte-lecteur et scanner sont parallèles. Permanence a besoin des deux. Récolement n’a besoin que du scanner.</w:t>
      </w:r>
    </w:p>
    <w:p>
      <w:r>
        <w:br w:type="page"/>
      </w:r>
    </w:p>
    <w:p>
      <w:pPr>
        <w:pStyle w:val="Heading1"/>
      </w:pPr>
      <w:r>
        <w:t xml:space="preserve">6. Articulation avec la feuille de route</w:t>
      </w:r>
    </w:p>
    <w:p>
      <w:pPr>
        <w:spacing w:after="120" w:before="0" w:line="276"/>
      </w:pPr>
      <w:r>
        <w:t xml:space="preserve">Le scanner de catalogage (Paquet 2) a une dépendance logique forte avec le chantier Catalogção. Deux lectures de séquençage sont possibles — c’est l’arbitrage A.1 du § 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Tout après Catalogção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chantier mobile entier vient après Catalogção. Propre, séquentiel, fidèle à la discipline de clôture itérative.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Détachement socle + carte en avance de phase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Paquets 0 et 1 — qui ne dépendent de rien — sont livrés plus tôt ; scanner / permanence / récolement restent collés à Catalogção. Donne du concret « mobile » montrable à Bologne sans casser la séquence.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Trois points à régler avant ouverture opérationnelle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Ordre dans la feuille de route. </w:t>
      </w:r>
      <w:r>
        <w:t xml:space="preserve">Voir arbitrage A.1.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Décision doctrinale carte-lecteur. </w:t>
      </w:r>
      <w:r>
        <w:t xml:space="preserve">Capacité activable + laissez-passer détachable/révocable/inerte. À acter au GLB v15 ou en décision dédiée, sur le modèle de la doctrine RPC v3.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PWA et refus du tracking. </w:t>
      </w:r>
      <w:r>
        <w:t xml:space="preserve">Une PWA n’introduit aucun tracker — plus sobre même qu’une app native. Mais le service worker et la stratégie de cache méritent une ligne explicite dans la doctrine pour lever toute ambigüité ultérieure.</w:t>
      </w:r>
    </w:p>
    <w:p>
      <w:pPr>
        <w:pStyle w:val="Heading1"/>
      </w:pPr>
      <w:r>
        <w:t xml:space="preserve">7. Arbitrages ouverts</w:t>
      </w:r>
    </w:p>
    <w:p>
      <w:pPr>
        <w:spacing w:after="120" w:before="0" w:line="276"/>
      </w:pPr>
      <w:r>
        <w:t xml:space="preserve">Quatre décisions restent à trancher avant l’ouverture opérationnelle. Elles sont listées ici explicitement ; aucune n’est pré-tranchée dans ce dossier.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Réf.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Termes de l’arbitrage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Séquence vis-à-vis de Catalogção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Tout le chantier après Catalogção, OU détachement des Paquets 0 et 1 en avance de phase pour Bologne. Voir § 6.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Portée du jeton de carte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jeton par appartenance (un lecteur dans trois bibliothèques a trois cartes) OU un jeton par personne. La doctrine « la page = périmètre, pas de transverse » et le fait que la carte porte le logo d’une bibliothèque penchent vers le jeton par appartenance — à confirmer, non acquis.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Stockage du jeton et de son statut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colonne jeton + une colonne statut sur l’appartenance, OU une mini-table dédiée conservant l’historique des révocations. Arbitrage entre simplicité et traçabilité.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Risque résiduel carte-fichier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Acter et documenter explicitement que la carte-fichier sur téléphone saisi réduit fortement le risque sans l’annuler (révèle l’appartenance à la bibliothèque). Décision : conserver la génération comme choix du lecteur. Voir § 3.6.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7.1 Décisions doctrinales à acter (GLB v15 ou décision dédiée)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Décision doctrinale 1 — </w:t>
      </w:r>
      <w:r>
        <w:t xml:space="preserve">La carte-lecteur est une capacité activable par bibliothèque (modèle circulation_mode).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Décision doctrinale 2 — </w:t>
      </w:r>
      <w:r>
        <w:t xml:space="preserve">La carte-lecteur est un laissez-passer détachable, révocable et inerte hors scan staff ; jamais un écran de l’app, jamais un objet géré côté Painel.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Décision doctrinale 3 — </w:t>
      </w:r>
      <w:r>
        <w:t xml:space="preserve">Le mobile AnarBib est une PWA mono-codebase ; il porte des tâches de terrain propres et ne réplique aucune fonction staff complexe. Service worker et cache : sans tracker, à documenter.</w:t>
      </w:r>
    </w:p>
    <w:p>
      <w:pPr>
        <w:pStyle w:val="Heading1"/>
      </w:pPr>
      <w:r>
        <w:t xml:space="preserve">8. Principes de sécurité retenus</w:t>
      </w:r>
    </w:p>
    <w:p>
      <w:pPr>
        <w:spacing w:after="120" w:before="0" w:line="276"/>
      </w:pPr>
      <w:r>
        <w:t xml:space="preserve">Synthèse des principes de sécurité dégagés par la réflexion, à garder en vue pour toute l’implémentation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 identifiant qui circule sur du papier ne doit jamais être une clé. </w:t>
      </w:r>
      <w:r>
        <w:t xml:space="preserve">Le QR encode un pointeur opaque, pas une identité ni un secret de session. Le user_id brut (UUID Supabase) ne circule jamais sur un support physique.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La résolution d’un jeton scanné se fait en contexte contrôlé. </w:t>
      </w:r>
      <w:r>
        <w:t xml:space="preserve">RPC dédiée, staff authentifié, RLS de la bonne bibliothèque. Le jeton seul ne prouve rien.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Tout artefact destiné à quitter l’app doit être inerte hors de l’app. </w:t>
      </w:r>
      <w:r>
        <w:t xml:space="preserve">Pas de navigation, pas de retour arrière vers le compte : un fichier, pas une route.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Tout artefact détachable doit être révocable. </w:t>
      </w:r>
      <w:r>
        <w:t xml:space="preserve">Ce qui peut être perdu ou saisi doit pouvoir être invalidé par la personne concernée elle-même.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Identifiants opaques, jamais séquentiels. </w:t>
      </w:r>
      <w:r>
        <w:t xml:space="preserve">Un entier incrémental classe les gens et révèle l’ancienneté ; un jeton aléatoire n’encode rien sur la personne.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La transparence sur le risque résiduel fait partie de la sécurité. </w:t>
      </w:r>
      <w:r>
        <w:t xml:space="preserve">On documente ce qu’on protège et ce qu’on ne protège pas ; on laisse au lecteur exposé le choix de ne pas générer de carte.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Cohérence avec les RPC : </w:t>
      </w:r>
      <w:r>
        <w:t xml:space="preserve">doctrine RPC v3 — RPC obligatoire pour les actions DB (génération, révocation, résolution de jeton, prêt/retour) ; supabase.from() admis pour les lectures simples protégées par RLS.</w:t>
      </w:r>
    </w:p>
    <w:p>
      <w:pPr>
        <w:pStyle w:val="Heading1"/>
      </w:pPr>
      <w:r>
        <w:t xml:space="preserve">9. Prochaines étapes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Trancher les arbitrages A.1 à A.4 (§ 7), seul ou avec le collectif selon leur nature.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Acter les trois décisions doctrinales (§ 7.1) au Grand Livre Blanc v15 ou en décision dédiée dans docs/decisions/.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Inscrire les paquets et leurs dépendances au backlog (prochaine révision).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Fixer le point d’insertion du chantier dans la séquence Biblioteca → Importações → Catalogção, en cohérence avec la décision A.1 et l’échéance Bologne FICEDL de septembre 2026.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Sur décision d’ouverture opérationnelle : produire la spec dédiée (docs/specs/) avec le détail backend du jeton de carte et des deux RPC.</w:t>
      </w:r>
    </w:p>
    <w:p>
      <w:pPr>
        <w:spacing w:after="0" w:before="240"/>
      </w:pPr>
      <w:r>
        <w:rPr>
          <w:i/>
          <w:iCs/>
          <w:color w:val="595959"/>
          <w:sz w:val="20"/>
          <w:szCs w:val="20"/>
        </w:rPr>
        <w:t xml:space="preserve">Fin du dossier d’ouverture — CHANTIER_extension_mobile_mode_terrain v0.1 — 26 mai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v0.1 — 26 mai 2026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AnarBib · Chantier Extension mobile / Mode terrain</w:t>
    </w:r>
    <w:r>
      <w:rPr>
        <w:color w:val="595959"/>
        <w:sz w:val="16"/>
        <w:szCs w:val="16"/>
      </w:rPr>
      <w:t xml:space="preserve">	docs/decisions/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1F1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2026-05-26T00:02:16.914Z</dcterms:created>
  <dcterms:modified xsi:type="dcterms:W3CDTF">2026-05-26T00:02:16.914Z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