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2E75B6"/>
          <w:sz w:val="56"/>
          <w:szCs w:val="56"/>
        </w:rPr>
        <w:t xml:space="preserve">AnarBib</w:t>
      </w:r>
    </w:p>
    <w:p>
      <w:pPr>
        <w:spacing w:after="80"/>
        <w:jc w:val="center"/>
      </w:pPr>
      <w:r>
        <w:rPr>
          <w:b/>
          <w:bCs/>
          <w:sz w:val="40"/>
          <w:szCs w:val="40"/>
        </w:rPr>
        <w:t xml:space="preserve">Dossier d'ouverture de chantier</w:t>
      </w:r>
    </w:p>
    <w:p>
      <w:pPr>
        <w:spacing w:after="360"/>
        <w:jc w:val="center"/>
      </w:pPr>
      <w:r>
        <w:rPr>
          <w:color w:val="555555"/>
          <w:sz w:val="36"/>
          <w:szCs w:val="36"/>
        </w:rPr>
        <w:t xml:space="preserve">Module des tâches de la bibliothèque</w:t>
      </w:r>
    </w:p>
    <w:p>
      <w:pPr>
        <w:spacing w:after="80"/>
        <w:jc w:val="center"/>
      </w:pPr>
      <w:r>
        <w:rPr>
          <w:i/>
          <w:iCs/>
          <w:sz w:val="24"/>
          <w:szCs w:val="24"/>
        </w:rPr>
        <w:t xml:space="preserve">Version 0.1 — document d'ouverture</w:t>
      </w:r>
    </w:p>
    <w:p>
      <w:pPr>
        <w:spacing w:after="80"/>
        <w:jc w:val="center"/>
      </w:pPr>
      <w:r>
        <w:rPr>
          <w:sz w:val="24"/>
          <w:szCs w:val="24"/>
        </w:rPr>
        <w:t xml:space="preserve">23 mai 2026</w:t>
      </w:r>
    </w:p>
    <w:p>
      <w:pPr>
        <w:pBdr>
          <w:bottom w:val="single" w:color="2E75B6" w:sz="6" w:space="8"/>
        </w:pBdr>
        <w:jc w:val="center"/>
      </w:pPr>
      <w:r>
        <w:t xml:space="preserve"/>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Contexte et motivation</w:t>
      </w:r>
    </w:p>
    <w:p>
      <w:pPr>
        <w:spacing w:after="120"/>
      </w:pPr>
      <w:r>
        <w:t xml:space="preserve">Le présent dossier ouvre un nouveau chantier sur AnarBib, le système intégré de gestion de bibliothèque conçu pour les bibliothèques militantes anarchistes. Il fait suite à la clôture du chantier-cadre Biblioteca. Son objet est l'approfondissement du module des tâches internes de la bibliothèque.</w:t>
      </w:r>
    </w:p>
    <w:p>
      <w:pPr>
        <w:spacing w:after="120"/>
      </w:pPr>
      <w:r>
        <w:t xml:space="preserve">Une bibliothèque vit autant par son catalogue que par le travail régulier qui la tient debout : entretien des collections, rangement, contrôle de l'état des documents, soin porté aux espaces. Ce travail, en bibliothéconomie, n'est pas accessoire : il conditionne la survie même de la collection. Une partie de ces tâches est ponctuelle ; une autre, essentielle, est récurrente — elle revient à intervalles réguliers et se perd facilement si rien ne la cadence.</w:t>
      </w:r>
    </w:p>
    <w:p>
      <w:pPr>
        <w:spacing w:after="120"/>
      </w:pPr>
      <w:r>
        <w:t xml:space="preserve">Le module des tâches doit donner aux collectifs un outil de gestion partagée de ce travail, pensé pour des personnes qui ne sont pas spécialistes de bibliothéconomie ni d'informatique. Il ne s'agit pas d'imposer une méthode, mais d'outiller une pratique collective et de transmettre, sans l'imposer, le savoir bibliothéconomique nécessaire.</w:t>
      </w:r>
    </w:p>
    <w:p>
      <w:pPr>
        <w:pStyle w:val="Heading2"/>
      </w:pPr>
      <w:r>
        <w:t xml:space="preserve">1.1 Place dans la trajectoire du projet</w:t>
      </w:r>
    </w:p>
    <w:p>
      <w:pPr>
        <w:spacing w:after="120"/>
      </w:pPr>
      <w:r>
        <w:t xml:space="preserve">Ce chantier prolonge la méthode éprouvée sur le chantier-cadre Biblioteca : un travail séquencé en étapes, fondé sur un état des lieux de l'existant avant toute production, et documenté à chaque décision. Le module des tâches s'inscrit dans le périmètre du Painel de la bibliothèque, dont il occupe déjà un onglet (« Tarefas internas »).</w:t>
      </w:r>
    </w:p>
    <w:p>
      <w:pPr>
        <w:pStyle w:val="Heading1"/>
      </w:pPr>
      <w:r>
        <w:t xml:space="preserve">2. État des lieux de l'existant</w:t>
      </w:r>
    </w:p>
    <w:p>
      <w:pPr>
        <w:spacing w:after="120"/>
      </w:pPr>
      <w:r>
        <w:t xml:space="preserve">Conformément à la méthode du projet, ce chantier ne part pas d'une page blanche. Un état des lieux du module tâches a été conduit avant la rédaction du présent dossier, côté interface et côté base de données. Il révèle un module déjà partiellement bâti.</w:t>
      </w:r>
    </w:p>
    <w:p>
      <w:pPr>
        <w:pStyle w:val="Heading2"/>
      </w:pPr>
      <w:r>
        <w:t xml:space="preserve">2.1 Côté interface</w:t>
      </w:r>
    </w:p>
    <w:p>
      <w:pPr>
        <w:spacing w:after="120"/>
      </w:pPr>
      <w:r>
        <w:t xml:space="preserve">L'onglet « Tarefas internas » du Painel n'est pas une maquette inerte : c'est un module fonctionnel. Il permet aujourd'hui :</w:t>
      </w:r>
    </w:p>
    <w:p>
      <w:pPr>
        <w:pStyle w:val="ListParagraph"/>
        <w:numPr>
          <w:ilvl w:val="0"/>
          <w:numId w:val="2"/>
        </w:numPr>
        <w:spacing w:after="60"/>
      </w:pPr>
      <w:r>
        <w:t xml:space="preserve">la création d'une tâche avec titre, description, priorité (baixa / normal / alta), responsable, échéance et étiquettes ;</w:t>
      </w:r>
    </w:p>
    <w:p>
      <w:pPr>
        <w:pStyle w:val="ListParagraph"/>
        <w:numPr>
          <w:ilvl w:val="0"/>
          <w:numId w:val="2"/>
        </w:numPr>
        <w:spacing w:after="60"/>
      </w:pPr>
      <w:r>
        <w:t xml:space="preserve">l'affichage de la liste des tâches, avec un statut modifiable (pendente / em andamento / concluída / cancelada) ;</w:t>
      </w:r>
    </w:p>
    <w:p>
      <w:pPr>
        <w:pStyle w:val="ListParagraph"/>
        <w:numPr>
          <w:ilvl w:val="0"/>
          <w:numId w:val="2"/>
        </w:numPr>
        <w:spacing w:after="60"/>
      </w:pPr>
      <w:r>
        <w:t xml:space="preserve">la suppression d'une tâche ;</w:t>
      </w:r>
    </w:p>
    <w:p>
      <w:pPr>
        <w:pStyle w:val="ListParagraph"/>
        <w:numPr>
          <w:ilvl w:val="0"/>
          <w:numId w:val="2"/>
        </w:numPr>
        <w:spacing w:after="60"/>
      </w:pPr>
      <w:r>
        <w:t xml:space="preserve">l'invitation d'une personne à une tâche par adresse e-mail — soit une forme de collaboration à plusieurs sur une même tâche.</w:t>
      </w:r>
    </w:p>
    <w:p>
      <w:pPr>
        <w:pStyle w:val="Heading2"/>
      </w:pPr>
      <w:r>
        <w:t xml:space="preserve">2.2 Côté base de données</w:t>
      </w:r>
    </w:p>
    <w:p>
      <w:pPr>
        <w:spacing w:after="120"/>
      </w:pPr>
      <w:r>
        <w:t xml:space="preserve">Le module dispose déjà d'un socle technique mûr. Quatre tables le composent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Table</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Rôle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painel_internal_tasks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Les tâches elles-mêmes (titre, description, priorité, statut, responsable, échéance, étiquettes, audit).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painel_internal_task_invites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Les invitations de personnes à une tâche.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painel_internal_task_notification_outbox</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File d'envoi des notifications liées aux tâches.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painel_internal_task_invitation_outbox</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File d'envoi des invitations.</w:t>
            </w:r>
          </w:p>
        </w:tc>
      </w:tr>
    </w:tbl>
    <w:p>
      <w:pPr>
        <w:spacing w:after="80"/>
      </w:pPr>
      <w:r>
        <w:t xml:space="preserve"/>
      </w:r>
    </w:p>
    <w:p>
      <w:pPr>
        <w:spacing w:after="120"/>
      </w:pPr>
      <w:r>
        <w:t xml:space="preserve">Le module possède en outre un ensemble complet de fonctions serveur : création, changement de statut, suppression et invitation passent par des procédures dédiées (fn_task_create, fn_task_update_status, fn_task_delete, fn_task_invite). Toute une mécanique de notification par courriel existe également — mise en file et distribution des notifications et des invitations, déclenchées automatiquement quand une tâche évolue. Les quatre tables sont protégées : l'accès est réservé à l'équipe de la bibliothèque concernée.</w:t>
      </w:r>
    </w:p>
    <w:p>
      <w:pPr>
        <w:pStyle w:val="Heading2"/>
      </w:pPr>
      <w:r>
        <w:t xml:space="preserve">2.3 Ce qui existe déjà — et ce qui manque</w:t>
      </w:r>
    </w:p>
    <w:p>
      <w:pPr>
        <w:spacing w:after="120"/>
      </w:pPr>
      <w:r>
        <w:t xml:space="preserve">Au regard des trois arbitrages retenus pour ce chantier (voir section 3), le constat est net. </w:t>
      </w:r>
      <w:r>
        <w:rPr>
          <w:b/>
          <w:bCs/>
        </w:rPr>
        <w:t xml:space="preserve">L'assignation de tâches est déjà réalisée</w:t>
      </w:r>
      <w:r>
        <w:t xml:space="preserve"> : responsable, statut, échéance, description, priorité, étiquettes et même invitation collaborative existent. Cet axe est à consolider, non à construire.</w:t>
      </w:r>
    </w:p>
    <w:p>
      <w:pPr>
        <w:spacing w:after="120"/>
      </w:pPr>
      <w:r>
        <w:t xml:space="preserve">Le manque principal et structurant est la </w:t>
      </w:r>
      <w:r>
        <w:rPr>
          <w:b/>
          <w:bCs/>
        </w:rPr>
        <w:t xml:space="preserve">récurrence</w:t>
      </w:r>
      <w:r>
        <w:t xml:space="preserve">. Aucune table, aucune colonne, aucune fonction ne sait aujourd'hui décrire une tâche cyclique (« tous les trois mois ») ni régénérer une occurrence lorsque la précédente est achevée. Le module ne gère que des tâches ponctuelles. C'est le cœur du présent chantier.</w:t>
      </w:r>
    </w:p>
    <w:p>
      <w:pPr>
        <w:spacing w:after="120"/>
      </w:pPr>
      <w:r>
        <w:t xml:space="preserve">Un manque secondaire : l'absence de tâches-types — des modèles de tâches bibliothéconomiques courantes que l'on instancie en un geste — et l'absence de vue par échéance (la liste est aujourd'hui à plat).</w:t>
      </w:r>
    </w:p>
    <w:p>
      <w:pPr>
        <w:pStyle w:val="Heading1"/>
      </w:pPr>
      <w:r>
        <w:t xml:space="preserve">3. Arbitrages actés à l'ouverture</w:t>
      </w:r>
    </w:p>
    <w:p>
      <w:pPr>
        <w:spacing w:after="120"/>
      </w:pPr>
      <w:r>
        <w:t xml:space="preserve">Trois décisions de cadrage ont été prises à l'ouverture du chantier. Elles structurent le périmètre défini en section 4.</w:t>
      </w:r>
    </w:p>
    <w:p>
      <w:pPr>
        <w:pStyle w:val="Heading2"/>
      </w:pPr>
      <w:r>
        <w:t xml:space="preserve">3.1 Nature des tâches : récurrentes et ponctuelles, dans un module unique</w:t>
      </w:r>
    </w:p>
    <w:p>
      <w:pPr>
        <w:spacing w:after="120"/>
      </w:pPr>
      <w:r>
        <w:t xml:space="preserve">Le module couvre les deux registres dans une seule et même structure. Le travail réel d'une bibliothèque mêle constamment le cyclique (récolement, dépoussiérage) et le ponctuel (réparer tel document). Les séparer en deux modules créerait une cloison artificielle. L'unité reste « une tâche » ; ce qui distingue une tâche récurrente, c'est qu'elle porte une règle de récurrence — un attribut optionnel.</w:t>
      </w:r>
    </w:p>
    <w:p>
      <w:pPr>
        <w:pStyle w:val="Heading2"/>
      </w:pPr>
      <w:r>
        <w:t xml:space="preserve">3.2 Grain : tâches assignables</w:t>
      </w:r>
    </w:p>
    <w:p>
      <w:pPr>
        <w:spacing w:after="120"/>
      </w:pPr>
      <w:r>
        <w:t xml:space="preserve">Une tâche porte un responsable, un statut, une échéance et des notes. Cet arbitrage est, comme noté en section 2.3, déjà largement réalisé par l'existant.</w:t>
      </w:r>
    </w:p>
    <w:p>
      <w:pPr>
        <w:spacing w:after="120"/>
      </w:pPr>
      <w:r>
        <w:rPr>
          <w:b/>
          <w:bCs/>
        </w:rPr>
        <w:t xml:space="preserve">Point doctrinal ouvert. </w:t>
      </w:r>
      <w:r>
        <w:t xml:space="preserve">L'assignation nominative d'une tâche peut, selon la manière dont elle est conçue, porter une logique de responsabilisation individuelle descendante — étrangère à la doctrine du projet. Ce dossier acte le principe de tâches assignables, mais laisse explicitement ouverte, pour la première étape du chantier, la question de </w:t>
      </w:r>
      <w:r>
        <w:rPr>
          <w:i/>
          <w:iCs/>
        </w:rPr>
        <w:t xml:space="preserve">qui peut assigner qui</w:t>
      </w:r>
      <w:r>
        <w:t xml:space="preserve">. La piste privilégiée est celle de l'assignation comme acte volontaire (une personne se déclare sur une tâche) plutôt que comme attribution imposée. Cette question sera tranchée en conception, pas par défaut au moment du code.</w:t>
      </w:r>
    </w:p>
    <w:p>
      <w:pPr>
        <w:pStyle w:val="Heading2"/>
      </w:pPr>
      <w:r>
        <w:t xml:space="preserve">3.3 Continuité : approfondir l'onglet existant</w:t>
      </w:r>
    </w:p>
    <w:p>
      <w:pPr>
        <w:spacing w:after="120"/>
      </w:pPr>
      <w:r>
        <w:t xml:space="preserve">Le chantier repart de l'onglet « Tarefas internas » et de son socle technique. Il approfondit un module existant ; il ne le remplace pas. L'état des lieux confirme que cette voie est la bonne : la base est solide et déjà en production.</w:t>
      </w:r>
    </w:p>
    <w:p>
      <w:pPr>
        <w:pStyle w:val="Heading2"/>
      </w:pPr>
      <w:r>
        <w:t xml:space="preserve">3.4 Tâches-types : modèles locaux et catalogue de suggestions</w:t>
      </w:r>
    </w:p>
    <w:p>
      <w:pPr>
        <w:spacing w:after="120"/>
      </w:pPr>
      <w:r>
        <w:t xml:space="preserve">Cet arbitrage mérite un développement, car il touche au cœur de la doctrine du projet.</w:t>
      </w:r>
    </w:p>
    <w:p>
      <w:pPr>
        <w:spacing w:after="120"/>
      </w:pPr>
      <w:r>
        <w:t xml:space="preserve">Une première intention — fournir un référentiel unique de tâches-types, identique pour toutes les bibliothèques — a été écartée, pour deux raisons.</w:t>
      </w:r>
    </w:p>
    <w:p>
      <w:pPr>
        <w:spacing w:after="120"/>
      </w:pPr>
      <w:r>
        <w:rPr>
          <w:b/>
          <w:bCs/>
        </w:rPr>
        <w:t xml:space="preserve">Une raison fonctionnelle. </w:t>
      </w:r>
      <w:r>
        <w:t xml:space="preserve">Les contraintes d'entretien d'une bibliothèque dépendent étroitement de son territoire. Une bibliothèque en Amazonie doit lutter contre les moisissures et les champignons dans un climat chaud et humide : la défongisation y est une tâche vitale et fréquente. Une bibliothèque à Lausanne ou dans les Alpes affronte d'autres réalités — l'humidité hivernale et le gel, l'air asséché par le chauffage qui fragilise les reliures, peut-être la poussière d'un bâtiment ancien. Une bibliothèque côtière, à Dunkerque par exemple, doit composer avec l'air salin et l'humidité maritime. Un référentiel figé imposerait la réalité d'un lieu à tous les autres.</w:t>
      </w:r>
    </w:p>
    <w:p>
      <w:pPr>
        <w:spacing w:after="120"/>
      </w:pPr>
      <w:r>
        <w:rPr>
          <w:b/>
          <w:bCs/>
        </w:rPr>
        <w:t xml:space="preserve">Une raison politique. </w:t>
      </w:r>
      <w:r>
        <w:t xml:space="preserve">AnarBib est un réseau de bibliothèques autonomes, chacune souveraine sur son fonctionnement. Un référentiel de tâches décidé d'en haut et uniforme contredirait ce principe. La défongisation amazonienne et l'entretien anti-gel alpin ne doivent pas être deux lignes d'une liste universelle, mais deux expressions locales d'une même capacité : celle, pour chaque bibliothèque, de définir ses propres tâches-types selon son climat, son bâtiment et son territoire.</w:t>
      </w:r>
    </w:p>
    <w:p>
      <w:pPr>
        <w:spacing w:after="120"/>
      </w:pPr>
      <w:r>
        <w:t xml:space="preserve">Le module ne fournira donc pas un référentiel de tâches-types : il fournira le mécanisme qui permet à chaque bibliothèque de constituer le sien. Deux composantes :</w:t>
      </w:r>
    </w:p>
    <w:p>
      <w:pPr>
        <w:pStyle w:val="ListParagraph"/>
        <w:numPr>
          <w:ilvl w:val="0"/>
          <w:numId w:val="2"/>
        </w:numPr>
        <w:spacing w:after="60"/>
      </w:pPr>
      <w:r>
        <w:rPr>
          <w:b/>
          <w:bCs/>
        </w:rPr>
        <w:t xml:space="preserve">Modèles locaux. </w:t>
      </w:r>
      <w:r>
        <w:t xml:space="preserve">Chaque bibliothèque crée et gère ses propres modèles de tâches récurrentes, comme attribut local — à l'image de la politique de gouvernance documentaire, déjà conçue comme attribut local de chaque bibliothèque.</w:t>
      </w:r>
    </w:p>
    <w:p>
      <w:pPr>
        <w:pStyle w:val="ListParagraph"/>
        <w:numPr>
          <w:ilvl w:val="0"/>
          <w:numId w:val="2"/>
        </w:numPr>
        <w:spacing w:after="60"/>
      </w:pPr>
      <w:r>
        <w:rPr>
          <w:b/>
          <w:bCs/>
        </w:rPr>
        <w:t xml:space="preserve">Catalogue de suggestions non imposé. </w:t>
      </w:r>
      <w:r>
        <w:t xml:space="preserve">Une banque d'idées, où une bibliothèque qui ouvre le module peut piocher : récolement, dépoussiérage, désherbage, contrôle d'état après retour, défongisation, contrôle anti-gel, entretien anti-salinité… Rien n'est pré-coché, rien n'est obligatoire. La suggestion éclaire sans contraindre — elle transmet le savoir bibliothéconomique sans le commander.</w:t>
      </w:r>
    </w:p>
    <w:p>
      <w:pPr>
        <w:spacing w:after="120"/>
      </w:pPr>
      <w:r>
        <w:rPr>
          <w:b/>
          <w:bCs/>
        </w:rPr>
        <w:t xml:space="preserve">Évolution future, hors périmètre du présent chantier. </w:t>
      </w:r>
      <w:r>
        <w:t xml:space="preserve">Le partage des modèles entre bibliothèques du réseau — une bibliothèque publie son protocole de défongisation, une autre son protocole anti-gel, et chacune reste libre de s'en inspirer — relève de la mutualisation horizontale chère au projet. Cette possibilité est inscrite comme horizon, à traiter dans un chantier ultérieur une fois le socle consolidé.</w:t>
      </w:r>
    </w:p>
    <w:p>
      <w:pPr>
        <w:pStyle w:val="Heading1"/>
      </w:pPr>
      <w:r>
        <w:t xml:space="preserve">4. Périmètre du chantier</w:t>
      </w:r>
    </w:p>
    <w:p>
      <w:pPr>
        <w:pStyle w:val="Heading2"/>
      </w:pPr>
      <w:r>
        <w:t xml:space="preserve">4.1 Ce que le chantier réalise</w:t>
      </w:r>
    </w:p>
    <w:p>
      <w:pPr>
        <w:pStyle w:val="ListParagraph"/>
        <w:numPr>
          <w:ilvl w:val="0"/>
          <w:numId w:val="3"/>
        </w:numPr>
        <w:spacing w:after="60"/>
      </w:pPr>
      <w:r>
        <w:t xml:space="preserve">La récurrence des tâches : modèle de données permettant de décrire une tâche cyclique, fonctions de création récurrente, et logique de régénération d'une occurrence à l'échéance ou à l'achèvement de la précédente.</w:t>
      </w:r>
    </w:p>
    <w:p>
      <w:pPr>
        <w:pStyle w:val="ListParagraph"/>
        <w:numPr>
          <w:ilvl w:val="0"/>
          <w:numId w:val="3"/>
        </w:numPr>
        <w:spacing w:after="60"/>
      </w:pPr>
      <w:r>
        <w:t xml:space="preserve">Les tâches-types locales : capacité, pour chaque bibliothèque, de définir et gérer ses propres modèles de tâches, instanciables en un geste.</w:t>
      </w:r>
    </w:p>
    <w:p>
      <w:pPr>
        <w:pStyle w:val="ListParagraph"/>
        <w:numPr>
          <w:ilvl w:val="0"/>
          <w:numId w:val="3"/>
        </w:numPr>
        <w:spacing w:after="60"/>
      </w:pPr>
      <w:r>
        <w:t xml:space="preserve">Le catalogue de suggestions : une banque d'idées de tâches bibliothéconomiques courantes, non imposée, où chaque bibliothèque peut piocher pour constituer ses modèles locaux.</w:t>
      </w:r>
    </w:p>
    <w:p>
      <w:pPr>
        <w:pStyle w:val="ListParagraph"/>
        <w:numPr>
          <w:ilvl w:val="0"/>
          <w:numId w:val="3"/>
        </w:numPr>
        <w:spacing w:after="60"/>
      </w:pPr>
      <w:r>
        <w:t xml:space="preserve">Les vues : affichage par échéance et mise en évidence des tâches récurrentes dues, en complément de la liste actuelle.</w:t>
      </w:r>
    </w:p>
    <w:p>
      <w:pPr>
        <w:pStyle w:val="ListParagraph"/>
        <w:numPr>
          <w:ilvl w:val="0"/>
          <w:numId w:val="3"/>
        </w:numPr>
        <w:spacing w:after="60"/>
      </w:pPr>
      <w:r>
        <w:t xml:space="preserve">La consolidation de l'assignation existante, selon l'arbitrage doctrinal de la section 3.2.</w:t>
      </w:r>
    </w:p>
    <w:p>
      <w:pPr>
        <w:pStyle w:val="Heading2"/>
      </w:pPr>
      <w:r>
        <w:t xml:space="preserve">4.2 Ce que le chantier ne réalise pas</w:t>
      </w:r>
    </w:p>
    <w:p>
      <w:pPr>
        <w:pStyle w:val="ListParagraph"/>
        <w:numPr>
          <w:ilvl w:val="0"/>
          <w:numId w:val="2"/>
        </w:numPr>
        <w:spacing w:after="60"/>
      </w:pPr>
      <w:r>
        <w:t xml:space="preserve">Le partage de modèles entre bibliothèques du réseau (inscrit comme évolution future, section 3.4).</w:t>
      </w:r>
    </w:p>
    <w:p>
      <w:pPr>
        <w:pStyle w:val="ListParagraph"/>
        <w:numPr>
          <w:ilvl w:val="0"/>
          <w:numId w:val="2"/>
        </w:numPr>
        <w:spacing w:after="60"/>
      </w:pPr>
      <w:r>
        <w:t xml:space="preserve">La refonte des mécanismes de notification existants, qui fonctionnent et seront réutilisés tels quels, étendus si besoin à la récurrence.</w:t>
      </w:r>
    </w:p>
    <w:p>
      <w:pPr>
        <w:pStyle w:val="ListParagraph"/>
        <w:numPr>
          <w:ilvl w:val="0"/>
          <w:numId w:val="2"/>
        </w:numPr>
        <w:spacing w:after="60"/>
      </w:pPr>
      <w:r>
        <w:t xml:space="preserve">Toute fonction étrangère à la gestion des tâches (les retards de prêt, le suivi des prêts interbibliothèques sont gérés ailleurs et ne doivent pas être redoublés ici).</w:t>
      </w:r>
    </w:p>
    <w:p>
      <w:pPr>
        <w:pStyle w:val="Heading2"/>
      </w:pPr>
      <w:r>
        <w:t xml:space="preserve">4.3 Implication technique</w:t>
      </w:r>
    </w:p>
    <w:p>
      <w:pPr>
        <w:spacing w:after="120"/>
      </w:pPr>
      <w:r>
        <w:t xml:space="preserve">Contrairement à certains travaux récents du projet, ce chantier ne sera pas strictement frontend. La récurrence touche le schéma de la base de données : il faudra au moins une migration. Conformément à la doctrine du projet, toute migration sera livrée sous forme de fichier horodaté versionné, appliqué par l'intégration continue — jamais par une opération directe sur la base.</w:t>
      </w:r>
    </w:p>
    <w:p>
      <w:pPr>
        <w:pStyle w:val="Heading1"/>
      </w:pPr>
      <w:r>
        <w:t xml:space="preserve">5. Matière de référence : le travail d'entretien en bibliothèque</w:t>
      </w:r>
    </w:p>
    <w:p>
      <w:pPr>
        <w:spacing w:after="120"/>
      </w:pPr>
      <w:r>
        <w:t xml:space="preserve">Cette section rassemble la matière qui nourrira le catalogue de suggestions (section 3.4). Elle n'est pas une liste à implémenter telle quelle ni une norme : c'est un inventaire raisonné des grandes familles de travaux bibliothéconomiques, dans lequel le catalogue de suggestions puisera. Chaque bibliothèque restera libre de retenir, d'écarter ou d'adapter.</w:t>
      </w:r>
    </w:p>
    <w:p>
      <w:pPr>
        <w:pStyle w:val="Heading2"/>
      </w:pPr>
      <w:r>
        <w:t xml:space="preserve">5.1 Familles de travaux</w:t>
      </w:r>
    </w:p>
    <w:p>
      <w:pPr>
        <w:pStyle w:val="Heading3"/>
      </w:pPr>
      <w:r>
        <w:t xml:space="preserve">Entretien matériel des documents</w:t>
      </w:r>
    </w:p>
    <w:p>
      <w:pPr>
        <w:pStyle w:val="ListParagraph"/>
        <w:numPr>
          <w:ilvl w:val="0"/>
          <w:numId w:val="2"/>
        </w:numPr>
        <w:spacing w:after="60"/>
      </w:pPr>
      <w:r>
        <w:t xml:space="preserve">Dépoussiérage des rayonnages et des documents, par sections, à intervalles réguliers.</w:t>
      </w:r>
    </w:p>
    <w:p>
      <w:pPr>
        <w:pStyle w:val="ListParagraph"/>
        <w:numPr>
          <w:ilvl w:val="0"/>
          <w:numId w:val="2"/>
        </w:numPr>
        <w:spacing w:after="60"/>
      </w:pPr>
      <w:r>
        <w:t xml:space="preserve">Petites réparations : recoller une page, consolider une couverture, refaire une cote abîmée.</w:t>
      </w:r>
    </w:p>
    <w:p>
      <w:pPr>
        <w:pStyle w:val="ListParagraph"/>
        <w:numPr>
          <w:ilvl w:val="0"/>
          <w:numId w:val="2"/>
        </w:numPr>
        <w:spacing w:after="60"/>
      </w:pPr>
      <w:r>
        <w:t xml:space="preserve">Contrôle de l'état d'un document après chaque retour de prêt.</w:t>
      </w:r>
    </w:p>
    <w:p>
      <w:pPr>
        <w:pStyle w:val="ListParagraph"/>
        <w:numPr>
          <w:ilvl w:val="0"/>
          <w:numId w:val="2"/>
        </w:numPr>
        <w:spacing w:after="60"/>
      </w:pPr>
      <w:r>
        <w:rPr>
          <w:b/>
          <w:bCs/>
        </w:rPr>
        <w:t xml:space="preserve">Défongisation et lutte contre les moisissures. </w:t>
      </w:r>
      <w:r>
        <w:t xml:space="preserve">En climat chaud et humide — typiquement en Amazonie — c'est une tâche d'entretien vitale et fréquente : sans elle, les champignons attaquent reliures et papier et la collection se dégrade rapidement. Elle illustre une tâche récurrente que le module doit savoir cadencer.</w:t>
      </w:r>
    </w:p>
    <w:p>
      <w:pPr>
        <w:pStyle w:val="Heading3"/>
      </w:pPr>
      <w:r>
        <w:t xml:space="preserve">Rangement et ordre des collections</w:t>
      </w:r>
    </w:p>
    <w:p>
      <w:pPr>
        <w:pStyle w:val="ListParagraph"/>
        <w:numPr>
          <w:ilvl w:val="0"/>
          <w:numId w:val="2"/>
        </w:numPr>
        <w:spacing w:after="60"/>
      </w:pPr>
      <w:r>
        <w:rPr>
          <w:b/>
          <w:bCs/>
        </w:rPr>
        <w:t xml:space="preserve">Récolement</w:t>
      </w:r>
      <w:r>
        <w:t xml:space="preserve"> : vérification périodique que chaque document est à sa place et que le catalogue correspond au rayon réel. C'est le grand travail d'inventaire, par nature récurrent.</w:t>
      </w:r>
    </w:p>
    <w:p>
      <w:pPr>
        <w:pStyle w:val="ListParagraph"/>
        <w:numPr>
          <w:ilvl w:val="0"/>
          <w:numId w:val="2"/>
        </w:numPr>
        <w:spacing w:after="60"/>
      </w:pPr>
      <w:r>
        <w:t xml:space="preserve">Rangement des retours et correction des documents mal reclassés.</w:t>
      </w:r>
    </w:p>
    <w:p>
      <w:pPr>
        <w:pStyle w:val="ListParagraph"/>
        <w:numPr>
          <w:ilvl w:val="0"/>
          <w:numId w:val="2"/>
        </w:numPr>
        <w:spacing w:after="60"/>
      </w:pPr>
      <w:r>
        <w:t xml:space="preserve">Redistribution de l'espace quand une section déborde.</w:t>
      </w:r>
    </w:p>
    <w:p>
      <w:pPr>
        <w:pStyle w:val="Heading3"/>
      </w:pPr>
      <w:r>
        <w:t xml:space="preserve">Gestion de la collection</w:t>
      </w:r>
    </w:p>
    <w:p>
      <w:pPr>
        <w:pStyle w:val="ListParagraph"/>
        <w:numPr>
          <w:ilvl w:val="0"/>
          <w:numId w:val="2"/>
        </w:numPr>
        <w:spacing w:after="60"/>
      </w:pPr>
      <w:r>
        <w:rPr>
          <w:b/>
          <w:bCs/>
        </w:rPr>
        <w:t xml:space="preserve">Désherbage</w:t>
      </w:r>
      <w:r>
        <w:t xml:space="preserve"> : retrait raisonné des documents obsolètes ou inutiles, pour garder une collection vivante. Sujet sensible dans une bibliothèque militante : les critères de ce que l'on conserve relèvent d'une décision collective et politique.</w:t>
      </w:r>
    </w:p>
    <w:p>
      <w:pPr>
        <w:pStyle w:val="ListParagraph"/>
        <w:numPr>
          <w:ilvl w:val="0"/>
          <w:numId w:val="2"/>
        </w:numPr>
        <w:spacing w:after="60"/>
      </w:pPr>
      <w:r>
        <w:t xml:space="preserve">Évaluation des manques de la collection ; suivi des suggestions d'acquisition.</w:t>
      </w:r>
    </w:p>
    <w:p>
      <w:pPr>
        <w:pStyle w:val="ListParagraph"/>
        <w:numPr>
          <w:ilvl w:val="0"/>
          <w:numId w:val="2"/>
        </w:numPr>
        <w:spacing w:after="60"/>
      </w:pPr>
      <w:r>
        <w:t xml:space="preserve">Traitement des dons reçus : tri, intégration ou refus.</w:t>
      </w:r>
    </w:p>
    <w:p>
      <w:pPr>
        <w:pStyle w:val="Heading3"/>
      </w:pPr>
      <w:r>
        <w:t xml:space="preserve">Traitement des nouveaux documents</w:t>
      </w:r>
    </w:p>
    <w:p>
      <w:pPr>
        <w:pStyle w:val="ListParagraph"/>
        <w:numPr>
          <w:ilvl w:val="0"/>
          <w:numId w:val="2"/>
        </w:numPr>
        <w:spacing w:after="60"/>
      </w:pPr>
      <w:r>
        <w:t xml:space="preserve">Chaîne d'entrée d'un document : réception, estampillage, équipement, catalogage, mise en rayon.</w:t>
      </w:r>
    </w:p>
    <w:p>
      <w:pPr>
        <w:pStyle w:val="ListParagraph"/>
        <w:numPr>
          <w:ilvl w:val="0"/>
          <w:numId w:val="2"/>
        </w:numPr>
        <w:spacing w:after="60"/>
      </w:pPr>
      <w:r>
        <w:t xml:space="preserve">Équipement matériel : couverture, protection, étiquetage.</w:t>
      </w:r>
    </w:p>
    <w:p>
      <w:pPr>
        <w:pStyle w:val="Heading3"/>
      </w:pPr>
      <w:r>
        <w:t xml:space="preserve">Entretien des espaces</w:t>
      </w:r>
    </w:p>
    <w:p>
      <w:pPr>
        <w:pStyle w:val="ListParagraph"/>
        <w:numPr>
          <w:ilvl w:val="0"/>
          <w:numId w:val="2"/>
        </w:numPr>
        <w:spacing w:after="60"/>
      </w:pPr>
      <w:r>
        <w:t xml:space="preserve">Ménage des locaux, entretien du mobilier.</w:t>
      </w:r>
    </w:p>
    <w:p>
      <w:pPr>
        <w:pStyle w:val="ListParagraph"/>
        <w:numPr>
          <w:ilvl w:val="0"/>
          <w:numId w:val="2"/>
        </w:numPr>
        <w:spacing w:after="60"/>
      </w:pPr>
      <w:r>
        <w:t xml:space="preserve">Gestion de l'affichage et de la signalétique ; préparation des espaces pour les accueils et rencontres.</w:t>
      </w:r>
    </w:p>
    <w:p>
      <w:pPr>
        <w:pStyle w:val="ListParagraph"/>
        <w:numPr>
          <w:ilvl w:val="0"/>
          <w:numId w:val="2"/>
        </w:numPr>
        <w:spacing w:after="60"/>
      </w:pPr>
      <w:r>
        <w:rPr>
          <w:b/>
          <w:bCs/>
        </w:rPr>
        <w:t xml:space="preserve">Contrôle climatique selon le territoire. </w:t>
      </w:r>
      <w:r>
        <w:t xml:space="preserve">Surveillance de l'humidité et de la température ; en climat froid, attention au gel et à l'assèchement dû au chauffage ; en zone côtière, vigilance face à l'air salin. Autant de tâches récurrentes dont la nature dépend du lieu — d'où le choix de modèles locaux plutôt qu'un référentiel unique.</w:t>
      </w:r>
    </w:p>
    <w:p>
      <w:pPr>
        <w:pStyle w:val="Heading2"/>
      </w:pPr>
      <w:r>
        <w:t xml:space="preserve">5.2 Lecture transversale</w:t>
      </w:r>
    </w:p>
    <w:p>
      <w:pPr>
        <w:spacing w:after="120"/>
      </w:pPr>
      <w:r>
        <w:t xml:space="preserve">Cet inventaire montre deux choses. D'une part, le travail d'entretien est massivement récurrent : récolement, dépoussiérage, défongisation, contrôle climatique reviennent par cycles — ce qui justifie que la récurrence soit le cœur du chantier. D'autre part, la nature concrète de ces tâches varie fortement d'un territoire à l'autre — ce qui justifie que les tâches-types soient des modèles locaux, et non une liste imposée.</w:t>
      </w:r>
    </w:p>
    <w:p>
      <w:pPr>
        <w:pStyle w:val="Heading1"/>
      </w:pPr>
      <w:r>
        <w:t xml:space="preserve">6. Séquence d'étapes proposée</w:t>
      </w:r>
    </w:p>
    <w:p>
      <w:pPr>
        <w:spacing w:after="120"/>
      </w:pPr>
      <w:r>
        <w:t xml:space="preserve">Le chantier est découpé en étapes, à la manière du chantier-cadre Biblioteca. Cette séquence est une proposition d'ouverture : chaque étape commencera par sa propre phase d'analyse et pourra être ajustée. Les étapes sont volontairement décrites sans estimation de durée.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Étape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Objet</w:t>
            </w:r>
          </w:p>
        </w:tc>
        <w:tc>
          <w:tcPr>
            <w:tcW w:type="dxa" w:w="5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Contenu</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Analyse fine et conception de la récurrence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Inventaire complet de l'existant (fonctions, déclencheurs, politiques d'accès). Conception du modèle de récurrence et arbitrage du point doctrinal sur l'assignation (section 3.2).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Schéma de la récurrence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Migration : structure décrivant une tâche récurrente et ses occurrences. Livrée en fichier horodaté versionné.</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Logique de récurrence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Fonctions de création récurrente et régénération d'une occurrence. Extension éventuelle des notifications aux échéances récurrentes.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Tâches-types locales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Modèles de tâches gérés localement par chaque bibliothèque ; instanciation d'un modèle en une tâche.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Catalogue de suggestions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Banque d'idées non imposée, nourrie de la matière de la section 5, où chaque bibliothèque puise pour constituer ses modèles.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Interface et vues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Approfondissement de l'onglet : vue par échéance, mise en évidence des tâches récurrentes dues, internationalisation dans les huit langues du projet.</w:t>
            </w:r>
          </w:p>
        </w:tc>
      </w:tr>
    </w:tbl>
    <w:p>
      <w:pPr>
        <w:spacing w:after="80"/>
      </w:pPr>
      <w:r>
        <w:t xml:space="preserve"/>
      </w:r>
    </w:p>
    <w:p>
      <w:pPr>
        <w:pStyle w:val="Heading2"/>
      </w:pPr>
      <w:r>
        <w:t xml:space="preserve">6.1 Points ouverts à trancher en cours de chantier</w:t>
      </w:r>
    </w:p>
    <w:p>
      <w:pPr>
        <w:pStyle w:val="ListParagraph"/>
        <w:numPr>
          <w:ilvl w:val="0"/>
          <w:numId w:val="2"/>
        </w:numPr>
        <w:spacing w:after="60"/>
      </w:pPr>
      <w:r>
        <w:t xml:space="preserve">Le modèle de récurrence : intervalle fixe simple, calendrier, ou règle souple — à concevoir à l'étape 1.</w:t>
      </w:r>
    </w:p>
    <w:p>
      <w:pPr>
        <w:pStyle w:val="ListParagraph"/>
        <w:numPr>
          <w:ilvl w:val="0"/>
          <w:numId w:val="2"/>
        </w:numPr>
        <w:spacing w:after="60"/>
      </w:pPr>
      <w:r>
        <w:t xml:space="preserve">La mécanique de régénération : une occurrence est-elle régénérée à l'achèvement de la précédente, ou à date fixe — à concevoir à l'étape 1.</w:t>
      </w:r>
    </w:p>
    <w:p>
      <w:pPr>
        <w:pStyle w:val="ListParagraph"/>
        <w:numPr>
          <w:ilvl w:val="0"/>
          <w:numId w:val="2"/>
        </w:numPr>
        <w:spacing w:after="60"/>
      </w:pPr>
      <w:r>
        <w:t xml:space="preserve">L'assignation volontaire ou attribuée : point doctrinal de la section 3.2, à trancher à l'étape 1.</w:t>
      </w:r>
    </w:p>
    <w:p>
      <w:pPr>
        <w:pStyle w:val="Heading1"/>
      </w:pPr>
      <w:r>
        <w:t xml:space="preserve">7. Méthode de travail</w:t>
      </w:r>
    </w:p>
    <w:p>
      <w:pPr>
        <w:spacing w:after="120"/>
      </w:pPr>
      <w:r>
        <w:t xml:space="preserve">Le chantier reprend les principes de travail consolidés sur le chantier-cadre Biblioteca :</w:t>
      </w:r>
    </w:p>
    <w:p>
      <w:pPr>
        <w:pStyle w:val="ListParagraph"/>
        <w:numPr>
          <w:ilvl w:val="0"/>
          <w:numId w:val="2"/>
        </w:numPr>
        <w:spacing w:after="60"/>
      </w:pPr>
      <w:r>
        <w:t xml:space="preserve">Toute étape commence par une phase d'analyse de l'existant avant la moindre production de code.</w:t>
      </w:r>
    </w:p>
    <w:p>
      <w:pPr>
        <w:pStyle w:val="ListParagraph"/>
        <w:numPr>
          <w:ilvl w:val="0"/>
          <w:numId w:val="2"/>
        </w:numPr>
        <w:spacing w:after="60"/>
      </w:pPr>
      <w:r>
        <w:t xml:space="preserve">Les migrations de base de données sont livrées en fichiers horodatés versionnés, appliqués par l'intégration continue.</w:t>
      </w:r>
    </w:p>
    <w:p>
      <w:pPr>
        <w:pStyle w:val="ListParagraph"/>
        <w:numPr>
          <w:ilvl w:val="0"/>
          <w:numId w:val="2"/>
        </w:numPr>
        <w:spacing w:after="60"/>
      </w:pPr>
      <w:r>
        <w:t xml:space="preserve">Les séquences de déploiement sont découpées en blocs séparés par des points de vérification : après chaque copie de fichier et chaque modification, une vérification confirme le résultat attendu avant de passer au bloc suivant.</w:t>
      </w:r>
    </w:p>
    <w:p>
      <w:pPr>
        <w:pStyle w:val="ListParagraph"/>
        <w:numPr>
          <w:ilvl w:val="0"/>
          <w:numId w:val="2"/>
        </w:numPr>
        <w:spacing w:after="60"/>
      </w:pPr>
      <w:r>
        <w:t xml:space="preserve">Un livrable n'est considéré comme terminé que lorsque la compilation et les tests passent tous deux ; la compilation seule ne suffit pas à garantir la cohérence.</w:t>
      </w:r>
    </w:p>
    <w:p>
      <w:pPr>
        <w:pStyle w:val="ListParagraph"/>
        <w:numPr>
          <w:ilvl w:val="0"/>
          <w:numId w:val="2"/>
        </w:numPr>
        <w:spacing w:after="60"/>
      </w:pPr>
      <w:r>
        <w:t xml:space="preserve">Les décisions sont documentées au fil du chantier.</w:t>
      </w:r>
    </w:p>
    <w:p>
      <w:pPr>
        <w:spacing w:after="80"/>
      </w:pPr>
      <w:r>
        <w:t xml:space="preserve"/>
      </w:r>
    </w:p>
    <w:p>
      <w:pPr>
        <w:pBdr>
          <w:top w:val="single" w:color="2E75B6" w:sz="6" w:space="8"/>
        </w:pBdr>
        <w:spacing w:before="240"/>
      </w:pPr>
      <w:r>
        <w:rPr>
          <w:i/>
          <w:iCs/>
          <w:color w:val="777777"/>
          <w:sz w:val="20"/>
          <w:szCs w:val="20"/>
        </w:rPr>
        <w:t xml:space="preserve">Fin du dossier d'ouverture — module des tâches de la bibliothèque, version 0.1.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999999"/>
        <w:sz w:val="16"/>
        <w:szCs w:val="16"/>
      </w:rPr>
      <w:t xml:space="preserve">AnarBib — Dossier d'ouverture : module des tâches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33333"/>
      <w:sz w:val="26"/>
      <w:szCs w:val="26"/>
    </w:rPr>
  </w:style>
  <w:style w:type="paragraph" w:styleId="Heading3">
    <w:name w:val="Heading 3"/>
    <w:basedOn w:val="Normal"/>
    <w:next w:val="Normal"/>
    <w:qFormat/>
    <w:pPr>
      <w:spacing w:after="80" w:before="14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2026-05-23T12:55:46.165Z</dcterms:created>
  <dcterms:modified xsi:type="dcterms:W3CDTF">2026-05-23T12:55:46.166Z</dcterms:modified>
</cp:coreProperties>
</file>

<file path=docProps/custom.xml><?xml version="1.0" encoding="utf-8"?>
<Properties xmlns="http://schemas.openxmlformats.org/officeDocument/2006/custom-properties" xmlns:vt="http://schemas.openxmlformats.org/officeDocument/2006/docPropsVTypes"/>
</file>