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Calibri" w:hAnsi="Calibri"/>
          <w:b/>
          <w:i w:val="0"/>
          <w:color w:val="1F4E79"/>
          <w:sz w:val="72"/>
        </w:rPr>
        <w:t>AnarBib</w:t>
      </w:r>
    </w:p>
    <w:p>
      <w:pPr>
        <w:spacing w:after="480"/>
      </w:pPr>
      <w:r>
        <w:rPr>
          <w:rFonts w:ascii="Calibri" w:hAnsi="Calibri"/>
          <w:b/>
          <w:i w:val="0"/>
          <w:color w:val="2E74B5"/>
          <w:sz w:val="52"/>
        </w:rPr>
        <w:t>Grand Livre blanc stratégique v16</w:t>
      </w:r>
    </w:p>
    <w:p>
      <w:pPr>
        <w:spacing w:after="160"/>
      </w:pPr>
      <w:r>
        <w:rPr>
          <w:rFonts w:ascii="Calibri" w:hAnsi="Calibri"/>
          <w:b w:val="0"/>
          <w:i/>
          <w:color w:val="595959"/>
          <w:sz w:val="30"/>
        </w:rPr>
        <w:t>Version v14 arrêtée au 19 mai 2026, addendum v15 du 21 mai 2026, addendum v16 du 27 mai 2026</w:t>
      </w:r>
    </w:p>
    <w:p>
      <w:pPr>
        <w:spacing w:after="160"/>
      </w:pPr>
      <w:r>
        <w:rPr>
          <w:rFonts w:ascii="Calibri" w:hAnsi="Calibri"/>
          <w:b w:val="0"/>
          <w:i/>
          <w:color w:val="595959"/>
          <w:sz w:val="30"/>
        </w:rPr>
        <w:t xml:space="preserve">De la cartographie quantifiée à la méthode d'audit par parité : </w:t>
      </w:r>
    </w:p>
    <w:p>
      <w:pPr>
        <w:spacing w:after="160"/>
      </w:pPr>
      <w:r>
        <w:rPr>
          <w:rFonts w:ascii="Calibri" w:hAnsi="Calibri"/>
          <w:b w:val="0"/>
          <w:i/>
          <w:color w:val="595959"/>
          <w:sz w:val="30"/>
        </w:rPr>
        <w:t>nommer la doctrine transverse, inscrire les acquis du second chantier-cadre, mesurer la cadence sur quinze jours.</w:t>
      </w:r>
    </w:p>
    <w:tbl>
      <w:tblPr>
        <w:tblStyle w:val="TableGrid"/>
        <w:tblW w:type="auto" w:w="0"/>
        <w:tblLayout w:type="autofit"/>
        <w:tblLook w:firstColumn="1" w:firstRow="1" w:lastColumn="0" w:lastRow="0" w:noHBand="0" w:noVBand="1" w:val="04A0"/>
      </w:tblPr>
      <w:tblGrid>
        <w:gridCol w:w="4703"/>
        <w:gridCol w:w="4703"/>
      </w:tblGrid>
      <w:tr>
        <w:tc>
          <w:tcPr>
            <w:tcW w:type="dxa" w:w="4703"/>
            <w:vAlign w:val="top"/>
            <w:shd w:val="clear" w:color="auto" w:fill="D9E2F3"/>
          </w:tcPr>
          <w:p>
            <w:pPr>
              <w:spacing w:before="60" w:after="60"/>
            </w:pPr>
            <w:r/>
            <w:r>
              <w:rPr>
                <w:rFonts w:ascii="Calibri" w:hAnsi="Calibri"/>
                <w:b/>
                <w:i w:val="0"/>
                <w:sz w:val="24"/>
              </w:rPr>
              <w:t>Usage</w:t>
            </w:r>
          </w:p>
        </w:tc>
        <w:tc>
          <w:tcPr>
            <w:tcW w:type="dxa" w:w="4703"/>
            <w:vAlign w:val="top"/>
            <w:shd w:val="clear" w:color="auto" w:fill="D9E2F3"/>
          </w:tcPr>
          <w:p>
            <w:pPr>
              <w:spacing w:before="60" w:after="60"/>
            </w:pPr>
            <w:r/>
            <w:r>
              <w:rPr>
                <w:rFonts w:ascii="Calibri" w:hAnsi="Calibri"/>
                <w:b/>
                <w:i w:val="0"/>
                <w:sz w:val="24"/>
              </w:rPr>
              <w:t>Boussole stratégique d'achèvement, désormais nourrie d'une troisième lecture exacte du backend (104 tables, 73 vues, 380 fonctions, 247 SECURITY DEFINER, 160 policies RLS, 78 triggers, 241 indexes explicites + ≈125 implicites, 180 clés étrangères). La v16 actualise la cartographie chiffrée v15 huit jours plus tard, mesure la cadence sur la fenêtre courte v15 → v16, inscrit la doctrine transverse de double nomenclature item_status / workflow_stage au chapitre 0, et verse les acquis doctrinaux du chantier-cadre Painel (clos sur son chantier A le 27 mai) en symétrie de l'addendum Biblioteca v15.</w:t>
            </w:r>
          </w:p>
        </w:tc>
      </w:tr>
      <w:tr>
        <w:tc>
          <w:tcPr>
            <w:tcW w:type="dxa" w:w="4703"/>
            <w:vAlign w:val="top"/>
          </w:tcPr>
          <w:p>
            <w:pPr>
              <w:spacing w:before="60" w:after="60"/>
            </w:pPr>
            <w:r/>
            <w:r>
              <w:rPr>
                <w:rFonts w:ascii="Calibri" w:hAnsi="Calibri"/>
                <w:b w:val="0"/>
                <w:i w:val="0"/>
                <w:sz w:val="24"/>
              </w:rPr>
              <w:t>Base de lecture</w:t>
            </w:r>
          </w:p>
        </w:tc>
        <w:tc>
          <w:tcPr>
            <w:tcW w:type="dxa" w:w="4703"/>
            <w:vAlign w:val="top"/>
          </w:tcPr>
          <w:p>
            <w:pPr>
              <w:spacing w:before="60" w:after="60"/>
            </w:pPr>
            <w:r/>
            <w:r>
              <w:rPr>
                <w:rFonts w:ascii="Calibri" w:hAnsi="Calibri"/>
                <w:b w:val="0"/>
                <w:i w:val="0"/>
                <w:sz w:val="24"/>
              </w:rPr>
              <w:t>Livre blanc v15 du 21 mai 2026 ; dump SQL exact reçu ce soir (54 289 lignes UTF-8, ≈1,6 Mo, schémas public + api complets) ; export complet des advisors Supabase reçu en parallèle (1 ERROR, ≈225 WARN authenticated SECURITY DEFINER, ≈24 WARN anon SECURITY DEFINER, 2 WARN materialized_view_in_api, 2 WARN public_bucket_allows_listing, ≈20 INFO rls_enabled_no_policy) ; backlog technique v18 du 27 mai (version corrective Xavier-uploaded : #153 clos sur volet code, #154 et #155 ajoutés, finitions ILL identifiées) ; cadrage et arbitrages du chantier-cadre Painel (Q1–Q4 du 25/05, Q5–Q7 du 27/05) ; documentation des chantiers internes 22-27 mai (CHANTIER_audit_biblioteca_parite_doctrinale_2026-05-21.md mis à jour, CHANTIER_corrections_mails_post_audit_153_2026-05-24.md, AUDIT_153_contenus_mails_2026-05-23.md, CHANTIER_partenaires_correspondance_2026-05-24.docx, CHANTIER_cloture_ILL_2026-05-24.docx, BUG_resa_terminale_classee_active_2026-05-26.md, CHANTIER_extension_mobile_mode_terrain_2026-05-26.docx).</w:t>
            </w:r>
          </w:p>
        </w:tc>
      </w:tr>
      <w:tr>
        <w:tc>
          <w:tcPr>
            <w:tcW w:type="dxa" w:w="4703"/>
            <w:vAlign w:val="top"/>
          </w:tcPr>
          <w:p>
            <w:pPr>
              <w:spacing w:before="60" w:after="60"/>
            </w:pPr>
            <w:r/>
            <w:r>
              <w:rPr>
                <w:rFonts w:ascii="Calibri" w:hAnsi="Calibri"/>
                <w:b w:val="0"/>
                <w:i w:val="0"/>
                <w:sz w:val="24"/>
              </w:rPr>
              <w:t>Hypothèse directrice</w:t>
            </w:r>
          </w:p>
        </w:tc>
        <w:tc>
          <w:tcPr>
            <w:tcW w:type="dxa" w:w="4703"/>
            <w:vAlign w:val="top"/>
          </w:tcPr>
          <w:p>
            <w:pPr>
              <w:spacing w:before="60" w:after="60"/>
            </w:pPr>
            <w:r/>
            <w:r>
              <w:rPr>
                <w:rFonts w:ascii="Calibri" w:hAnsi="Calibri"/>
                <w:b w:val="0"/>
                <w:i w:val="0"/>
                <w:sz w:val="24"/>
              </w:rPr>
              <w:t>La v16 n'a pas de surprise stratégique. Elle confirme deux mouvements complémentaires entamés depuis la v15 : d'une part le chantier-cadre Biblioteca a tenu sa promesse de jonction (étape 8 mails seule restante, conditionnée à #110) et a engendré une suite naturelle — le chantier-cadre Painel — qui réplique la méthode parité + audit doctrinal sur la deuxième grande page du SIGB. D'autre part, sur la fenêtre courte de huit jours, le backend a légèrement consolidé (–3 tables par fusion, +7 fonctions, +16 policies RLS) tandis que le frontend a livré une fermeture franche (chantier A du Painel : EA-05, EA-09, EA-13). Cette dynamique valide la doctrine de jonction v14 dans son application répétée : un chantier-cadre par grande page, livré dans une fenêtre courte, avec audit factuel et arbitrage en amont. La v16 verse en outre la première doctrine transverse de nomenclature qu'AnarBib pouvait poser (item_status / workflow_stage), qui n'avait jamais été inscrite explicitement bien que présente partout dans le code.</w:t>
            </w:r>
          </w:p>
        </w:tc>
      </w:tr>
      <w:tr>
        <w:tc>
          <w:tcPr>
            <w:tcW w:type="dxa" w:w="4703"/>
            <w:vAlign w:val="top"/>
          </w:tcPr>
          <w:p>
            <w:pPr>
              <w:spacing w:before="60" w:after="60"/>
            </w:pPr>
            <w:r/>
            <w:r>
              <w:rPr>
                <w:rFonts w:ascii="Calibri" w:hAnsi="Calibri"/>
                <w:b w:val="0"/>
                <w:i w:val="0"/>
                <w:sz w:val="24"/>
              </w:rPr>
              <w:t>Lecture chiffrée synthétique</w:t>
            </w:r>
          </w:p>
        </w:tc>
        <w:tc>
          <w:tcPr>
            <w:tcW w:type="dxa" w:w="4703"/>
            <w:vAlign w:val="top"/>
          </w:tcPr>
          <w:p>
            <w:pPr>
              <w:spacing w:before="60" w:after="60"/>
            </w:pPr>
            <w:r/>
            <w:r>
              <w:rPr>
                <w:rFonts w:ascii="Calibri" w:hAnsi="Calibri"/>
                <w:b w:val="0"/>
                <w:i w:val="0"/>
                <w:sz w:val="24"/>
              </w:rPr>
              <w:t>61 % (v9.7) → 68 % (03/04) → 74 % (v10) → ≈86 % (v11) → ≈89 % (v12) → ≈90 % (v13) → ≈93 % (v14) → ≈94 % (v15 sur acquis Biblioteca) → ≈95 % (v16, lecture stabilisée). La progression v15 → v16 (+1 point en huit jours) est modeste mais nette : elle reflète la fermeture franche du chantier A du Painel (EA-05 messages d'erreur, EA-09 emprestimo_id terminologie, EA-13 vocabulaire technique affleurant à l'écran) et la requalification du chantier #153 en clos sur son volet code (Xavier-uploaded backlog v18), avec apparition de deux items résiduels propres (code mort `res.refused`, dé-duplication `notify-internal-task` `_shared`) à intégrer dans un éventuel chantier de finition.</w:t>
            </w:r>
          </w:p>
        </w:tc>
      </w:tr>
    </w:tbl>
    <w:p>
      <w:pPr>
        <w:spacing w:after="160"/>
      </w:pPr>
    </w:p>
    <w:p>
      <w:pPr>
        <w:spacing w:after="160"/>
      </w:pPr>
      <w:r>
        <w:rPr>
          <w:rFonts w:ascii="Calibri" w:hAnsi="Calibri"/>
          <w:i/>
          <w:color w:val="595959"/>
          <w:sz w:val="26"/>
        </w:rPr>
        <w:t>Document rédigé à partir des éléments effectivement transmis : dump SQL exact reçu ce soir et exploité après conversion UTF-16 → UTF-8 (épisode pénible mais sans impact sur le contenu), advisors Supabase consultés en direct, backlog v18 corrective de Xavier intégré, corpus de chantier 22-27 mai épluché. La v16 retrouve la précision du dump intégral qu'avait la v13 (la v14 et la v15 s'étaient appuyées sur un inventaire structuré sans dump intégral). Cette précision permet de revisiter une grandeur structurelle que la v15 n'avait pas chiffrée exactement faute de dump : la double nomenclature item_status (CHECK constraint en base) vs workflow_stage (matrice de transitions applicative), qui constitue le matériau du nouveau chapitre 0.</w:t>
      </w:r>
    </w:p>
    <w:p>
      <w:pPr>
        <w:keepNext/>
        <w:spacing w:before="360" w:after="160"/>
      </w:pPr>
      <w:r>
        <w:rPr>
          <w:rFonts w:ascii="Calibri" w:hAnsi="Calibri"/>
          <w:b/>
          <w:color w:val="2E74B5"/>
          <w:sz w:val="36"/>
        </w:rPr>
        <w:t>Sommaire de lecture</w:t>
      </w:r>
    </w:p>
    <w:p>
      <w:pPr>
        <w:spacing w:after="60"/>
        <w:ind w:left="283"/>
      </w:pPr>
      <w:r>
        <w:rPr>
          <w:rFonts w:ascii="Calibri" w:hAnsi="Calibri"/>
          <w:sz w:val="28"/>
        </w:rPr>
        <w:t>0. Doctrine, nomenclature et vocabulaire transverses (NOUVEAU en v16)</w:t>
      </w:r>
    </w:p>
    <w:p>
      <w:pPr>
        <w:spacing w:after="60"/>
        <w:ind w:left="283"/>
      </w:pPr>
      <w:r>
        <w:rPr>
          <w:rFonts w:ascii="Calibri" w:hAnsi="Calibri"/>
          <w:sz w:val="28"/>
        </w:rPr>
        <w:t>1. Résumé exécutif v14</w:t>
      </w:r>
    </w:p>
    <w:p>
      <w:pPr>
        <w:spacing w:after="60"/>
        <w:ind w:left="283"/>
      </w:pPr>
      <w:r>
        <w:rPr>
          <w:rFonts w:ascii="Calibri" w:hAnsi="Calibri"/>
          <w:sz w:val="28"/>
        </w:rPr>
        <w:t>2. Ce que la v14 change par rapport à la v13 : la mesure de la cadence</w:t>
      </w:r>
    </w:p>
    <w:p>
      <w:pPr>
        <w:spacing w:after="60"/>
        <w:ind w:left="283"/>
      </w:pPr>
      <w:r>
        <w:rPr>
          <w:rFonts w:ascii="Calibri" w:hAnsi="Calibri"/>
          <w:sz w:val="28"/>
        </w:rPr>
        <w:t>3. Cartographie quantifiée du backend, état au 19 mai 2026</w:t>
      </w:r>
    </w:p>
    <w:p>
      <w:pPr>
        <w:spacing w:after="60"/>
        <w:ind w:left="283"/>
      </w:pPr>
      <w:r>
        <w:rPr>
          <w:rFonts w:ascii="Calibri" w:hAnsi="Calibri"/>
          <w:sz w:val="28"/>
        </w:rPr>
        <w:t>4. La couche métier vue depuis le SQL : ce que la v14 confirme et précise</w:t>
      </w:r>
    </w:p>
    <w:p>
      <w:pPr>
        <w:spacing w:after="60"/>
        <w:ind w:left="283"/>
      </w:pPr>
      <w:r>
        <w:rPr>
          <w:rFonts w:ascii="Calibri" w:hAnsi="Calibri"/>
          <w:sz w:val="28"/>
        </w:rPr>
        <w:t>5. La sécurité backend : dette élargie mais qualifiée</w:t>
      </w:r>
    </w:p>
    <w:p>
      <w:pPr>
        <w:spacing w:after="60"/>
        <w:ind w:left="283"/>
      </w:pPr>
      <w:r>
        <w:rPr>
          <w:rFonts w:ascii="Calibri" w:hAnsi="Calibri"/>
          <w:sz w:val="28"/>
        </w:rPr>
        <w:t>6. La consultation locale : fermée, à mettre en lecture frontale</w:t>
      </w:r>
    </w:p>
    <w:p>
      <w:pPr>
        <w:spacing w:after="60"/>
        <w:ind w:left="283"/>
      </w:pPr>
      <w:r>
        <w:rPr>
          <w:rFonts w:ascii="Calibri" w:hAnsi="Calibri"/>
          <w:sz w:val="28"/>
        </w:rPr>
        <w:t>7. La couche notification : 16 triggers, 14 toggles, branchement renforcé</w:t>
      </w:r>
    </w:p>
    <w:p>
      <w:pPr>
        <w:spacing w:after="60"/>
        <w:ind w:left="283"/>
      </w:pPr>
      <w:r>
        <w:rPr>
          <w:rFonts w:ascii="Calibri" w:hAnsi="Calibri"/>
          <w:sz w:val="28"/>
        </w:rPr>
        <w:t>8. La dette d'index et de policies : remise à zéro statistique, FK à instrumenter</w:t>
      </w:r>
    </w:p>
    <w:p>
      <w:pPr>
        <w:spacing w:after="60"/>
        <w:ind w:left="283"/>
      </w:pPr>
      <w:r>
        <w:rPr>
          <w:rFonts w:ascii="Calibri" w:hAnsi="Calibri"/>
          <w:sz w:val="28"/>
        </w:rPr>
        <w:t>9. Doctrine v14 : ce que la cadence d'expansion change pour la fermeture</w:t>
      </w:r>
    </w:p>
    <w:p>
      <w:pPr>
        <w:spacing w:after="60"/>
        <w:ind w:left="283"/>
      </w:pPr>
      <w:r>
        <w:rPr>
          <w:rFonts w:ascii="Calibri" w:hAnsi="Calibri"/>
          <w:sz w:val="28"/>
        </w:rPr>
        <w:t>9. bis. Acquis doctrinaux du chantier Biblioteca (addendum v15)</w:t>
      </w:r>
    </w:p>
    <w:p>
      <w:pPr>
        <w:spacing w:after="60"/>
        <w:ind w:left="283"/>
      </w:pPr>
      <w:r>
        <w:rPr>
          <w:rFonts w:ascii="Calibri" w:hAnsi="Calibri"/>
          <w:sz w:val="28"/>
        </w:rPr>
        <w:t>9. ter. Acquis doctrinaux du chantier-cadre Painel (addendum v16)</w:t>
      </w:r>
    </w:p>
    <w:p>
      <w:pPr>
        <w:spacing w:after="60"/>
        <w:ind w:left="283"/>
      </w:pPr>
      <w:r>
        <w:rPr>
          <w:rFonts w:ascii="Calibri" w:hAnsi="Calibri"/>
          <w:sz w:val="28"/>
        </w:rPr>
        <w:t>10. Ordre d'exécution impératif v14, mis à jour v16</w:t>
      </w:r>
    </w:p>
    <w:p>
      <w:pPr>
        <w:spacing w:after="60"/>
        <w:ind w:left="283"/>
      </w:pPr>
      <w:r>
        <w:rPr>
          <w:rFonts w:ascii="Calibri" w:hAnsi="Calibri"/>
          <w:sz w:val="28"/>
        </w:rPr>
        <w:t>11. Registre des invariants, lignes rouges et arbitrages</w:t>
      </w:r>
    </w:p>
    <w:p>
      <w:pPr>
        <w:spacing w:after="60"/>
        <w:ind w:left="283"/>
      </w:pPr>
      <w:r>
        <w:rPr>
          <w:rFonts w:ascii="Calibri" w:hAnsi="Calibri"/>
          <w:sz w:val="28"/>
        </w:rPr>
        <w:t>12. Formule de clôture</w:t>
      </w:r>
    </w:p>
    <w:p>
      <w:pPr>
        <w:spacing w:after="60"/>
        <w:ind w:left="283"/>
      </w:pPr>
      <w:r>
        <w:rPr>
          <w:rFonts w:ascii="Calibri" w:hAnsi="Calibri"/>
          <w:sz w:val="28"/>
        </w:rPr>
        <w:t>13. Bilan chiffré final, lecture v16</w:t>
      </w:r>
    </w:p>
    <w:tbl>
      <w:tblPr>
        <w:tblStyle w:val="TableGrid"/>
        <w:tblW w:type="auto" w:w="0"/>
        <w:tblLayout w:type="autofit"/>
        <w:tblLook w:firstColumn="1" w:firstRow="1" w:lastColumn="0" w:lastRow="0" w:noHBand="0" w:noVBand="1" w:val="04A0"/>
      </w:tblPr>
      <w:tblGrid>
        <w:gridCol w:w="9406"/>
      </w:tblGrid>
      <w:tr>
        <w:tc>
          <w:tcPr>
            <w:tcW w:type="dxa" w:w="9406"/>
            <w:vAlign w:val="top"/>
            <w:shd w:val="clear" w:color="auto" w:fill="D9E2F3"/>
          </w:tcPr>
          <w:p>
            <w:pPr>
              <w:spacing w:before="60" w:after="60"/>
            </w:pPr>
            <w:r/>
            <w:r>
              <w:rPr>
                <w:rFonts w:ascii="Calibri" w:hAnsi="Calibri"/>
                <w:b/>
                <w:i w:val="0"/>
                <w:sz w:val="24"/>
              </w:rPr>
              <w:t>Formule courte du v16.</w:t>
            </w:r>
            <w:r>
              <w:rPr>
                <w:rFonts w:ascii="Calibri" w:hAnsi="Calibri"/>
                <w:b/>
                <w:i w:val="0"/>
                <w:sz w:val="24"/>
              </w:rPr>
              <w:t xml:space="preserve"> Huit jours après la v15, le projet ajoute un deuxième chantier-cadre — Painel — qui réplique sur la deuxième grande page du SIGB la méthode parité + audit doctrinal posée à Biblioteca. Le chantier A du Painel est clos (EA-05, EA-09, EA-13). Le dump SQL exact, retrouvé après absence depuis la v13, permet à la v16 d'inscrire au chapitre 0 une doctrine transverse que le projet portait sans la nommer : la double nomenclature item_status (vérification en base par CHECK constraint) / workflow_stage (matrice de transitions applicative, sans CHECK en base, contrôlée par fonction). Cette doctrine n'est pas une décision nouvelle : c'est l'inscription écrite de ce que la lecture exacte du dump du 27 mai confirme déjà comme schéma effectif. La fenêtre stratégique reste ouverte ; la v16 mesure que la cadence de jonction tient (un chantier-cadre toutes les deux à trois semaines), avec un coût backend modéré (consolidation plutôt qu'expansion).</w:t>
            </w:r>
          </w:p>
        </w:tc>
      </w:tr>
    </w:tbl>
    <w:p>
      <w:pPr>
        <w:spacing w:after="160"/>
      </w:pPr>
    </w:p>
    <w:p>
      <w:pPr>
        <w:keepNext/>
        <w:spacing w:before="480" w:after="240"/>
      </w:pPr>
      <w:r>
        <w:rPr>
          <w:rFonts w:ascii="Calibri" w:hAnsi="Calibri"/>
          <w:b/>
          <w:color w:val="1F4E79"/>
          <w:sz w:val="44"/>
        </w:rPr>
        <w:t>0. Doctrine, nomenclature et vocabulaire transverses (NOUVEAU en v16)</w:t>
      </w:r>
    </w:p>
    <w:p>
      <w:pPr>
        <w:spacing w:after="160"/>
      </w:pPr>
      <w:r>
        <w:rPr>
          <w:rFonts w:ascii="Calibri" w:hAnsi="Calibri"/>
          <w:i/>
          <w:color w:val="595959"/>
          <w:sz w:val="26"/>
        </w:rPr>
        <w:t>Cette section est nouvelle en v16. Elle inscrit une doctrine transverse que le projet AnarBib porte de longue date dans son code mais qui n'avait jamais été inscrite en Livre blanc. Elle est versée ici à l'invitation explicite du chantier-cadre Painel, qui a fait apparaître l'écart EA-06 (« double nomenclature statut / étape pour les consultations » [mineur]) et qui a appelé son arbitrage non pas par refonte schéma — aucune n'est nécessaire — mais par doctrinalisation : poser une fois pour toutes le sens des deux axes et leur articulation, pour que les écrans, les RPC et les mails parlent désormais la même langue.</w:t>
      </w:r>
    </w:p>
    <w:p>
      <w:pPr>
        <w:keepNext/>
        <w:spacing w:before="360" w:after="160"/>
      </w:pPr>
      <w:r>
        <w:rPr>
          <w:rFonts w:ascii="Calibri" w:hAnsi="Calibri"/>
          <w:b/>
          <w:color w:val="2E74B5"/>
          <w:sz w:val="36"/>
        </w:rPr>
        <w:t>0.1 La double nomenclature item_status / workflow_stage</w:t>
      </w:r>
    </w:p>
    <w:p>
      <w:pPr>
        <w:spacing w:before="0" w:after="160"/>
      </w:pPr>
      <w:r>
        <w:rPr>
          <w:rFonts w:ascii="Calibri" w:hAnsi="Calibri"/>
          <w:b w:val="0"/>
          <w:i w:val="0"/>
          <w:sz w:val="28"/>
        </w:rPr>
        <w:t>AnarBib distingue, pour chaque ligne de réservation, de consultation locale ou d'emprunt, deux axes distincts d'état :</w:t>
      </w:r>
    </w:p>
    <w:p>
      <w:pPr>
        <w:spacing w:before="0" w:after="160"/>
      </w:pPr>
      <w:r>
        <w:rPr>
          <w:rFonts w:ascii="Calibri" w:hAnsi="Calibri"/>
          <w:b w:val="0"/>
          <w:i w:val="0"/>
          <w:sz w:val="28"/>
        </w:rPr>
        <w:t xml:space="preserve">— </w:t>
      </w:r>
      <w:r>
        <w:rPr>
          <w:rFonts w:ascii="Calibri" w:hAnsi="Calibri"/>
          <w:b/>
          <w:i w:val="0"/>
          <w:sz w:val="28"/>
        </w:rPr>
        <w:t xml:space="preserve">item_status — issue de la demande (axe vie / mort de la ligne). </w:t>
      </w:r>
      <w:r>
        <w:rPr>
          <w:rFonts w:ascii="Calibri" w:hAnsi="Calibri"/>
          <w:b w:val="0"/>
          <w:i w:val="0"/>
          <w:sz w:val="28"/>
        </w:rPr>
        <w:t xml:space="preserve">C'est l'état de cycle de vie de la ligne, contrôlé par CHECK constraint en base de données. Une ligne est nécessairement dans un et un seul de ces états, et leurs transitions sont strictement gardées par la base elle-même. L'item_status répond à la question : </w:t>
      </w:r>
      <w:r>
        <w:rPr>
          <w:rFonts w:ascii="Calibri" w:hAnsi="Calibri"/>
          <w:b w:val="0"/>
          <w:i/>
          <w:sz w:val="28"/>
        </w:rPr>
        <w:t>« cette demande est-elle vivante ? a-t-elle abouti ? est-elle morte ? »</w:t>
      </w:r>
    </w:p>
    <w:p>
      <w:pPr>
        <w:spacing w:before="0" w:after="160"/>
      </w:pPr>
      <w:r>
        <w:rPr>
          <w:rFonts w:ascii="Calibri" w:hAnsi="Calibri"/>
          <w:b w:val="0"/>
          <w:i w:val="0"/>
          <w:sz w:val="28"/>
        </w:rPr>
        <w:t xml:space="preserve">— </w:t>
      </w:r>
      <w:r>
        <w:rPr>
          <w:rFonts w:ascii="Calibri" w:hAnsi="Calibri"/>
          <w:b/>
          <w:i w:val="0"/>
          <w:sz w:val="28"/>
        </w:rPr>
        <w:t xml:space="preserve">workflow_stage — état d'avancement (axe intra-vie de la ligne). </w:t>
      </w:r>
      <w:r>
        <w:rPr>
          <w:rFonts w:ascii="Calibri" w:hAnsi="Calibri"/>
          <w:b w:val="0"/>
          <w:i w:val="0"/>
          <w:sz w:val="28"/>
        </w:rPr>
        <w:t xml:space="preserve">C'est l'étape métier en cours, sans CHECK constraint en base. La colonne est de type texte avec un DEFAULT à la valeur d'entrée du workflow, et les transitions autorisées sont contrôlées par des fonctions de validation applicative (`fn_check_workflow_transition` pour les réservations, `fn_check_consulta_transition` pour les consultations, etc.). Le workflow_stage répond à la question : </w:t>
      </w:r>
      <w:r>
        <w:rPr>
          <w:rFonts w:ascii="Calibri" w:hAnsi="Calibri"/>
          <w:b w:val="0"/>
          <w:i/>
          <w:sz w:val="28"/>
        </w:rPr>
        <w:t>« où en est-on dans le déroulé concret de la demande encore vivante ? »</w:t>
      </w:r>
    </w:p>
    <w:p>
      <w:pPr>
        <w:spacing w:before="0" w:after="160"/>
      </w:pPr>
      <w:r>
        <w:rPr>
          <w:rFonts w:ascii="Calibri" w:hAnsi="Calibri"/>
          <w:b w:val="0"/>
          <w:i w:val="0"/>
          <w:sz w:val="28"/>
        </w:rPr>
        <w:t>Les deux axes sont orthogonaux. La même ligne peut avoir un `item_status = ativa` (encore vivante) avec un `workflow_stage` qui évolue : `solicitada → retirada_agendada → retirada_confirmada → emprestimo_emitido`. À chaque étape de l'axe workflow, l'item_status reste `ativa`. La fin du workflow (l'aboutissement) bascule l'item_status à `convertida_em_emprestimo` ou `consultada`, et le workflow_stage cesse alors d'évoluer. Une annulation par le lecteur ou par la bibliothèque bascule l'item_status à `cancelada_leitor` ou `cancelada_biblioteca` ; le workflow_stage est figé à sa dernière valeur connue, en témoin de l'endroit où la demande a été interrompue.</w:t>
      </w:r>
    </w:p>
    <w:p>
      <w:pPr>
        <w:keepNext/>
        <w:spacing w:before="360" w:after="160"/>
      </w:pPr>
      <w:r>
        <w:rPr>
          <w:rFonts w:ascii="Calibri" w:hAnsi="Calibri"/>
          <w:b/>
          <w:color w:val="2E74B5"/>
          <w:sz w:val="36"/>
        </w:rPr>
        <w:t>0.2 Tableau de correspondance, lu sur le dump du 27 mai 2026</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vAlign w:val="top"/>
            <w:shd w:val="clear" w:color="auto" w:fill="D9E2F3"/>
          </w:tcPr>
          <w:p>
            <w:pPr>
              <w:spacing w:before="60" w:after="60"/>
            </w:pPr>
            <w:r/>
            <w:r>
              <w:rPr>
                <w:rFonts w:ascii="Calibri" w:hAnsi="Calibri"/>
                <w:b/>
                <w:i w:val="0"/>
                <w:sz w:val="24"/>
              </w:rPr>
              <w:t>Table</w:t>
            </w:r>
          </w:p>
        </w:tc>
        <w:tc>
          <w:tcPr>
            <w:tcW w:type="dxa" w:w="3135"/>
            <w:vAlign w:val="top"/>
            <w:shd w:val="clear" w:color="auto" w:fill="D9E2F3"/>
          </w:tcPr>
          <w:p>
            <w:pPr>
              <w:spacing w:before="60" w:after="60"/>
            </w:pPr>
            <w:r/>
            <w:r>
              <w:rPr>
                <w:rFonts w:ascii="Calibri" w:hAnsi="Calibri"/>
                <w:b/>
                <w:i w:val="0"/>
                <w:sz w:val="24"/>
              </w:rPr>
              <w:t>item_status (CHECK constraint en base)</w:t>
            </w:r>
          </w:p>
        </w:tc>
        <w:tc>
          <w:tcPr>
            <w:tcW w:type="dxa" w:w="3135"/>
            <w:vAlign w:val="top"/>
            <w:shd w:val="clear" w:color="auto" w:fill="D9E2F3"/>
          </w:tcPr>
          <w:p>
            <w:pPr>
              <w:spacing w:before="60" w:after="60"/>
            </w:pPr>
            <w:r/>
            <w:r>
              <w:rPr>
                <w:rFonts w:ascii="Calibri" w:hAnsi="Calibri"/>
                <w:b/>
                <w:i w:val="0"/>
                <w:sz w:val="24"/>
              </w:rPr>
              <w:t>workflow_stage (text, sans CHECK ; matrice applicative)</w:t>
            </w:r>
          </w:p>
        </w:tc>
      </w:tr>
      <w:tr>
        <w:tc>
          <w:tcPr>
            <w:tcW w:type="dxa" w:w="3135"/>
            <w:vAlign w:val="top"/>
          </w:tcPr>
          <w:p>
            <w:pPr>
              <w:spacing w:before="60" w:after="60"/>
            </w:pPr>
            <w:r/>
            <w:r>
              <w:rPr>
                <w:rFonts w:ascii="Calibri" w:hAnsi="Calibri"/>
                <w:b w:val="0"/>
                <w:i w:val="0"/>
                <w:sz w:val="24"/>
              </w:rPr>
              <w:t>`reserva_linhas_v2`</w:t>
            </w:r>
          </w:p>
        </w:tc>
        <w:tc>
          <w:tcPr>
            <w:tcW w:type="dxa" w:w="3135"/>
            <w:vAlign w:val="top"/>
          </w:tcPr>
          <w:p>
            <w:pPr>
              <w:spacing w:before="60" w:after="60"/>
            </w:pPr>
            <w:r/>
            <w:r>
              <w:rPr>
                <w:rFonts w:ascii="Calibri" w:hAnsi="Calibri"/>
                <w:b w:val="0"/>
                <w:i w:val="0"/>
                <w:sz w:val="24"/>
              </w:rPr>
              <w:t>`ativa`, `convertida_em_emprestimo`, `cancelada_leitor`, `cancelada_biblioteca`, `expirada`, `liberada_para_circulacao`</w:t>
            </w:r>
          </w:p>
        </w:tc>
        <w:tc>
          <w:tcPr>
            <w:tcW w:type="dxa" w:w="3135"/>
            <w:vAlign w:val="top"/>
          </w:tcPr>
          <w:p>
            <w:pPr>
              <w:spacing w:before="60" w:after="60"/>
            </w:pPr>
            <w:r/>
            <w:r>
              <w:rPr>
                <w:rFonts w:ascii="Calibri" w:hAnsi="Calibri"/>
                <w:b w:val="0"/>
                <w:i w:val="0"/>
                <w:sz w:val="24"/>
              </w:rPr>
              <w:t>`solicitada` (DEFAULT) → `retirada_agendada`, `re-retirada_agendada`, `retirada_a_combinar`, `retirada_confirmada`, `retirada_no_show`, `emprestimo_emitido` (matrice `fn_check_workflow_transition`)</w:t>
            </w:r>
          </w:p>
        </w:tc>
      </w:tr>
      <w:tr>
        <w:tc>
          <w:tcPr>
            <w:tcW w:type="dxa" w:w="3135"/>
            <w:vAlign w:val="top"/>
          </w:tcPr>
          <w:p>
            <w:pPr>
              <w:spacing w:before="60" w:after="60"/>
            </w:pPr>
            <w:r/>
            <w:r>
              <w:rPr>
                <w:rFonts w:ascii="Calibri" w:hAnsi="Calibri"/>
                <w:b w:val="0"/>
                <w:i w:val="0"/>
                <w:sz w:val="24"/>
              </w:rPr>
              <w:t>`consulta_linhas_v2`</w:t>
            </w:r>
          </w:p>
        </w:tc>
        <w:tc>
          <w:tcPr>
            <w:tcW w:type="dxa" w:w="3135"/>
            <w:vAlign w:val="top"/>
          </w:tcPr>
          <w:p>
            <w:pPr>
              <w:spacing w:before="60" w:after="60"/>
            </w:pPr>
            <w:r/>
            <w:r>
              <w:rPr>
                <w:rFonts w:ascii="Calibri" w:hAnsi="Calibri"/>
                <w:b w:val="0"/>
                <w:i w:val="0"/>
                <w:sz w:val="24"/>
              </w:rPr>
              <w:t>`ativa`, `consultada`, `cancelada_leitor`, `cancelada_biblioteca`, `expirada`</w:t>
            </w:r>
          </w:p>
        </w:tc>
        <w:tc>
          <w:tcPr>
            <w:tcW w:type="dxa" w:w="3135"/>
            <w:vAlign w:val="top"/>
          </w:tcPr>
          <w:p>
            <w:pPr>
              <w:spacing w:before="60" w:after="60"/>
            </w:pPr>
            <w:r/>
            <w:r>
              <w:rPr>
                <w:rFonts w:ascii="Calibri" w:hAnsi="Calibri"/>
                <w:b w:val="0"/>
                <w:i w:val="0"/>
                <w:sz w:val="24"/>
              </w:rPr>
              <w:t>`solicitada` (DEFAULT) → `consulta_agendada`, `consulta_a_combinar`, `consulta_confirmada`, `consulta_no_show`, `consultada_em_local` (matrice `fn_check_consulta_transition`)</w:t>
            </w:r>
          </w:p>
        </w:tc>
      </w:tr>
      <w:tr>
        <w:tc>
          <w:tcPr>
            <w:tcW w:type="dxa" w:w="3135"/>
            <w:vAlign w:val="top"/>
          </w:tcPr>
          <w:p>
            <w:pPr>
              <w:spacing w:before="60" w:after="60"/>
            </w:pPr>
            <w:r/>
            <w:r>
              <w:rPr>
                <w:rFonts w:ascii="Calibri" w:hAnsi="Calibri"/>
                <w:b w:val="0"/>
                <w:i w:val="0"/>
                <w:sz w:val="24"/>
              </w:rPr>
              <w:t>`emprestimo_itens_v2`</w:t>
            </w:r>
          </w:p>
        </w:tc>
        <w:tc>
          <w:tcPr>
            <w:tcW w:type="dxa" w:w="3135"/>
            <w:vAlign w:val="top"/>
          </w:tcPr>
          <w:p>
            <w:pPr>
              <w:spacing w:before="60" w:after="60"/>
            </w:pPr>
            <w:r/>
            <w:r>
              <w:rPr>
                <w:rFonts w:ascii="Calibri" w:hAnsi="Calibri"/>
                <w:b w:val="0"/>
                <w:i w:val="0"/>
                <w:sz w:val="24"/>
              </w:rPr>
              <w:t>`aberto`, `devolvido`</w:t>
            </w:r>
          </w:p>
        </w:tc>
        <w:tc>
          <w:tcPr>
            <w:tcW w:type="dxa" w:w="3135"/>
            <w:vAlign w:val="top"/>
          </w:tcPr>
          <w:p>
            <w:pPr>
              <w:spacing w:before="60" w:after="60"/>
            </w:pPr>
            <w:r/>
            <w:r>
              <w:rPr>
                <w:rFonts w:ascii="Calibri" w:hAnsi="Calibri"/>
                <w:b w:val="0"/>
                <w:i w:val="0"/>
                <w:sz w:val="24"/>
              </w:rPr>
              <w:t>(axe distinct) `return_schedule_status` CHECK : `sem_agendamento`, `devolucao_agendada`, `devolucao_realizada`, `devolucao_nao_realizada`, `emprestimo_prorrogado`</w:t>
            </w:r>
          </w:p>
        </w:tc>
      </w:tr>
    </w:tbl>
    <w:p>
      <w:pPr>
        <w:spacing w:after="160"/>
      </w:pPr>
    </w:p>
    <w:p>
      <w:pPr>
        <w:spacing w:before="0" w:after="160"/>
      </w:pPr>
      <w:r>
        <w:rPr>
          <w:rFonts w:ascii="Calibri" w:hAnsi="Calibri"/>
          <w:b w:val="0"/>
          <w:i w:val="0"/>
          <w:sz w:val="28"/>
        </w:rPr>
        <w:t>Le cas des emprunts illustre une variante méthodologique : il n'y a pas de `workflow_stage` distinct (le cycle de vie d'un emprunt est intrinsèquement court), mais une colonne d'agenda de retour (`return_schedule_status`) qui suit la même logique d'axe métier intra-vie. La doctrine est la même : l'item_status est verrouillé en base par CHECK, l'agenda secondaire l'est aussi (parce que ses valeurs sont stables et peu nombreuses), et les transitions sont contrôlées par les RPC v2 (`fn_v2_schedule_emprestimo_return`, `fn_v2_clear_emprestimo_return_schedule`, `fn_v2_mark_emprestimo_return_missed`).</w:t>
      </w:r>
    </w:p>
    <w:p>
      <w:pPr>
        <w:keepNext/>
        <w:spacing w:before="360" w:after="160"/>
      </w:pPr>
      <w:r>
        <w:rPr>
          <w:rFonts w:ascii="Calibri" w:hAnsi="Calibri"/>
          <w:b/>
          <w:color w:val="2E74B5"/>
          <w:sz w:val="36"/>
        </w:rPr>
        <w:t>0.3 Une seule décision politique tenue par cette doctrine</w:t>
      </w:r>
    </w:p>
    <w:p>
      <w:pPr>
        <w:spacing w:before="0" w:after="160"/>
      </w:pPr>
      <w:r>
        <w:rPr>
          <w:rFonts w:ascii="Calibri" w:hAnsi="Calibri"/>
          <w:b w:val="0"/>
          <w:i w:val="0"/>
          <w:sz w:val="28"/>
        </w:rPr>
        <w:t>Le choix de ne pas mettre de CHECK constraint sur `workflow_stage` n'est pas une absence : c'est une décision politique. Une matrice de transitions est par nature évolutive — l'ouverture du chantier consultations en mai 2026 a ajouté deux étapes (consulta_a_combinar, consulta_no_show) à la matrice consultations sans toucher au schéma. Une CHECK constraint sur workflow_stage aurait imposé une migration de schéma à chaque ajout d'étape, ce qui était disproportionné au regard du gain de sécurité (les transitions étant déjà gardées par la fonction `fn_check_*_transition` appelée par toutes les RPC d'écriture). L'item_status, à l'inverse, change rarement — les six valeurs de `reserva_linhas_v2` n'ont pas bougé depuis la v2 — et la CHECK constraint y est appropriée parce qu'elle agit comme garde-fou ultime : aucune RPC, même boguée, ne peut jamais faire passer une ligne dans un état que la base elle-même n'accepte pas.</w:t>
      </w:r>
    </w:p>
    <w:p>
      <w:pPr>
        <w:keepNext/>
        <w:spacing w:before="360" w:after="160"/>
      </w:pPr>
      <w:r>
        <w:rPr>
          <w:rFonts w:ascii="Calibri" w:hAnsi="Calibri"/>
          <w:b/>
          <w:color w:val="2E74B5"/>
          <w:sz w:val="36"/>
        </w:rPr>
        <w:t>0.4 La leçon du bug du 26 mai 2026 (BUG_resa_terminale_classee_active)</w:t>
      </w:r>
    </w:p>
    <w:p>
      <w:pPr>
        <w:spacing w:before="0" w:after="160"/>
      </w:pPr>
      <w:r>
        <w:rPr>
          <w:rFonts w:ascii="Calibri" w:hAnsi="Calibri"/>
          <w:b w:val="0"/>
          <w:i w:val="0"/>
          <w:sz w:val="28"/>
        </w:rPr>
        <w:t>Le 26 mai 2026, un bug a été identifié et documenté (`docs/decisions/BUG_resa_terminale_classee_active_2026-05-26.md`) : une réservation terminale (avec un workflow_stage à `retirada_no_show`, donc dans une étape de fin de parcours) apparaissait classée comme « active » dans l'onglet Réservations du painel. Le diagnostic a établi que le frontend filtrait sur `item_status = 'ativa'` (correct pour l'axe vie/mort) mais que la conversion vers la branche « emprunt émis » (qui aurait fait passer item_status à `convertida_em_emprestimo`) n'avait jamais eu lieu — la ligne était bien restée `ativa` côté item_status alors que son workflow était terminal. La confusion résultait d'une lecture maladroite : on attendait que l'item_status reflète l'épuisement du workflow, alors que ce n'est pas son rôle. L'item_status reflète l'issue de la demande, pas l'épuisement de ses étapes. Une réservation `retirada_no_show` reste `ativa` jusqu'à ce qu'une action explicite la résolve (annulation, ré-agendage, conversion en emprunt, expiration). Ce bug a déjà été corrigé sur le code, mais sa leçon doctrinale est versée ici parce qu'elle illustre exactement l'écart EA-06 : sans doctrine inscrite, le frontend re-fabrique localement une lecture qui croit l'item_status indicatif de tout, alors qu'il n'est que l'un des deux axes.</w:t>
      </w:r>
    </w:p>
    <w:p>
      <w:pPr>
        <w:keepNext/>
        <w:spacing w:before="360" w:after="160"/>
      </w:pPr>
      <w:r>
        <w:rPr>
          <w:rFonts w:ascii="Calibri" w:hAnsi="Calibri"/>
          <w:b/>
          <w:color w:val="2E74B5"/>
          <w:sz w:val="36"/>
        </w:rPr>
        <w:t>0.5 Recommandation transversale</w:t>
      </w:r>
    </w:p>
    <w:p>
      <w:pPr>
        <w:spacing w:before="0" w:after="160"/>
      </w:pPr>
      <w:r>
        <w:rPr>
          <w:rFonts w:ascii="Calibri" w:hAnsi="Calibri"/>
          <w:b w:val="0"/>
          <w:i w:val="0"/>
          <w:sz w:val="28"/>
        </w:rPr>
        <w:t>Pour les écrans, les RPC et les mails, AnarBib doit désormais respecter trois règles dérivées de cette doctrine :</w:t>
      </w:r>
    </w:p>
    <w:p>
      <w:pPr>
        <w:spacing w:before="0" w:after="160"/>
      </w:pPr>
      <w:r>
        <w:rPr>
          <w:rFonts w:ascii="Calibri" w:hAnsi="Calibri"/>
          <w:b w:val="0"/>
          <w:i w:val="0"/>
          <w:sz w:val="28"/>
        </w:rPr>
        <w:t xml:space="preserve">— </w:t>
      </w:r>
      <w:r>
        <w:rPr>
          <w:rFonts w:ascii="Calibri" w:hAnsi="Calibri"/>
          <w:b/>
          <w:i w:val="0"/>
          <w:sz w:val="28"/>
        </w:rPr>
        <w:t xml:space="preserve">Filtrage en deux temps : </w:t>
      </w:r>
      <w:r>
        <w:rPr>
          <w:rFonts w:ascii="Calibri" w:hAnsi="Calibri"/>
          <w:b w:val="0"/>
          <w:i w:val="0"/>
          <w:sz w:val="28"/>
        </w:rPr>
        <w:t xml:space="preserve">un filtre « actives » filtre par `item_status = 'ativa'`. Si l'écran veut isoler les actives encore en début de parcours (à traiter), il filtre </w:t>
      </w:r>
      <w:r>
        <w:rPr>
          <w:rFonts w:ascii="Calibri" w:hAnsi="Calibri"/>
          <w:b/>
          <w:i w:val="0"/>
          <w:sz w:val="28"/>
        </w:rPr>
        <w:t>en plus</w:t>
      </w:r>
      <w:r>
        <w:rPr>
          <w:rFonts w:ascii="Calibri" w:hAnsi="Calibri"/>
          <w:b w:val="0"/>
          <w:i w:val="0"/>
          <w:sz w:val="28"/>
        </w:rPr>
        <w:t xml:space="preserve"> par `workflow_stage IN (...)`. L'item_status seul ne classe pas un parcours par avancement.</w:t>
      </w:r>
    </w:p>
    <w:p>
      <w:pPr>
        <w:spacing w:before="0" w:after="160"/>
      </w:pPr>
      <w:r>
        <w:rPr>
          <w:rFonts w:ascii="Calibri" w:hAnsi="Calibri"/>
          <w:b w:val="0"/>
          <w:i w:val="0"/>
          <w:sz w:val="28"/>
        </w:rPr>
        <w:t xml:space="preserve">— </w:t>
      </w:r>
      <w:r>
        <w:rPr>
          <w:rFonts w:ascii="Calibri" w:hAnsi="Calibri"/>
          <w:b/>
          <w:i w:val="0"/>
          <w:sz w:val="28"/>
        </w:rPr>
        <w:t xml:space="preserve">Mails et notifications : </w:t>
      </w:r>
      <w:r>
        <w:rPr>
          <w:rFonts w:ascii="Calibri" w:hAnsi="Calibri"/>
          <w:b w:val="0"/>
          <w:i w:val="0"/>
          <w:sz w:val="28"/>
        </w:rPr>
        <w:t>le sujet et l'attaque d'un mail sont déterminés par le `workflow_stage` (« votre retrait a été planifié pour le mercredi 22 mai à 14h »), tandis que la mention finale d'état (« cette demande reste active jusqu'à confirmation ») est déterminée par l'`item_status`. Mélanger les deux axes dans un même mail produit des phrases incohérentes (« votre demande consultée a été planifiée »).</w:t>
      </w:r>
    </w:p>
    <w:p>
      <w:pPr>
        <w:spacing w:before="0" w:after="160"/>
      </w:pPr>
      <w:r>
        <w:rPr>
          <w:rFonts w:ascii="Calibri" w:hAnsi="Calibri"/>
          <w:b w:val="0"/>
          <w:i w:val="0"/>
          <w:sz w:val="28"/>
        </w:rPr>
        <w:t xml:space="preserve">— </w:t>
      </w:r>
      <w:r>
        <w:rPr>
          <w:rFonts w:ascii="Calibri" w:hAnsi="Calibri"/>
          <w:b/>
          <w:i w:val="0"/>
          <w:sz w:val="28"/>
        </w:rPr>
        <w:t xml:space="preserve">Vocabulaire utilisateur : </w:t>
      </w:r>
      <w:r>
        <w:rPr>
          <w:rFonts w:ascii="Calibri" w:hAnsi="Calibri"/>
          <w:b w:val="0"/>
          <w:i w:val="0"/>
          <w:sz w:val="28"/>
        </w:rPr>
        <w:t>les libellés d'écran doivent refléter l'axe sémantique exact. « Active » et « en cours » se réfèrent à l'item_status ; « en attente de retrait », « consultation planifiée », « non retirée » se réfèrent au workflow_stage. Le chantier EA-13 du chantier-cadre Painel (clos 27 mai) a posé le vocabulaire arbitré pour cinq clés réellement utiles, dans les huit locales du projet. Toute extension future de vocabulaire de statut doit s'inscrire dans cette même grille.</w:t>
      </w:r>
    </w:p>
    <w:tbl>
      <w:tblPr>
        <w:tblStyle w:val="TableGrid"/>
        <w:tblW w:type="auto" w:w="0"/>
        <w:tblLayout w:type="autofit"/>
        <w:tblLook w:firstColumn="1" w:firstRow="1" w:lastColumn="0" w:lastRow="0" w:noHBand="0" w:noVBand="1" w:val="04A0"/>
      </w:tblPr>
      <w:tblGrid>
        <w:gridCol w:w="9406"/>
      </w:tblGrid>
      <w:tr>
        <w:tc>
          <w:tcPr>
            <w:tcW w:type="dxa" w:w="9406"/>
            <w:vAlign w:val="top"/>
            <w:shd w:val="clear" w:color="auto" w:fill="D9E2F3"/>
          </w:tcPr>
          <w:p>
            <w:pPr>
              <w:spacing w:before="60" w:after="60"/>
            </w:pPr>
            <w:r/>
            <w:r>
              <w:rPr>
                <w:rFonts w:ascii="Calibri" w:hAnsi="Calibri"/>
                <w:b/>
                <w:i w:val="0"/>
                <w:sz w:val="24"/>
              </w:rPr>
              <w:t>Doctrine transversale v16, actée 27 mai 2026.</w:t>
            </w:r>
            <w:r>
              <w:rPr>
                <w:rFonts w:ascii="Calibri" w:hAnsi="Calibri"/>
                <w:b/>
                <w:i w:val="0"/>
                <w:sz w:val="24"/>
              </w:rPr>
              <w:t xml:space="preserve"> AnarBib distingue strictement, pour toute ligne de circulation (réservations, consultations locales, emprunts), deux axes orthogonaux : </w:t>
            </w:r>
            <w:r>
              <w:rPr>
                <w:rFonts w:ascii="Calibri" w:hAnsi="Calibri"/>
                <w:b/>
                <w:i w:val="0"/>
                <w:sz w:val="24"/>
              </w:rPr>
              <w:t>item_status</w:t>
            </w:r>
            <w:r>
              <w:rPr>
                <w:rFonts w:ascii="Calibri" w:hAnsi="Calibri"/>
                <w:b/>
                <w:i w:val="0"/>
                <w:sz w:val="24"/>
              </w:rPr>
              <w:t xml:space="preserve">, vérifié en base par CHECK constraint, qui répond à la question de l'issue de la demande (vive, aboutie, annulée, expirée) ; </w:t>
            </w:r>
            <w:r>
              <w:rPr>
                <w:rFonts w:ascii="Calibri" w:hAnsi="Calibri"/>
                <w:b/>
                <w:i w:val="0"/>
                <w:sz w:val="24"/>
              </w:rPr>
              <w:t>workflow_stage</w:t>
            </w:r>
            <w:r>
              <w:rPr>
                <w:rFonts w:ascii="Calibri" w:hAnsi="Calibri"/>
                <w:b/>
                <w:i w:val="0"/>
                <w:sz w:val="24"/>
              </w:rPr>
              <w:t>, contrôlé par matrice de transitions applicative (sans CHECK en base), qui répond à la question de l'avancement de la demande encore vivante. Cette doctrine est transversale : elle s'applique aux réservations, aux consultations, aux emprunts (avec variante `return_schedule_status`), et à toute future couche métier introduite avec un cycle de vie composite. Les écrans, RPC et mails respectent en toutes circonstances la dualité des deux axes.</w:t>
            </w:r>
          </w:p>
        </w:tc>
      </w:tr>
    </w:tbl>
    <w:p>
      <w:pPr>
        <w:spacing w:after="160"/>
      </w:pPr>
    </w:p>
    <w:p>
      <w:pPr>
        <w:keepNext/>
        <w:spacing w:before="480" w:after="240"/>
      </w:pPr>
      <w:r>
        <w:rPr>
          <w:rFonts w:ascii="Calibri" w:hAnsi="Calibri"/>
          <w:b/>
          <w:color w:val="1F4E79"/>
          <w:sz w:val="44"/>
        </w:rPr>
        <w:t>1. Résumé exécutif v14</w:t>
      </w:r>
    </w:p>
    <w:p>
      <w:pPr>
        <w:spacing w:before="0" w:after="160"/>
      </w:pPr>
      <w:r>
        <w:rPr>
          <w:rFonts w:ascii="Calibri" w:hAnsi="Calibri"/>
          <w:b w:val="0"/>
          <w:i w:val="0"/>
          <w:sz w:val="28"/>
        </w:rPr>
        <w:t>La v13, datée du 30 avril 2026 au soir, livrait la première cartographie exacte du backend AnarBib à partir d'un dump schema.sql complet de 29 378 lignes. La v14, datée du 19 mai 2026, ne réintroduit pas le dump complet — l'inventaire SQL ciblé suffit à la mise à jour — mais elle livre la première comparaison chiffrée v_n vs v_n-1 dans la série des Livres blancs. Cette comparaison change peu la doctrine, mais elle révèle une vérité que les versions antérieures ne pouvaient pas mesurer : entre le 30 avril et le 19 mai 2026, le backend d'AnarBib a continué de croître à une cadence soutenue, livré par paquets de chantier majeur, et atteint un volume tel qu'aucune lecture future ne pourra se faire sans un outillage de comparaison versionnée.</w:t>
      </w:r>
    </w:p>
    <w:p>
      <w:pPr>
        <w:spacing w:before="0" w:after="160"/>
      </w:pPr>
      <w:r>
        <w:rPr>
          <w:rFonts w:ascii="Calibri" w:hAnsi="Calibri"/>
          <w:b w:val="0"/>
          <w:i w:val="0"/>
          <w:sz w:val="28"/>
        </w:rPr>
        <w:t>Le backend d'AnarBib s'établit, au 19 mai, à 107 tables (vs 89 en v13, soit +18), 72 vues (vs 59, soit +13), 373 fonctions (vs 291, soit +82) dont 250 SECURITY DEFINER (vs 167, soit +83), 79 triggers (vs 52, soit +27), 144 policies RLS (vs 108, soit +36), 384 indexes (vs 210, soit +174), 187 clés étrangères (vs 148, soit +39). La densité documentaire des commentaires SQL a continué de progresser : commentaires explicitant les paliers de révocation (palier 2, 3, 4, 5a, 5c), commentaires d'archivage (paquet L.10), commentaires de gouvernance (référence spec-gouvernance-roles.md, spec-administrateur-reseau.md, spec-profils-bibliotheque.md). Cette densité documentaire est, en elle-même, un indicateur de maturité backend qui contraste avec ce que l'on observe côté frontend, comme la suite l'expose.</w:t>
      </w:r>
    </w:p>
    <w:p>
      <w:pPr>
        <w:spacing w:before="0" w:after="160"/>
      </w:pPr>
      <w:r>
        <w:rPr>
          <w:rFonts w:ascii="Calibri" w:hAnsi="Calibri"/>
          <w:b w:val="0"/>
          <w:i w:val="0"/>
          <w:sz w:val="28"/>
        </w:rPr>
        <w:t>Cinq constats nouveaux émergent de la lecture v14, qui méritent d'être nommés.</w:t>
      </w:r>
    </w:p>
    <w:p>
      <w:pPr>
        <w:spacing w:before="0" w:after="160"/>
      </w:pPr>
      <w:r>
        <w:rPr>
          <w:rFonts w:ascii="Calibri" w:hAnsi="Calibri"/>
          <w:b w:val="0"/>
          <w:i w:val="0"/>
          <w:sz w:val="28"/>
        </w:rPr>
        <w:t xml:space="preserve">— </w:t>
      </w:r>
      <w:r>
        <w:rPr>
          <w:rFonts w:ascii="Calibri" w:hAnsi="Calibri"/>
          <w:b/>
          <w:i w:val="0"/>
          <w:sz w:val="28"/>
        </w:rPr>
        <w:t xml:space="preserve">Premier constat : la consultation locale est fermée backend, conformément à la prédiction v13. </w:t>
      </w:r>
      <w:r>
        <w:rPr>
          <w:rFonts w:ascii="Calibri" w:hAnsi="Calibri"/>
          <w:b w:val="0"/>
          <w:i w:val="0"/>
          <w:sz w:val="28"/>
        </w:rPr>
        <w:t>Les deux triggers que la v13 désignait comme manquants — trg_notify_consulta_workflow sur consulta_item_workflow_v2, et un pendant lifecycle qu'elle n'avait pas explicité — existent désormais en production : trg_notify_consulta_workflow et trg_notify_consulta_lifecycle. Trois RPC api ont été ajoutées en couche fine : advance_consulta, cancel_consulta_as_reader, create_consulta_local, dismiss_consulta_cancelled, reply_consulta_schedule. La séquence #2 de l'ordre d'exécution v13 (« fermeture propre de la branche consultation locale ») peut être considérée comme bouclée backend. Reste, en lecture frontale, le branchement complet du painel adaptatif sur les nouveaux statuts de consultation, qui constitue une séquence frontend distincte.</w:t>
      </w:r>
    </w:p>
    <w:p>
      <w:pPr>
        <w:spacing w:before="0" w:after="160"/>
      </w:pPr>
      <w:r>
        <w:rPr>
          <w:rFonts w:ascii="Calibri" w:hAnsi="Calibri"/>
          <w:b w:val="0"/>
          <w:i w:val="0"/>
          <w:sz w:val="28"/>
        </w:rPr>
        <w:t xml:space="preserve">— </w:t>
      </w:r>
      <w:r>
        <w:rPr>
          <w:rFonts w:ascii="Calibri" w:hAnsi="Calibri"/>
          <w:b/>
          <w:i w:val="0"/>
          <w:sz w:val="28"/>
        </w:rPr>
        <w:t xml:space="preserve">Deuxième constat : cinq des six vues SECURITY DEFINER critiques de v13 ont été basculées en INVOKER. </w:t>
      </w:r>
      <w:r>
        <w:rPr>
          <w:rFonts w:ascii="Calibri" w:hAnsi="Calibri"/>
          <w:b w:val="0"/>
          <w:i w:val="0"/>
          <w:sz w:val="28"/>
        </w:rPr>
        <w:t>La v13 identifiait quatre vues ERROR (v_libraries_for_signup, api.catalog_list_anon_v1, api.catalog_list_session_v1, api.books_count_v1) plus deux vues SECURITY DEFINER à inspecter (catalog_book_detail_public_v2 et catalog_books_public_v2). La v14 mesure le résultat : la quasi-totalité de la couche api est désormais en INVOKER explicite (security_invoker=on/true), à l'exception de api.library_email_identity qui demeure en definer par défaut. Une seule vue reste signalée ERROR par les advisors : public.v_active_memberships, qui dérive l'état courant des cotisations et qui constitue la dernière ligne de défense effective contre une exposition d'historique de paiements. C'est une fermeture franche d'un chantier que la v13 désignait comme prioritaire.</w:t>
      </w:r>
    </w:p>
    <w:p>
      <w:pPr>
        <w:spacing w:before="0" w:after="160"/>
      </w:pPr>
      <w:r>
        <w:rPr>
          <w:rFonts w:ascii="Calibri" w:hAnsi="Calibri"/>
          <w:b w:val="0"/>
          <w:i w:val="0"/>
          <w:sz w:val="28"/>
        </w:rPr>
        <w:t xml:space="preserve">— </w:t>
      </w:r>
      <w:r>
        <w:rPr>
          <w:rFonts w:ascii="Calibri" w:hAnsi="Calibri"/>
          <w:b/>
          <w:i w:val="0"/>
          <w:sz w:val="28"/>
        </w:rPr>
        <w:t xml:space="preserve">Troisième constat : trois couches métier nouvelles sont entrées en production entre les deux versions. </w:t>
      </w:r>
      <w:r>
        <w:rPr>
          <w:rFonts w:ascii="Calibri" w:hAnsi="Calibri"/>
          <w:b w:val="0"/>
          <w:i w:val="0"/>
          <w:sz w:val="28"/>
        </w:rPr>
        <w:t>La couche profils d'adoption (library_profile_history, library_profile_proposals, library_profile_votes, library_profile_grace_locks + 4 RPC fn_propose/vote/execute/cancel_library_profile_change + 4 helpers fn_library_catalog_mode/circulation_mode/network_mode/governance_mode + 5 triggers d'immutabilité et de notification) ; la couche admin réseau (network_administrators, network_staff, network_administrator_cooptation_proposals/votes, network_admin_collective_removal_proposals/votes, network_administrator_audit, network_admin_cross_library_actions_log + 9 RPC fn_network_admin_</w:t>
      </w:r>
      <w:r>
        <w:rPr>
          <w:rFonts w:ascii="Calibri" w:hAnsi="Calibri"/>
          <w:b w:val="0"/>
          <w:i/>
          <w:sz w:val="28"/>
        </w:rPr>
        <w:t xml:space="preserve"> + 5 triggers d'audit immuable) ; la couche gouvernance staff (user_library_memberships étendu, library_membership_audit + 8 RPC fn_team_promote_to_</w:t>
      </w:r>
      <w:r>
        <w:rPr>
          <w:rFonts w:ascii="Calibri" w:hAnsi="Calibri"/>
          <w:b w:val="0"/>
          <w:i w:val="0"/>
          <w:sz w:val="28"/>
        </w:rPr>
        <w:t>/suspend/unsuspend/cancel_remove/request_remove + triggers de synchronisation profile.is_librarian). Ces trois couches matérialisent ce que la v13 anticipait comme « infrastructure réseau » sans pouvoir la cartographier.</w:t>
      </w:r>
    </w:p>
    <w:p>
      <w:pPr>
        <w:spacing w:before="0" w:after="160"/>
      </w:pPr>
      <w:r>
        <w:rPr>
          <w:rFonts w:ascii="Calibri" w:hAnsi="Calibri"/>
          <w:b w:val="0"/>
          <w:i w:val="0"/>
          <w:sz w:val="28"/>
        </w:rPr>
        <w:t xml:space="preserve">— </w:t>
      </w:r>
      <w:r>
        <w:rPr>
          <w:rFonts w:ascii="Calibri" w:hAnsi="Calibri"/>
          <w:b/>
          <w:i w:val="0"/>
          <w:sz w:val="28"/>
        </w:rPr>
        <w:t xml:space="preserve">Quatrième constat : la dette de sécurité SECURITY DEFINER s'élargit à proportion de la livraison métier, et change de nature. </w:t>
      </w:r>
      <w:r>
        <w:rPr>
          <w:rFonts w:ascii="Calibri" w:hAnsi="Calibri"/>
          <w:b w:val="0"/>
          <w:i w:val="0"/>
          <w:sz w:val="28"/>
        </w:rPr>
        <w:t>La v13 signalait 126 fonctions WARN authenticated_security_definer et 14 anon. La v14 mesure environ 225 WARN authenticated et 24 WARN anon. Cette croissance n'est pas un relâchement de discipline — toutes les fonctions nouvelles ont été déployées en SECURITY DEFINER pour les bonnes raisons (elles modifient des tables non écrites directement par l'utilisateur). C'est la confirmation que la stratégie de fermeture backend par SECURITY DEFINER + RLS, qui fonctionne, produit mécaniquement une surface d'advisors WARN qui s'élargit à chaque chantier. La doctrine v14 doit donc requalifier ce qui constitue véritablement une dette de sécurité par rapport à ce qui constitue le coût attendu d'une couche métier saine.</w:t>
      </w:r>
    </w:p>
    <w:p>
      <w:pPr>
        <w:spacing w:before="0" w:after="160"/>
      </w:pPr>
      <w:r>
        <w:rPr>
          <w:rFonts w:ascii="Calibri" w:hAnsi="Calibri"/>
          <w:b w:val="0"/>
          <w:i w:val="0"/>
          <w:sz w:val="28"/>
        </w:rPr>
        <w:t xml:space="preserve">— </w:t>
      </w:r>
      <w:r>
        <w:rPr>
          <w:rFonts w:ascii="Calibri" w:hAnsi="Calibri"/>
          <w:b/>
          <w:i w:val="0"/>
          <w:sz w:val="28"/>
        </w:rPr>
        <w:t xml:space="preserve">Cinquième constat : la dette d'index a été remise à zéro statistique, ce qui invalide pour quelque temps la mesure d'utilisation. </w:t>
      </w:r>
      <w:r>
        <w:rPr>
          <w:rFonts w:ascii="Calibri" w:hAnsi="Calibri"/>
          <w:b w:val="0"/>
          <w:i w:val="0"/>
          <w:sz w:val="28"/>
        </w:rPr>
        <w:t>Tous les indexes du backend portent désormais idx_scan = 0 dans pg_stat_user_indexes : 384 entrées sur 384, sans aucun scan enregistré. C'est l'effet visible d'un reset des statistiques (probablement après les vagues de migration des 18-19 mai). Le constat v13 (« 88 indexes inutilisés sur 210 ») n'est pas désaccord, il devient simplement non mesurable : il faudra plusieurs semaines d'usage réel par des bibliothèques tierces avant de pouvoir réévaluer. En contrepartie, l'inventaire des clés étrangères sans index supportant compte au moins 67 entrées visibles, surtout sur les colonnes d'audit (created_by, updated_by, recorded_by, actor_user_id, target_user_id, triggered_by_user_id) qui pointent vers auth.users. C'est une dette concrète, planifiable, indépendante du rodage statistique.</w:t>
      </w:r>
    </w:p>
    <w:p>
      <w:pPr>
        <w:spacing w:before="0" w:after="160"/>
      </w:pPr>
      <w:r>
        <w:rPr>
          <w:rFonts w:ascii="Calibri" w:hAnsi="Calibri"/>
          <w:b w:val="0"/>
          <w:i w:val="0"/>
          <w:sz w:val="28"/>
        </w:rPr>
        <w:t>La bonne lecture stratégique de la v14 n'est donc pas un bouleversement de la doctrine v13, mais sa précision sous l'effet de la cadence. La doctrine de l'alignement (v12) reste valide. La discipline anticipée (v11) reste valide. La doctrine de la lecture exacte (v13) reste valide. La v14 ajoute simplement que ces doctrines, à mesure que le projet grandit, doivent intégrer la dimension du rythme de livraison : une fermeture backend qui n'est pas accompagnée par une fermeture frontale dans la même fenêtre crée une dette d'incohérence dont les usagers tiers seront les premiers témoins. La fenêtre actuelle, sans usagers tiers, reste le moment où cette dette se rattrape sans coût ; elle se referme à chaque nouvelle livraison qui n'est pas accompagnée.</w:t>
      </w:r>
    </w:p>
    <w:p>
      <w:pPr>
        <w:keepNext/>
        <w:spacing w:before="480" w:after="240"/>
      </w:pPr>
      <w:r>
        <w:rPr>
          <w:rFonts w:ascii="Calibri" w:hAnsi="Calibri"/>
          <w:b/>
          <w:color w:val="1F4E79"/>
          <w:sz w:val="44"/>
        </w:rPr>
        <w:t>2. Ce que la v14 change par rapport à la v13 : la mesure de la cadence</w:t>
      </w:r>
    </w:p>
    <w:p>
      <w:pPr>
        <w:spacing w:before="0" w:after="160"/>
      </w:pPr>
      <w:r>
        <w:rPr>
          <w:rFonts w:ascii="Calibri" w:hAnsi="Calibri"/>
          <w:b w:val="0"/>
          <w:i w:val="0"/>
          <w:sz w:val="28"/>
        </w:rPr>
        <w:t>Par rapport à la v13, la v14 dispose de quelque chose qu'aucune version précédente n'avait : une seconde lecture exacte du même objet, prise dix-neuf jours plus tard. Cette comparaison directe produit trois effets, et un effet collatéral non anticipé.</w:t>
      </w:r>
    </w:p>
    <w:p>
      <w:pPr>
        <w:keepNext/>
        <w:spacing w:before="360" w:after="160"/>
      </w:pPr>
      <w:r>
        <w:rPr>
          <w:rFonts w:ascii="Calibri" w:hAnsi="Calibri"/>
          <w:b/>
          <w:color w:val="2E74B5"/>
          <w:sz w:val="36"/>
        </w:rPr>
        <w:t>2.1 Effet de cadence quantifiée</w:t>
      </w:r>
    </w:p>
    <w:p>
      <w:pPr>
        <w:spacing w:before="0" w:after="160"/>
      </w:pPr>
      <w:r>
        <w:rPr>
          <w:rFonts w:ascii="Calibri" w:hAnsi="Calibri"/>
          <w:b w:val="0"/>
          <w:i w:val="0"/>
          <w:sz w:val="28"/>
        </w:rPr>
        <w:t>Là où la v13 estimait « la cadence devra nécessairement ralentir à mesure que les chantiers restants demandent de la précision plutôt que de la vitesse » (§13.6), la v14 mesure ce qui s'est réellement produit : la cadence ne s'est pas ralentie, elle s'est intensifiée. Sur dix-neuf jours calendaires, le backend a accueilli quatre-vingt-deux fonctions supplémentaires, dix-huit tables, vingt-sept triggers, soit une moyenne d'environ quatre fonctions ajoutées par jour. Cette cadence est tenable parce que la fenêtre reste ouverte sans usagers tiers ; elle ne le sera plus dès que les premiers usagers réels se connecteront. La doctrine v13 selon laquelle une v_{n+1} ne devait pas être produite avant des fermetures effectives s'est vérifiée — la v14 mesure les fermetures effectives (consultation locale, vues SECURITY DEFINER, premier déploiement profils d'adoption), mais elle mesure aussi qu'au même moment trois couches entières se sont ouvertes.</w:t>
      </w:r>
    </w:p>
    <w:p>
      <w:pPr>
        <w:keepNext/>
        <w:spacing w:before="360" w:after="160"/>
      </w:pPr>
      <w:r>
        <w:rPr>
          <w:rFonts w:ascii="Calibri" w:hAnsi="Calibri"/>
          <w:b/>
          <w:color w:val="2E74B5"/>
          <w:sz w:val="36"/>
        </w:rPr>
        <w:t>2.2 Effet de visibilité des familles</w:t>
      </w:r>
    </w:p>
    <w:p>
      <w:pPr>
        <w:spacing w:before="0" w:after="160"/>
      </w:pPr>
      <w:r>
        <w:rPr>
          <w:rFonts w:ascii="Calibri" w:hAnsi="Calibri"/>
          <w:b w:val="0"/>
          <w:i w:val="0"/>
          <w:sz w:val="28"/>
        </w:rPr>
        <w:t>La v13 dégageait dix familles fonctionnelles (fn_v2_</w:t>
      </w:r>
      <w:r>
        <w:rPr>
          <w:rFonts w:ascii="Calibri" w:hAnsi="Calibri"/>
          <w:b w:val="0"/>
          <w:i/>
          <w:sz w:val="28"/>
        </w:rPr>
        <w:t>, catalog_partner_</w:t>
      </w:r>
      <w:r>
        <w:rPr>
          <w:rFonts w:ascii="Calibri" w:hAnsi="Calibri"/>
          <w:b w:val="0"/>
          <w:i w:val="0"/>
          <w:sz w:val="28"/>
        </w:rPr>
        <w:t>, upsert_library_</w:t>
      </w:r>
      <w:r>
        <w:rPr>
          <w:rFonts w:ascii="Calibri" w:hAnsi="Calibri"/>
          <w:b w:val="0"/>
          <w:i/>
          <w:sz w:val="28"/>
        </w:rPr>
        <w:t>, fn_current_</w:t>
      </w:r>
      <w:r>
        <w:rPr>
          <w:rFonts w:ascii="Calibri" w:hAnsi="Calibri"/>
          <w:b w:val="0"/>
          <w:i w:val="0"/>
          <w:sz w:val="28"/>
        </w:rPr>
        <w:t>, etc.). La v14 ajoute neuf familles nouvelles, identifiables nominativement dans les inventaires : fn_team_</w:t>
      </w:r>
      <w:r>
        <w:rPr>
          <w:rFonts w:ascii="Calibri" w:hAnsi="Calibri"/>
          <w:b w:val="0"/>
          <w:i/>
          <w:sz w:val="28"/>
        </w:rPr>
        <w:t xml:space="preserve"> (8 fonctions de gouvernance staff), fn_network_admin_</w:t>
      </w:r>
      <w:r>
        <w:rPr>
          <w:rFonts w:ascii="Calibri" w:hAnsi="Calibri"/>
          <w:b w:val="0"/>
          <w:i w:val="0"/>
          <w:sz w:val="28"/>
        </w:rPr>
        <w:t xml:space="preserve"> (9 fonctions d'animation du réseau), fn_library_</w:t>
      </w:r>
      <w:r>
        <w:rPr>
          <w:rFonts w:ascii="Calibri" w:hAnsi="Calibri"/>
          <w:b w:val="0"/>
          <w:i/>
          <w:sz w:val="28"/>
        </w:rPr>
        <w:t>_mode (4 helpers de mode de bibliothèque, exposés à anon pour visibilité catalogue), fn_propose/vote/execute/cancel_library_profile_change (4 fonctions de transition de profil), fn_record_membership_payment et fn_compute_membership_validity (cotisations), fn_unarchive_transaction (archivage réversible), fn_peb_authorized (autorisation PEB centralisée), publish_</w:t>
      </w:r>
      <w:r>
        <w:rPr>
          <w:rFonts w:ascii="Calibri" w:hAnsi="Calibri"/>
          <w:b w:val="0"/>
          <w:i w:val="0"/>
          <w:sz w:val="28"/>
        </w:rPr>
        <w:t>_draft (4 fonctions de publication catalogação), fn_caller_is_* (helpers de contexte d'appel administrateur/network_admin). Cette extension familiale n'est pas anecdotique : chaque famille porte une décision politique (qui peut faire quoi, sous quelles conditions) que la lecture SQL exacte permet désormais de lire en détail.</w:t>
      </w:r>
    </w:p>
    <w:p>
      <w:pPr>
        <w:keepNext/>
        <w:spacing w:before="360" w:after="160"/>
      </w:pPr>
      <w:r>
        <w:rPr>
          <w:rFonts w:ascii="Calibri" w:hAnsi="Calibri"/>
          <w:b/>
          <w:color w:val="2E74B5"/>
          <w:sz w:val="36"/>
        </w:rPr>
        <w:t>2.3 Effet de stabilisation doctrinale</w:t>
      </w:r>
    </w:p>
    <w:p>
      <w:pPr>
        <w:spacing w:before="0" w:after="160"/>
      </w:pPr>
      <w:r>
        <w:rPr>
          <w:rFonts w:ascii="Calibri" w:hAnsi="Calibri"/>
          <w:b w:val="0"/>
          <w:i w:val="0"/>
          <w:sz w:val="28"/>
        </w:rPr>
        <w:t>La v13 introduisait une doctrine nouvelle : le primat de la lecture exacte avant tout chantier de fermeture. La v14 mesure les conséquences de cette doctrine. Le chantier #150 d'audit des fonctions privées, bouclé le 18 mai, s'est appuyé sur une lecture exacte des fonctions SECURITY DEFINER pour traiter par lots (28 fonctions Cat 3 isolées en REVOKE étendu, 1 trigger patché). Cette méthodologie n'aurait pas été possible avant la v13. La doctrine de la lecture exacte est désormais intégrée au flux de travail, matérialisée par un hook git pré-commit qui bloque les violations (avec un faux positif documenté sur SECURITY DEFINER en commentaires). C'est un effet de stabilisation : ce que la v13 posait comme exigence est devenu, en v14, une pratique outillée.</w:t>
      </w:r>
    </w:p>
    <w:p>
      <w:pPr>
        <w:keepNext/>
        <w:spacing w:before="360" w:after="160"/>
      </w:pPr>
      <w:r>
        <w:rPr>
          <w:rFonts w:ascii="Calibri" w:hAnsi="Calibri"/>
          <w:b/>
          <w:color w:val="2E74B5"/>
          <w:sz w:val="36"/>
        </w:rPr>
        <w:t>2.4 Effet collatéral : la divergence backend / frontend</w:t>
      </w:r>
    </w:p>
    <w:p>
      <w:pPr>
        <w:spacing w:before="0" w:after="160"/>
      </w:pPr>
      <w:r>
        <w:rPr>
          <w:rFonts w:ascii="Calibri" w:hAnsi="Calibri"/>
          <w:b w:val="0"/>
          <w:i w:val="0"/>
          <w:sz w:val="28"/>
        </w:rPr>
        <w:t>Aucune version antérieure ne nommait explicitement cette divergence. La v14 doit la nommer parce qu'elle devient mesurable. Le backend a livré la couche admin réseau complète : neuf RPC, six tables, cinq triggers, deux vues api dédiées. Le frontend a livré six composants react correspondants (AdminsPanel, CancelCollectiveRemovalModal, NetworkAdminBadge, ProposeCollectiveRemovalModal, ProposeCooptationModal, VoteCollectiveRemovalModal, VoteCooptationModal). Mais entre la livraison backend des helpers fn_library_*_mode (4 fonctions exposées à anon, le 19 mai à 10h00) et la première intégration frontend correspondante (CatalogPage modifiée le même jour mais sans appeler les helpers SECURITY DEFINER), il existe une fenêtre où le backend a posé une politique de visibilité catalogue que le frontend ignore. Le chantier PEB illustre la même divergence : trois RPC backend (paquetC4a1_rpc_peb_check, paquetC4a234_rpc_create_check, paquetC4b_rpc_renew_check), policies RLS triple-défense (fn_peb_authorized + fn_library_has_circulation + user_can_manage_library), mais le frontend BibliotecaPage continue d'utiliser des appels .from() directs documentés dans CHANTIER_peb_frontend_diagnostic_2026-05-19.md. Cette divergence n'invalide pas le travail backend, mais elle modifie ce que signifie « fermer un chantier ».</w:t>
      </w:r>
    </w:p>
    <w:p>
      <w:pPr>
        <w:keepNext/>
        <w:spacing w:before="240" w:after="120"/>
      </w:pPr>
      <w:r>
        <w:rPr>
          <w:rFonts w:ascii="Calibri" w:hAnsi="Calibri"/>
          <w:b/>
          <w:i/>
          <w:color w:val="5B9BD5"/>
          <w:sz w:val="30"/>
        </w:rPr>
        <w:t>Ce que la v14 ajoute de décisif par rapport à la v13.</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vAlign w:val="top"/>
            <w:shd w:val="clear" w:color="auto" w:fill="D9E2F3"/>
          </w:tcPr>
          <w:p>
            <w:pPr>
              <w:spacing w:before="60" w:after="60"/>
            </w:pPr>
            <w:r/>
            <w:r>
              <w:rPr>
                <w:rFonts w:ascii="Calibri" w:hAnsi="Calibri"/>
                <w:b/>
                <w:i w:val="0"/>
                <w:sz w:val="24"/>
              </w:rPr>
              <w:t>Bloc</w:t>
            </w:r>
          </w:p>
        </w:tc>
        <w:tc>
          <w:tcPr>
            <w:tcW w:type="dxa" w:w="2351"/>
            <w:vAlign w:val="top"/>
            <w:shd w:val="clear" w:color="auto" w:fill="D9E2F3"/>
          </w:tcPr>
          <w:p>
            <w:pPr>
              <w:spacing w:before="60" w:after="60"/>
            </w:pPr>
            <w:r/>
            <w:r>
              <w:rPr>
                <w:rFonts w:ascii="Calibri" w:hAnsi="Calibri"/>
                <w:b/>
                <w:i w:val="0"/>
                <w:sz w:val="24"/>
              </w:rPr>
              <w:t>Lecture v13 (30/04)</w:t>
            </w:r>
          </w:p>
        </w:tc>
        <w:tc>
          <w:tcPr>
            <w:tcW w:type="dxa" w:w="2351"/>
            <w:vAlign w:val="top"/>
            <w:shd w:val="clear" w:color="auto" w:fill="D9E2F3"/>
          </w:tcPr>
          <w:p>
            <w:pPr>
              <w:spacing w:before="60" w:after="60"/>
            </w:pPr>
            <w:r/>
            <w:r>
              <w:rPr>
                <w:rFonts w:ascii="Calibri" w:hAnsi="Calibri"/>
                <w:b/>
                <w:i w:val="0"/>
                <w:sz w:val="24"/>
              </w:rPr>
              <w:t>Lecture v14 (19/05)</w:t>
            </w:r>
          </w:p>
        </w:tc>
        <w:tc>
          <w:tcPr>
            <w:tcW w:type="dxa" w:w="2351"/>
            <w:vAlign w:val="top"/>
            <w:shd w:val="clear" w:color="auto" w:fill="D9E2F3"/>
          </w:tcPr>
          <w:p>
            <w:pPr>
              <w:spacing w:before="60" w:after="60"/>
            </w:pPr>
            <w:r/>
            <w:r>
              <w:rPr>
                <w:rFonts w:ascii="Calibri" w:hAnsi="Calibri"/>
                <w:b/>
                <w:i w:val="0"/>
                <w:sz w:val="24"/>
              </w:rPr>
              <w:t>Variation</w:t>
            </w:r>
          </w:p>
        </w:tc>
      </w:tr>
      <w:tr>
        <w:tc>
          <w:tcPr>
            <w:tcW w:type="dxa" w:w="2351"/>
            <w:vAlign w:val="top"/>
          </w:tcPr>
          <w:p>
            <w:pPr>
              <w:spacing w:before="60" w:after="60"/>
            </w:pPr>
            <w:r/>
            <w:r>
              <w:rPr>
                <w:rFonts w:ascii="Calibri" w:hAnsi="Calibri"/>
                <w:b w:val="0"/>
                <w:i w:val="0"/>
                <w:sz w:val="24"/>
              </w:rPr>
              <w:t>Total tables</w:t>
            </w:r>
          </w:p>
        </w:tc>
        <w:tc>
          <w:tcPr>
            <w:tcW w:type="dxa" w:w="2351"/>
            <w:vAlign w:val="top"/>
          </w:tcPr>
          <w:p>
            <w:pPr>
              <w:spacing w:before="60" w:after="60"/>
            </w:pPr>
            <w:r/>
            <w:r>
              <w:rPr>
                <w:rFonts w:ascii="Calibri" w:hAnsi="Calibri"/>
                <w:b w:val="0"/>
                <w:i w:val="0"/>
                <w:sz w:val="24"/>
              </w:rPr>
              <w:t>89 (82 public + 7 ingest)</w:t>
            </w:r>
          </w:p>
        </w:tc>
        <w:tc>
          <w:tcPr>
            <w:tcW w:type="dxa" w:w="2351"/>
            <w:vAlign w:val="top"/>
          </w:tcPr>
          <w:p>
            <w:pPr>
              <w:spacing w:before="60" w:after="60"/>
            </w:pPr>
            <w:r/>
            <w:r>
              <w:rPr>
                <w:rFonts w:ascii="Calibri" w:hAnsi="Calibri"/>
                <w:b w:val="0"/>
                <w:i w:val="0"/>
                <w:sz w:val="24"/>
              </w:rPr>
              <w:t>107 (100 public + 7 ingest)</w:t>
            </w:r>
          </w:p>
        </w:tc>
        <w:tc>
          <w:tcPr>
            <w:tcW w:type="dxa" w:w="2351"/>
            <w:vAlign w:val="top"/>
          </w:tcPr>
          <w:p>
            <w:pPr>
              <w:spacing w:before="60" w:after="60"/>
            </w:pPr>
            <w:r/>
            <w:r>
              <w:rPr>
                <w:rFonts w:ascii="Calibri" w:hAnsi="Calibri"/>
                <w:b w:val="0"/>
                <w:i w:val="0"/>
                <w:sz w:val="24"/>
              </w:rPr>
              <w:t>+18 (+20 %)</w:t>
            </w:r>
          </w:p>
        </w:tc>
      </w:tr>
      <w:tr>
        <w:tc>
          <w:tcPr>
            <w:tcW w:type="dxa" w:w="2351"/>
            <w:vAlign w:val="top"/>
          </w:tcPr>
          <w:p>
            <w:pPr>
              <w:spacing w:before="60" w:after="60"/>
            </w:pPr>
            <w:r/>
            <w:r>
              <w:rPr>
                <w:rFonts w:ascii="Calibri" w:hAnsi="Calibri"/>
                <w:b w:val="0"/>
                <w:i w:val="0"/>
                <w:sz w:val="24"/>
              </w:rPr>
              <w:t>Total vues</w:t>
            </w:r>
          </w:p>
        </w:tc>
        <w:tc>
          <w:tcPr>
            <w:tcW w:type="dxa" w:w="2351"/>
            <w:vAlign w:val="top"/>
          </w:tcPr>
          <w:p>
            <w:pPr>
              <w:spacing w:before="60" w:after="60"/>
            </w:pPr>
            <w:r/>
            <w:r>
              <w:rPr>
                <w:rFonts w:ascii="Calibri" w:hAnsi="Calibri"/>
                <w:b w:val="0"/>
                <w:i w:val="0"/>
                <w:sz w:val="24"/>
              </w:rPr>
              <w:t>59 (34 api + 25 public)</w:t>
            </w:r>
          </w:p>
        </w:tc>
        <w:tc>
          <w:tcPr>
            <w:tcW w:type="dxa" w:w="2351"/>
            <w:vAlign w:val="top"/>
          </w:tcPr>
          <w:p>
            <w:pPr>
              <w:spacing w:before="60" w:after="60"/>
            </w:pPr>
            <w:r/>
            <w:r>
              <w:rPr>
                <w:rFonts w:ascii="Calibri" w:hAnsi="Calibri"/>
                <w:b w:val="0"/>
                <w:i w:val="0"/>
                <w:sz w:val="24"/>
              </w:rPr>
              <w:t>72 (45 api + 25 public + 2 mat.)</w:t>
            </w:r>
          </w:p>
        </w:tc>
        <w:tc>
          <w:tcPr>
            <w:tcW w:type="dxa" w:w="2351"/>
            <w:vAlign w:val="top"/>
          </w:tcPr>
          <w:p>
            <w:pPr>
              <w:spacing w:before="60" w:after="60"/>
            </w:pPr>
            <w:r/>
            <w:r>
              <w:rPr>
                <w:rFonts w:ascii="Calibri" w:hAnsi="Calibri"/>
                <w:b w:val="0"/>
                <w:i w:val="0"/>
                <w:sz w:val="24"/>
              </w:rPr>
              <w:t>+13 (+22 %)</w:t>
            </w:r>
          </w:p>
        </w:tc>
      </w:tr>
      <w:tr>
        <w:tc>
          <w:tcPr>
            <w:tcW w:type="dxa" w:w="2351"/>
            <w:vAlign w:val="top"/>
          </w:tcPr>
          <w:p>
            <w:pPr>
              <w:spacing w:before="60" w:after="60"/>
            </w:pPr>
            <w:r/>
            <w:r>
              <w:rPr>
                <w:rFonts w:ascii="Calibri" w:hAnsi="Calibri"/>
                <w:b w:val="0"/>
                <w:i w:val="0"/>
                <w:sz w:val="24"/>
              </w:rPr>
              <w:t>Total fonctions</w:t>
            </w:r>
          </w:p>
        </w:tc>
        <w:tc>
          <w:tcPr>
            <w:tcW w:type="dxa" w:w="2351"/>
            <w:vAlign w:val="top"/>
          </w:tcPr>
          <w:p>
            <w:pPr>
              <w:spacing w:before="60" w:after="60"/>
            </w:pPr>
            <w:r/>
            <w:r>
              <w:rPr>
                <w:rFonts w:ascii="Calibri" w:hAnsi="Calibri"/>
                <w:b w:val="0"/>
                <w:i w:val="0"/>
                <w:sz w:val="24"/>
              </w:rPr>
              <w:t>291</w:t>
            </w:r>
          </w:p>
        </w:tc>
        <w:tc>
          <w:tcPr>
            <w:tcW w:type="dxa" w:w="2351"/>
            <w:vAlign w:val="top"/>
          </w:tcPr>
          <w:p>
            <w:pPr>
              <w:spacing w:before="60" w:after="60"/>
            </w:pPr>
            <w:r/>
            <w:r>
              <w:rPr>
                <w:rFonts w:ascii="Calibri" w:hAnsi="Calibri"/>
                <w:b w:val="0"/>
                <w:i w:val="0"/>
                <w:sz w:val="24"/>
              </w:rPr>
              <w:t>373</w:t>
            </w:r>
          </w:p>
        </w:tc>
        <w:tc>
          <w:tcPr>
            <w:tcW w:type="dxa" w:w="2351"/>
            <w:vAlign w:val="top"/>
          </w:tcPr>
          <w:p>
            <w:pPr>
              <w:spacing w:before="60" w:after="60"/>
            </w:pPr>
            <w:r/>
            <w:r>
              <w:rPr>
                <w:rFonts w:ascii="Calibri" w:hAnsi="Calibri"/>
                <w:b w:val="0"/>
                <w:i w:val="0"/>
                <w:sz w:val="24"/>
              </w:rPr>
              <w:t>+82 (+28 %)</w:t>
            </w:r>
          </w:p>
        </w:tc>
      </w:tr>
      <w:tr>
        <w:tc>
          <w:tcPr>
            <w:tcW w:type="dxa" w:w="2351"/>
            <w:vAlign w:val="top"/>
          </w:tcPr>
          <w:p>
            <w:pPr>
              <w:spacing w:before="60" w:after="60"/>
            </w:pPr>
            <w:r/>
            <w:r>
              <w:rPr>
                <w:rFonts w:ascii="Calibri" w:hAnsi="Calibri"/>
                <w:b w:val="0"/>
                <w:i w:val="0"/>
                <w:sz w:val="24"/>
              </w:rPr>
              <w:t>Fonctions SECURITY DEFINER</w:t>
            </w:r>
          </w:p>
        </w:tc>
        <w:tc>
          <w:tcPr>
            <w:tcW w:type="dxa" w:w="2351"/>
            <w:vAlign w:val="top"/>
          </w:tcPr>
          <w:p>
            <w:pPr>
              <w:spacing w:before="60" w:after="60"/>
            </w:pPr>
            <w:r/>
            <w:r>
              <w:rPr>
                <w:rFonts w:ascii="Calibri" w:hAnsi="Calibri"/>
                <w:b w:val="0"/>
                <w:i w:val="0"/>
                <w:sz w:val="24"/>
              </w:rPr>
              <w:t>167</w:t>
            </w:r>
          </w:p>
        </w:tc>
        <w:tc>
          <w:tcPr>
            <w:tcW w:type="dxa" w:w="2351"/>
            <w:vAlign w:val="top"/>
          </w:tcPr>
          <w:p>
            <w:pPr>
              <w:spacing w:before="60" w:after="60"/>
            </w:pPr>
            <w:r/>
            <w:r>
              <w:rPr>
                <w:rFonts w:ascii="Calibri" w:hAnsi="Calibri"/>
                <w:b w:val="0"/>
                <w:i w:val="0"/>
                <w:sz w:val="24"/>
              </w:rPr>
              <w:t>250</w:t>
            </w:r>
          </w:p>
        </w:tc>
        <w:tc>
          <w:tcPr>
            <w:tcW w:type="dxa" w:w="2351"/>
            <w:vAlign w:val="top"/>
          </w:tcPr>
          <w:p>
            <w:pPr>
              <w:spacing w:before="60" w:after="60"/>
            </w:pPr>
            <w:r/>
            <w:r>
              <w:rPr>
                <w:rFonts w:ascii="Calibri" w:hAnsi="Calibri"/>
                <w:b w:val="0"/>
                <w:i w:val="0"/>
                <w:sz w:val="24"/>
              </w:rPr>
              <w:t>+83 (+50 %)</w:t>
            </w:r>
          </w:p>
        </w:tc>
      </w:tr>
      <w:tr>
        <w:tc>
          <w:tcPr>
            <w:tcW w:type="dxa" w:w="2351"/>
            <w:vAlign w:val="top"/>
          </w:tcPr>
          <w:p>
            <w:pPr>
              <w:spacing w:before="60" w:after="60"/>
            </w:pPr>
            <w:r/>
            <w:r>
              <w:rPr>
                <w:rFonts w:ascii="Calibri" w:hAnsi="Calibri"/>
                <w:b w:val="0"/>
                <w:i w:val="0"/>
                <w:sz w:val="24"/>
              </w:rPr>
              <w:t>Vues SECURITY DEFINER (ERROR)</w:t>
            </w:r>
          </w:p>
        </w:tc>
        <w:tc>
          <w:tcPr>
            <w:tcW w:type="dxa" w:w="2351"/>
            <w:vAlign w:val="top"/>
          </w:tcPr>
          <w:p>
            <w:pPr>
              <w:spacing w:before="60" w:after="60"/>
            </w:pPr>
            <w:r/>
            <w:r>
              <w:rPr>
                <w:rFonts w:ascii="Calibri" w:hAnsi="Calibri"/>
                <w:b w:val="0"/>
                <w:i w:val="0"/>
                <w:sz w:val="24"/>
              </w:rPr>
              <w:t>4</w:t>
            </w:r>
          </w:p>
        </w:tc>
        <w:tc>
          <w:tcPr>
            <w:tcW w:type="dxa" w:w="2351"/>
            <w:vAlign w:val="top"/>
          </w:tcPr>
          <w:p>
            <w:pPr>
              <w:spacing w:before="60" w:after="60"/>
            </w:pPr>
            <w:r/>
            <w:r>
              <w:rPr>
                <w:rFonts w:ascii="Calibri" w:hAnsi="Calibri"/>
                <w:b w:val="0"/>
                <w:i w:val="0"/>
                <w:sz w:val="24"/>
              </w:rPr>
              <w:t>1 (v_active_memberships seule)</w:t>
            </w:r>
          </w:p>
        </w:tc>
        <w:tc>
          <w:tcPr>
            <w:tcW w:type="dxa" w:w="2351"/>
            <w:vAlign w:val="top"/>
          </w:tcPr>
          <w:p>
            <w:pPr>
              <w:spacing w:before="60" w:after="60"/>
            </w:pPr>
            <w:r/>
            <w:r>
              <w:rPr>
                <w:rFonts w:ascii="Calibri" w:hAnsi="Calibri"/>
                <w:b w:val="0"/>
                <w:i w:val="0"/>
                <w:sz w:val="24"/>
              </w:rPr>
              <w:t>−3 (fermeture)</w:t>
            </w:r>
          </w:p>
        </w:tc>
      </w:tr>
      <w:tr>
        <w:tc>
          <w:tcPr>
            <w:tcW w:type="dxa" w:w="2351"/>
            <w:vAlign w:val="top"/>
          </w:tcPr>
          <w:p>
            <w:pPr>
              <w:spacing w:before="60" w:after="60"/>
            </w:pPr>
            <w:r/>
            <w:r>
              <w:rPr>
                <w:rFonts w:ascii="Calibri" w:hAnsi="Calibri"/>
                <w:b w:val="0"/>
                <w:i w:val="0"/>
                <w:sz w:val="24"/>
              </w:rPr>
              <w:t>Policies RLS</w:t>
            </w:r>
          </w:p>
        </w:tc>
        <w:tc>
          <w:tcPr>
            <w:tcW w:type="dxa" w:w="2351"/>
            <w:vAlign w:val="top"/>
          </w:tcPr>
          <w:p>
            <w:pPr>
              <w:spacing w:before="60" w:after="60"/>
            </w:pPr>
            <w:r/>
            <w:r>
              <w:rPr>
                <w:rFonts w:ascii="Calibri" w:hAnsi="Calibri"/>
                <w:b w:val="0"/>
                <w:i w:val="0"/>
                <w:sz w:val="24"/>
              </w:rPr>
              <w:t>108</w:t>
            </w:r>
          </w:p>
        </w:tc>
        <w:tc>
          <w:tcPr>
            <w:tcW w:type="dxa" w:w="2351"/>
            <w:vAlign w:val="top"/>
          </w:tcPr>
          <w:p>
            <w:pPr>
              <w:spacing w:before="60" w:after="60"/>
            </w:pPr>
            <w:r/>
            <w:r>
              <w:rPr>
                <w:rFonts w:ascii="Calibri" w:hAnsi="Calibri"/>
                <w:b w:val="0"/>
                <w:i w:val="0"/>
                <w:sz w:val="24"/>
              </w:rPr>
              <w:t>144</w:t>
            </w:r>
          </w:p>
        </w:tc>
        <w:tc>
          <w:tcPr>
            <w:tcW w:type="dxa" w:w="2351"/>
            <w:vAlign w:val="top"/>
          </w:tcPr>
          <w:p>
            <w:pPr>
              <w:spacing w:before="60" w:after="60"/>
            </w:pPr>
            <w:r/>
            <w:r>
              <w:rPr>
                <w:rFonts w:ascii="Calibri" w:hAnsi="Calibri"/>
                <w:b w:val="0"/>
                <w:i w:val="0"/>
                <w:sz w:val="24"/>
              </w:rPr>
              <w:t>+36 (+33 %)</w:t>
            </w:r>
          </w:p>
        </w:tc>
      </w:tr>
      <w:tr>
        <w:tc>
          <w:tcPr>
            <w:tcW w:type="dxa" w:w="2351"/>
            <w:vAlign w:val="top"/>
          </w:tcPr>
          <w:p>
            <w:pPr>
              <w:spacing w:before="60" w:after="60"/>
            </w:pPr>
            <w:r/>
            <w:r>
              <w:rPr>
                <w:rFonts w:ascii="Calibri" w:hAnsi="Calibri"/>
                <w:b w:val="0"/>
                <w:i w:val="0"/>
                <w:sz w:val="24"/>
              </w:rPr>
              <w:t>Triggers</w:t>
            </w:r>
          </w:p>
        </w:tc>
        <w:tc>
          <w:tcPr>
            <w:tcW w:type="dxa" w:w="2351"/>
            <w:vAlign w:val="top"/>
          </w:tcPr>
          <w:p>
            <w:pPr>
              <w:spacing w:before="60" w:after="60"/>
            </w:pPr>
            <w:r/>
            <w:r>
              <w:rPr>
                <w:rFonts w:ascii="Calibri" w:hAnsi="Calibri"/>
                <w:b w:val="0"/>
                <w:i w:val="0"/>
                <w:sz w:val="24"/>
              </w:rPr>
              <w:t>52 (9 de notification)</w:t>
            </w:r>
          </w:p>
        </w:tc>
        <w:tc>
          <w:tcPr>
            <w:tcW w:type="dxa" w:w="2351"/>
            <w:vAlign w:val="top"/>
          </w:tcPr>
          <w:p>
            <w:pPr>
              <w:spacing w:before="60" w:after="60"/>
            </w:pPr>
            <w:r/>
            <w:r>
              <w:rPr>
                <w:rFonts w:ascii="Calibri" w:hAnsi="Calibri"/>
                <w:b w:val="0"/>
                <w:i w:val="0"/>
                <w:sz w:val="24"/>
              </w:rPr>
              <w:t>79 (16 de notification)</w:t>
            </w:r>
          </w:p>
        </w:tc>
        <w:tc>
          <w:tcPr>
            <w:tcW w:type="dxa" w:w="2351"/>
            <w:vAlign w:val="top"/>
          </w:tcPr>
          <w:p>
            <w:pPr>
              <w:spacing w:before="60" w:after="60"/>
            </w:pPr>
            <w:r/>
            <w:r>
              <w:rPr>
                <w:rFonts w:ascii="Calibri" w:hAnsi="Calibri"/>
                <w:b w:val="0"/>
                <w:i w:val="0"/>
                <w:sz w:val="24"/>
              </w:rPr>
              <w:t>+27 (+52 %)</w:t>
            </w:r>
          </w:p>
        </w:tc>
      </w:tr>
      <w:tr>
        <w:tc>
          <w:tcPr>
            <w:tcW w:type="dxa" w:w="2351"/>
            <w:vAlign w:val="top"/>
          </w:tcPr>
          <w:p>
            <w:pPr>
              <w:spacing w:before="60" w:after="60"/>
            </w:pPr>
            <w:r/>
            <w:r>
              <w:rPr>
                <w:rFonts w:ascii="Calibri" w:hAnsi="Calibri"/>
                <w:b w:val="0"/>
                <w:i w:val="0"/>
                <w:sz w:val="24"/>
              </w:rPr>
              <w:t>Indexes</w:t>
            </w:r>
          </w:p>
        </w:tc>
        <w:tc>
          <w:tcPr>
            <w:tcW w:type="dxa" w:w="2351"/>
            <w:vAlign w:val="top"/>
          </w:tcPr>
          <w:p>
            <w:pPr>
              <w:spacing w:before="60" w:after="60"/>
            </w:pPr>
            <w:r/>
            <w:r>
              <w:rPr>
                <w:rFonts w:ascii="Calibri" w:hAnsi="Calibri"/>
                <w:b w:val="0"/>
                <w:i w:val="0"/>
                <w:sz w:val="24"/>
              </w:rPr>
              <w:t>210 (88 marqués inutilisés)</w:t>
            </w:r>
          </w:p>
        </w:tc>
        <w:tc>
          <w:tcPr>
            <w:tcW w:type="dxa" w:w="2351"/>
            <w:vAlign w:val="top"/>
          </w:tcPr>
          <w:p>
            <w:pPr>
              <w:spacing w:before="60" w:after="60"/>
            </w:pPr>
            <w:r/>
            <w:r>
              <w:rPr>
                <w:rFonts w:ascii="Calibri" w:hAnsi="Calibri"/>
                <w:b w:val="0"/>
                <w:i w:val="0"/>
                <w:sz w:val="24"/>
              </w:rPr>
              <w:t>384 (statistiques remises à zéro)</w:t>
            </w:r>
          </w:p>
        </w:tc>
        <w:tc>
          <w:tcPr>
            <w:tcW w:type="dxa" w:w="2351"/>
            <w:vAlign w:val="top"/>
          </w:tcPr>
          <w:p>
            <w:pPr>
              <w:spacing w:before="60" w:after="60"/>
            </w:pPr>
            <w:r/>
            <w:r>
              <w:rPr>
                <w:rFonts w:ascii="Calibri" w:hAnsi="Calibri"/>
                <w:b w:val="0"/>
                <w:i w:val="0"/>
                <w:sz w:val="24"/>
              </w:rPr>
              <w:t>+174 (+83 %)</w:t>
            </w:r>
          </w:p>
        </w:tc>
      </w:tr>
      <w:tr>
        <w:tc>
          <w:tcPr>
            <w:tcW w:type="dxa" w:w="2351"/>
            <w:vAlign w:val="top"/>
          </w:tcPr>
          <w:p>
            <w:pPr>
              <w:spacing w:before="60" w:after="60"/>
            </w:pPr>
            <w:r/>
            <w:r>
              <w:rPr>
                <w:rFonts w:ascii="Calibri" w:hAnsi="Calibri"/>
                <w:b w:val="0"/>
                <w:i w:val="0"/>
                <w:sz w:val="24"/>
              </w:rPr>
              <w:t>Clés étrangères</w:t>
            </w:r>
          </w:p>
        </w:tc>
        <w:tc>
          <w:tcPr>
            <w:tcW w:type="dxa" w:w="2351"/>
            <w:vAlign w:val="top"/>
          </w:tcPr>
          <w:p>
            <w:pPr>
              <w:spacing w:before="60" w:after="60"/>
            </w:pPr>
            <w:r/>
            <w:r>
              <w:rPr>
                <w:rFonts w:ascii="Calibri" w:hAnsi="Calibri"/>
                <w:b w:val="0"/>
                <w:i w:val="0"/>
                <w:sz w:val="24"/>
              </w:rPr>
              <w:t>148 (49 sans index)</w:t>
            </w:r>
          </w:p>
        </w:tc>
        <w:tc>
          <w:tcPr>
            <w:tcW w:type="dxa" w:w="2351"/>
            <w:vAlign w:val="top"/>
          </w:tcPr>
          <w:p>
            <w:pPr>
              <w:spacing w:before="60" w:after="60"/>
            </w:pPr>
            <w:r/>
            <w:r>
              <w:rPr>
                <w:rFonts w:ascii="Calibri" w:hAnsi="Calibri"/>
                <w:b w:val="0"/>
                <w:i w:val="0"/>
                <w:sz w:val="24"/>
              </w:rPr>
              <w:t>187 (≥67 sans index visibles)</w:t>
            </w:r>
          </w:p>
        </w:tc>
        <w:tc>
          <w:tcPr>
            <w:tcW w:type="dxa" w:w="2351"/>
            <w:vAlign w:val="top"/>
          </w:tcPr>
          <w:p>
            <w:pPr>
              <w:spacing w:before="60" w:after="60"/>
            </w:pPr>
            <w:r/>
            <w:r>
              <w:rPr>
                <w:rFonts w:ascii="Calibri" w:hAnsi="Calibri"/>
                <w:b w:val="0"/>
                <w:i w:val="0"/>
                <w:sz w:val="24"/>
              </w:rPr>
              <w:t>+39 (+26 %)</w:t>
            </w:r>
          </w:p>
        </w:tc>
      </w:tr>
      <w:tr>
        <w:tc>
          <w:tcPr>
            <w:tcW w:type="dxa" w:w="2351"/>
            <w:vAlign w:val="top"/>
          </w:tcPr>
          <w:p>
            <w:pPr>
              <w:spacing w:before="60" w:after="60"/>
            </w:pPr>
            <w:r/>
            <w:r>
              <w:rPr>
                <w:rFonts w:ascii="Calibri" w:hAnsi="Calibri"/>
                <w:b w:val="0"/>
                <w:i w:val="0"/>
                <w:sz w:val="24"/>
              </w:rPr>
              <w:t>Fonctions WARN anon SD</w:t>
            </w:r>
          </w:p>
        </w:tc>
        <w:tc>
          <w:tcPr>
            <w:tcW w:type="dxa" w:w="2351"/>
            <w:vAlign w:val="top"/>
          </w:tcPr>
          <w:p>
            <w:pPr>
              <w:spacing w:before="60" w:after="60"/>
            </w:pPr>
            <w:r/>
            <w:r>
              <w:rPr>
                <w:rFonts w:ascii="Calibri" w:hAnsi="Calibri"/>
                <w:b w:val="0"/>
                <w:i w:val="0"/>
                <w:sz w:val="24"/>
              </w:rPr>
              <w:t>14</w:t>
            </w:r>
          </w:p>
        </w:tc>
        <w:tc>
          <w:tcPr>
            <w:tcW w:type="dxa" w:w="2351"/>
            <w:vAlign w:val="top"/>
          </w:tcPr>
          <w:p>
            <w:pPr>
              <w:spacing w:before="60" w:after="60"/>
            </w:pPr>
            <w:r/>
            <w:r>
              <w:rPr>
                <w:rFonts w:ascii="Calibri" w:hAnsi="Calibri"/>
                <w:b w:val="0"/>
                <w:i w:val="0"/>
                <w:sz w:val="24"/>
              </w:rPr>
              <w:t>24</w:t>
            </w:r>
          </w:p>
        </w:tc>
        <w:tc>
          <w:tcPr>
            <w:tcW w:type="dxa" w:w="2351"/>
            <w:vAlign w:val="top"/>
          </w:tcPr>
          <w:p>
            <w:pPr>
              <w:spacing w:before="60" w:after="60"/>
            </w:pPr>
            <w:r/>
            <w:r>
              <w:rPr>
                <w:rFonts w:ascii="Calibri" w:hAnsi="Calibri"/>
                <w:b w:val="0"/>
                <w:i w:val="0"/>
                <w:sz w:val="24"/>
              </w:rPr>
              <w:t>+10</w:t>
            </w:r>
          </w:p>
        </w:tc>
      </w:tr>
      <w:tr>
        <w:tc>
          <w:tcPr>
            <w:tcW w:type="dxa" w:w="2351"/>
            <w:vAlign w:val="top"/>
          </w:tcPr>
          <w:p>
            <w:pPr>
              <w:spacing w:before="60" w:after="60"/>
            </w:pPr>
            <w:r/>
            <w:r>
              <w:rPr>
                <w:rFonts w:ascii="Calibri" w:hAnsi="Calibri"/>
                <w:b w:val="0"/>
                <w:i w:val="0"/>
                <w:sz w:val="24"/>
              </w:rPr>
              <w:t>Fonctions WARN authenticated SD</w:t>
            </w:r>
          </w:p>
        </w:tc>
        <w:tc>
          <w:tcPr>
            <w:tcW w:type="dxa" w:w="2351"/>
            <w:vAlign w:val="top"/>
          </w:tcPr>
          <w:p>
            <w:pPr>
              <w:spacing w:before="60" w:after="60"/>
            </w:pPr>
            <w:r/>
            <w:r>
              <w:rPr>
                <w:rFonts w:ascii="Calibri" w:hAnsi="Calibri"/>
                <w:b w:val="0"/>
                <w:i w:val="0"/>
                <w:sz w:val="24"/>
              </w:rPr>
              <w:t>126</w:t>
            </w:r>
          </w:p>
        </w:tc>
        <w:tc>
          <w:tcPr>
            <w:tcW w:type="dxa" w:w="2351"/>
            <w:vAlign w:val="top"/>
          </w:tcPr>
          <w:p>
            <w:pPr>
              <w:spacing w:before="60" w:after="60"/>
            </w:pPr>
            <w:r/>
            <w:r>
              <w:rPr>
                <w:rFonts w:ascii="Calibri" w:hAnsi="Calibri"/>
                <w:b w:val="0"/>
                <w:i w:val="0"/>
                <w:sz w:val="24"/>
              </w:rPr>
              <w:t>≈225</w:t>
            </w:r>
          </w:p>
        </w:tc>
        <w:tc>
          <w:tcPr>
            <w:tcW w:type="dxa" w:w="2351"/>
            <w:vAlign w:val="top"/>
          </w:tcPr>
          <w:p>
            <w:pPr>
              <w:spacing w:before="60" w:after="60"/>
            </w:pPr>
            <w:r/>
            <w:r>
              <w:rPr>
                <w:rFonts w:ascii="Calibri" w:hAnsi="Calibri"/>
                <w:b w:val="0"/>
                <w:i w:val="0"/>
                <w:sz w:val="24"/>
              </w:rPr>
              <w:t>≈+99</w:t>
            </w:r>
          </w:p>
        </w:tc>
      </w:tr>
      <w:tr>
        <w:tc>
          <w:tcPr>
            <w:tcW w:type="dxa" w:w="2351"/>
            <w:vAlign w:val="top"/>
          </w:tcPr>
          <w:p>
            <w:pPr>
              <w:spacing w:before="60" w:after="60"/>
            </w:pPr>
            <w:r/>
            <w:r>
              <w:rPr>
                <w:rFonts w:ascii="Calibri" w:hAnsi="Calibri"/>
                <w:b w:val="0"/>
                <w:i w:val="0"/>
                <w:sz w:val="24"/>
              </w:rPr>
              <w:t>Branche consultation locale</w:t>
            </w:r>
          </w:p>
        </w:tc>
        <w:tc>
          <w:tcPr>
            <w:tcW w:type="dxa" w:w="2351"/>
            <w:vAlign w:val="top"/>
          </w:tcPr>
          <w:p>
            <w:pPr>
              <w:spacing w:before="60" w:after="60"/>
            </w:pPr>
            <w:r/>
            <w:r>
              <w:rPr>
                <w:rFonts w:ascii="Calibri" w:hAnsi="Calibri"/>
                <w:b w:val="0"/>
                <w:i w:val="0"/>
                <w:sz w:val="24"/>
              </w:rPr>
              <w:t>≈80 % (backend, manque triggers notify)</w:t>
            </w:r>
          </w:p>
        </w:tc>
        <w:tc>
          <w:tcPr>
            <w:tcW w:type="dxa" w:w="2351"/>
            <w:vAlign w:val="top"/>
          </w:tcPr>
          <w:p>
            <w:pPr>
              <w:spacing w:before="60" w:after="60"/>
            </w:pPr>
            <w:r/>
            <w:r>
              <w:rPr>
                <w:rFonts w:ascii="Calibri" w:hAnsi="Calibri"/>
                <w:b w:val="0"/>
                <w:i w:val="0"/>
                <w:sz w:val="24"/>
              </w:rPr>
              <w:t>≈95 % (triggers en prod, manque painel frontal)</w:t>
            </w:r>
          </w:p>
        </w:tc>
        <w:tc>
          <w:tcPr>
            <w:tcW w:type="dxa" w:w="2351"/>
            <w:vAlign w:val="top"/>
          </w:tcPr>
          <w:p>
            <w:pPr>
              <w:spacing w:before="60" w:after="60"/>
            </w:pPr>
            <w:r/>
            <w:r>
              <w:rPr>
                <w:rFonts w:ascii="Calibri" w:hAnsi="Calibri"/>
                <w:b w:val="0"/>
                <w:i w:val="0"/>
                <w:sz w:val="24"/>
              </w:rPr>
              <w:t>+15 pts</w:t>
            </w:r>
          </w:p>
        </w:tc>
      </w:tr>
      <w:tr>
        <w:tc>
          <w:tcPr>
            <w:tcW w:type="dxa" w:w="2351"/>
            <w:vAlign w:val="top"/>
          </w:tcPr>
          <w:p>
            <w:pPr>
              <w:spacing w:before="60" w:after="60"/>
            </w:pPr>
            <w:r/>
            <w:r>
              <w:rPr>
                <w:rFonts w:ascii="Calibri" w:hAnsi="Calibri"/>
                <w:b w:val="0"/>
                <w:i w:val="0"/>
                <w:sz w:val="24"/>
              </w:rPr>
              <w:t>Couche profils d'adoption</w:t>
            </w:r>
          </w:p>
        </w:tc>
        <w:tc>
          <w:tcPr>
            <w:tcW w:type="dxa" w:w="2351"/>
            <w:vAlign w:val="top"/>
          </w:tcPr>
          <w:p>
            <w:pPr>
              <w:spacing w:before="60" w:after="60"/>
            </w:pPr>
            <w:r/>
            <w:r>
              <w:rPr>
                <w:rFonts w:ascii="Calibri" w:hAnsi="Calibri"/>
                <w:b w:val="0"/>
                <w:i w:val="0"/>
                <w:sz w:val="24"/>
              </w:rPr>
              <w:t>Absente (anticipée par spec v0.3)</w:t>
            </w:r>
          </w:p>
        </w:tc>
        <w:tc>
          <w:tcPr>
            <w:tcW w:type="dxa" w:w="2351"/>
            <w:vAlign w:val="top"/>
          </w:tcPr>
          <w:p>
            <w:pPr>
              <w:spacing w:before="60" w:after="60"/>
            </w:pPr>
            <w:r/>
            <w:r>
              <w:rPr>
                <w:rFonts w:ascii="Calibri" w:hAnsi="Calibri"/>
                <w:b w:val="0"/>
                <w:i w:val="0"/>
                <w:sz w:val="24"/>
              </w:rPr>
              <w:t>≈90 % backend / ≈10 % frontend</w:t>
            </w:r>
          </w:p>
        </w:tc>
        <w:tc>
          <w:tcPr>
            <w:tcW w:type="dxa" w:w="2351"/>
            <w:vAlign w:val="top"/>
          </w:tcPr>
          <w:p>
            <w:pPr>
              <w:spacing w:before="60" w:after="60"/>
            </w:pPr>
            <w:r/>
            <w:r>
              <w:rPr>
                <w:rFonts w:ascii="Calibri" w:hAnsi="Calibri"/>
                <w:b w:val="0"/>
                <w:i w:val="0"/>
                <w:sz w:val="24"/>
              </w:rPr>
              <w:t>Nouveau palier</w:t>
            </w:r>
          </w:p>
        </w:tc>
      </w:tr>
      <w:tr>
        <w:tc>
          <w:tcPr>
            <w:tcW w:type="dxa" w:w="2351"/>
            <w:vAlign w:val="top"/>
          </w:tcPr>
          <w:p>
            <w:pPr>
              <w:spacing w:before="60" w:after="60"/>
            </w:pPr>
            <w:r/>
            <w:r>
              <w:rPr>
                <w:rFonts w:ascii="Calibri" w:hAnsi="Calibri"/>
                <w:b w:val="0"/>
                <w:i w:val="0"/>
                <w:sz w:val="24"/>
              </w:rPr>
              <w:t>Couche admin réseau</w:t>
            </w:r>
          </w:p>
        </w:tc>
        <w:tc>
          <w:tcPr>
            <w:tcW w:type="dxa" w:w="2351"/>
            <w:vAlign w:val="top"/>
          </w:tcPr>
          <w:p>
            <w:pPr>
              <w:spacing w:before="60" w:after="60"/>
            </w:pPr>
            <w:r/>
            <w:r>
              <w:rPr>
                <w:rFonts w:ascii="Calibri" w:hAnsi="Calibri"/>
                <w:b w:val="0"/>
                <w:i w:val="0"/>
                <w:sz w:val="24"/>
              </w:rPr>
              <w:t>Absente</w:t>
            </w:r>
          </w:p>
        </w:tc>
        <w:tc>
          <w:tcPr>
            <w:tcW w:type="dxa" w:w="2351"/>
            <w:vAlign w:val="top"/>
          </w:tcPr>
          <w:p>
            <w:pPr>
              <w:spacing w:before="60" w:after="60"/>
            </w:pPr>
            <w:r/>
            <w:r>
              <w:rPr>
                <w:rFonts w:ascii="Calibri" w:hAnsi="Calibri"/>
                <w:b w:val="0"/>
                <w:i w:val="0"/>
                <w:sz w:val="24"/>
              </w:rPr>
              <w:t>≈95 % backend / ≈70 % frontend</w:t>
            </w:r>
          </w:p>
        </w:tc>
        <w:tc>
          <w:tcPr>
            <w:tcW w:type="dxa" w:w="2351"/>
            <w:vAlign w:val="top"/>
          </w:tcPr>
          <w:p>
            <w:pPr>
              <w:spacing w:before="60" w:after="60"/>
            </w:pPr>
            <w:r/>
            <w:r>
              <w:rPr>
                <w:rFonts w:ascii="Calibri" w:hAnsi="Calibri"/>
                <w:b w:val="0"/>
                <w:i w:val="0"/>
                <w:sz w:val="24"/>
              </w:rPr>
              <w:t>Nouveau palier</w:t>
            </w:r>
          </w:p>
        </w:tc>
      </w:tr>
      <w:tr>
        <w:tc>
          <w:tcPr>
            <w:tcW w:type="dxa" w:w="2351"/>
            <w:vAlign w:val="top"/>
          </w:tcPr>
          <w:p>
            <w:pPr>
              <w:spacing w:before="60" w:after="60"/>
            </w:pPr>
            <w:r/>
            <w:r>
              <w:rPr>
                <w:rFonts w:ascii="Calibri" w:hAnsi="Calibri"/>
                <w:b w:val="0"/>
                <w:i w:val="0"/>
                <w:sz w:val="24"/>
              </w:rPr>
              <w:t>Couche gouvernance staff</w:t>
            </w:r>
          </w:p>
        </w:tc>
        <w:tc>
          <w:tcPr>
            <w:tcW w:type="dxa" w:w="2351"/>
            <w:vAlign w:val="top"/>
          </w:tcPr>
          <w:p>
            <w:pPr>
              <w:spacing w:before="60" w:after="60"/>
            </w:pPr>
            <w:r/>
            <w:r>
              <w:rPr>
                <w:rFonts w:ascii="Calibri" w:hAnsi="Calibri"/>
                <w:b w:val="0"/>
                <w:i w:val="0"/>
                <w:sz w:val="24"/>
              </w:rPr>
              <w:t>Embryonnaire (user_library_memberships)</w:t>
            </w:r>
          </w:p>
        </w:tc>
        <w:tc>
          <w:tcPr>
            <w:tcW w:type="dxa" w:w="2351"/>
            <w:vAlign w:val="top"/>
          </w:tcPr>
          <w:p>
            <w:pPr>
              <w:spacing w:before="60" w:after="60"/>
            </w:pPr>
            <w:r/>
            <w:r>
              <w:rPr>
                <w:rFonts w:ascii="Calibri" w:hAnsi="Calibri"/>
                <w:b w:val="0"/>
                <w:i w:val="0"/>
                <w:sz w:val="24"/>
              </w:rPr>
              <w:t>≈90 % backend / ≈50 % frontend</w:t>
            </w:r>
          </w:p>
        </w:tc>
        <w:tc>
          <w:tcPr>
            <w:tcW w:type="dxa" w:w="2351"/>
            <w:vAlign w:val="top"/>
          </w:tcPr>
          <w:p>
            <w:pPr>
              <w:spacing w:before="60" w:after="60"/>
            </w:pPr>
            <w:r/>
            <w:r>
              <w:rPr>
                <w:rFonts w:ascii="Calibri" w:hAnsi="Calibri"/>
                <w:b w:val="0"/>
                <w:i w:val="0"/>
                <w:sz w:val="24"/>
              </w:rPr>
              <w:t>Nouveau palier</w:t>
            </w:r>
          </w:p>
        </w:tc>
      </w:tr>
    </w:tbl>
    <w:p>
      <w:pPr>
        <w:spacing w:after="160"/>
      </w:pPr>
    </w:p>
    <w:p>
      <w:pPr>
        <w:keepNext/>
        <w:spacing w:before="480" w:after="240"/>
      </w:pPr>
      <w:r>
        <w:rPr>
          <w:rFonts w:ascii="Calibri" w:hAnsi="Calibri"/>
          <w:b/>
          <w:color w:val="1F4E79"/>
          <w:sz w:val="44"/>
        </w:rPr>
        <w:t>3. Cartographie quantifiée du backend, état au 19 mai 2026</w:t>
      </w:r>
    </w:p>
    <w:p>
      <w:pPr>
        <w:spacing w:before="0" w:after="160"/>
      </w:pPr>
      <w:r>
        <w:rPr>
          <w:rFonts w:ascii="Calibri" w:hAnsi="Calibri"/>
          <w:b w:val="0"/>
          <w:i w:val="0"/>
          <w:sz w:val="28"/>
        </w:rPr>
        <w:t>La v14 actualise la cartographie quantifiée v13 en l'élargissant aux paliers nouveaux. Le découpage en domaines reste celui de la v13, augmenté de quatre domaines nouveaux (profils d'adoption, admin réseau, gouvernance staff, cotisations) et d'un domaine consolidé (archivage transactionnel).</w:t>
      </w:r>
    </w:p>
    <w:p>
      <w:pPr>
        <w:keepNext/>
        <w:spacing w:before="360" w:after="160"/>
      </w:pPr>
      <w:r>
        <w:rPr>
          <w:rFonts w:ascii="Calibri" w:hAnsi="Calibri"/>
          <w:b/>
          <w:color w:val="2E74B5"/>
          <w:sz w:val="36"/>
        </w:rPr>
        <w:t>3.1 Tables — cartographie par domaine</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vAlign w:val="top"/>
            <w:shd w:val="clear" w:color="auto" w:fill="D9E2F3"/>
          </w:tcPr>
          <w:p>
            <w:pPr>
              <w:spacing w:before="60" w:after="60"/>
            </w:pPr>
            <w:r/>
            <w:r>
              <w:rPr>
                <w:rFonts w:ascii="Calibri" w:hAnsi="Calibri"/>
                <w:b/>
                <w:i w:val="0"/>
                <w:sz w:val="24"/>
              </w:rPr>
              <w:t>Domaine</w:t>
            </w:r>
          </w:p>
        </w:tc>
        <w:tc>
          <w:tcPr>
            <w:tcW w:type="dxa" w:w="3135"/>
            <w:vAlign w:val="top"/>
            <w:shd w:val="clear" w:color="auto" w:fill="D9E2F3"/>
          </w:tcPr>
          <w:p>
            <w:pPr>
              <w:spacing w:before="60" w:after="60"/>
            </w:pPr>
            <w:r/>
            <w:r>
              <w:rPr>
                <w:rFonts w:ascii="Calibri" w:hAnsi="Calibri"/>
                <w:b/>
                <w:i w:val="0"/>
                <w:sz w:val="24"/>
              </w:rPr>
              <w:t>Tables clefs</w:t>
            </w:r>
          </w:p>
        </w:tc>
        <w:tc>
          <w:tcPr>
            <w:tcW w:type="dxa" w:w="3135"/>
            <w:vAlign w:val="top"/>
            <w:shd w:val="clear" w:color="auto" w:fill="D9E2F3"/>
          </w:tcPr>
          <w:p>
            <w:pPr>
              <w:spacing w:before="60" w:after="60"/>
            </w:pPr>
            <w:r/>
            <w:r>
              <w:rPr>
                <w:rFonts w:ascii="Calibri" w:hAnsi="Calibri"/>
                <w:b/>
                <w:i w:val="0"/>
                <w:sz w:val="24"/>
              </w:rPr>
              <w:t>Total v14</w:t>
            </w:r>
          </w:p>
        </w:tc>
      </w:tr>
      <w:tr>
        <w:tc>
          <w:tcPr>
            <w:tcW w:type="dxa" w:w="3135"/>
            <w:vAlign w:val="top"/>
          </w:tcPr>
          <w:p>
            <w:pPr>
              <w:spacing w:before="60" w:after="60"/>
            </w:pPr>
            <w:r/>
            <w:r>
              <w:rPr>
                <w:rFonts w:ascii="Calibri" w:hAnsi="Calibri"/>
                <w:b w:val="0"/>
                <w:i w:val="0"/>
                <w:sz w:val="24"/>
              </w:rPr>
              <w:t>Catalogue documentaire</w:t>
            </w:r>
          </w:p>
        </w:tc>
        <w:tc>
          <w:tcPr>
            <w:tcW w:type="dxa" w:w="3135"/>
            <w:vAlign w:val="top"/>
          </w:tcPr>
          <w:p>
            <w:pPr>
              <w:spacing w:before="60" w:after="60"/>
            </w:pPr>
            <w:r/>
            <w:r>
              <w:rPr>
                <w:rFonts w:ascii="Calibri" w:hAnsi="Calibri"/>
                <w:b w:val="0"/>
                <w:i w:val="0"/>
                <w:sz w:val="24"/>
              </w:rPr>
              <w:t>books, book_authors, authors, author_translations, book_holdings, exemplares, digital_assets, book_digital_resources, book_contributors, book_catalog_context, author_name_aliases</w:t>
            </w:r>
          </w:p>
        </w:tc>
        <w:tc>
          <w:tcPr>
            <w:tcW w:type="dxa" w:w="3135"/>
            <w:vAlign w:val="top"/>
          </w:tcPr>
          <w:p>
            <w:pPr>
              <w:spacing w:before="60" w:after="60"/>
            </w:pPr>
            <w:r/>
            <w:r>
              <w:rPr>
                <w:rFonts w:ascii="Calibri" w:hAnsi="Calibri"/>
                <w:b w:val="0"/>
                <w:i w:val="0"/>
                <w:sz w:val="24"/>
              </w:rPr>
              <w:t>11 (+1)</w:t>
            </w:r>
          </w:p>
        </w:tc>
      </w:tr>
      <w:tr>
        <w:tc>
          <w:tcPr>
            <w:tcW w:type="dxa" w:w="3135"/>
            <w:vAlign w:val="top"/>
          </w:tcPr>
          <w:p>
            <w:pPr>
              <w:spacing w:before="60" w:after="60"/>
            </w:pPr>
            <w:r/>
            <w:r>
              <w:rPr>
                <w:rFonts w:ascii="Calibri" w:hAnsi="Calibri"/>
                <w:b w:val="0"/>
                <w:i w:val="0"/>
                <w:sz w:val="24"/>
              </w:rPr>
              <w:t>Drafts éditoriaux (catalogação)</w:t>
            </w:r>
          </w:p>
        </w:tc>
        <w:tc>
          <w:tcPr>
            <w:tcW w:type="dxa" w:w="3135"/>
            <w:vAlign w:val="top"/>
          </w:tcPr>
          <w:p>
            <w:pPr>
              <w:spacing w:before="60" w:after="60"/>
            </w:pPr>
            <w:r/>
            <w:r>
              <w:rPr>
                <w:rFonts w:ascii="Calibri" w:hAnsi="Calibri"/>
                <w:b w:val="0"/>
                <w:i w:val="0"/>
                <w:sz w:val="24"/>
              </w:rPr>
              <w:t>book_drafts, author_drafts, exemplar_drafts, catalog_batches, book_draft_catalog_context, book_draft_contributors, book_draft_digital_resources, book_draft_import_events</w:t>
            </w:r>
          </w:p>
        </w:tc>
        <w:tc>
          <w:tcPr>
            <w:tcW w:type="dxa" w:w="3135"/>
            <w:vAlign w:val="top"/>
          </w:tcPr>
          <w:p>
            <w:pPr>
              <w:spacing w:before="60" w:after="60"/>
            </w:pPr>
            <w:r/>
            <w:r>
              <w:rPr>
                <w:rFonts w:ascii="Calibri" w:hAnsi="Calibri"/>
                <w:b w:val="0"/>
                <w:i w:val="0"/>
                <w:sz w:val="24"/>
              </w:rPr>
              <w:t>8 (=)</w:t>
            </w:r>
          </w:p>
        </w:tc>
      </w:tr>
      <w:tr>
        <w:tc>
          <w:tcPr>
            <w:tcW w:type="dxa" w:w="3135"/>
            <w:vAlign w:val="top"/>
          </w:tcPr>
          <w:p>
            <w:pPr>
              <w:spacing w:before="60" w:after="60"/>
            </w:pPr>
            <w:r/>
            <w:r>
              <w:rPr>
                <w:rFonts w:ascii="Calibri" w:hAnsi="Calibri"/>
                <w:b w:val="0"/>
                <w:i w:val="0"/>
                <w:sz w:val="24"/>
              </w:rPr>
              <w:t>Imports partenaires (ingest)</w:t>
            </w:r>
          </w:p>
        </w:tc>
        <w:tc>
          <w:tcPr>
            <w:tcW w:type="dxa" w:w="3135"/>
            <w:vAlign w:val="top"/>
          </w:tcPr>
          <w:p>
            <w:pPr>
              <w:spacing w:before="60" w:after="60"/>
            </w:pPr>
            <w:r/>
            <w:r>
              <w:rPr>
                <w:rFonts w:ascii="Calibri" w:hAnsi="Calibri"/>
                <w:b w:val="0"/>
                <w:i w:val="0"/>
                <w:sz w:val="24"/>
              </w:rPr>
              <w:t>partner_catalog_sources, partner_catalog_import_runs, partner_catalog_import_files, partner_catalog_staging_rows, partner_catalog_match_candidates, partner_catalog_row_to_draft, partner_catalog_import_dispatch_log</w:t>
            </w:r>
          </w:p>
        </w:tc>
        <w:tc>
          <w:tcPr>
            <w:tcW w:type="dxa" w:w="3135"/>
            <w:vAlign w:val="top"/>
          </w:tcPr>
          <w:p>
            <w:pPr>
              <w:spacing w:before="60" w:after="60"/>
            </w:pPr>
            <w:r/>
            <w:r>
              <w:rPr>
                <w:rFonts w:ascii="Calibri" w:hAnsi="Calibri"/>
                <w:b w:val="0"/>
                <w:i w:val="0"/>
                <w:sz w:val="24"/>
              </w:rPr>
              <w:t>7 (=)</w:t>
            </w:r>
          </w:p>
        </w:tc>
      </w:tr>
      <w:tr>
        <w:tc>
          <w:tcPr>
            <w:tcW w:type="dxa" w:w="3135"/>
            <w:vAlign w:val="top"/>
          </w:tcPr>
          <w:p>
            <w:pPr>
              <w:spacing w:before="60" w:after="60"/>
            </w:pPr>
            <w:r/>
            <w:r>
              <w:rPr>
                <w:rFonts w:ascii="Calibri" w:hAnsi="Calibri"/>
                <w:b w:val="0"/>
                <w:i w:val="0"/>
                <w:sz w:val="24"/>
              </w:rPr>
              <w:t>Authorities et catalog_ref (références)</w:t>
            </w:r>
          </w:p>
        </w:tc>
        <w:tc>
          <w:tcPr>
            <w:tcW w:type="dxa" w:w="3135"/>
            <w:vAlign w:val="top"/>
          </w:tcPr>
          <w:p>
            <w:pPr>
              <w:spacing w:before="60" w:after="60"/>
            </w:pPr>
            <w:r/>
            <w:r>
              <w:rPr>
                <w:rFonts w:ascii="Calibri" w:hAnsi="Calibri"/>
                <w:b w:val="0"/>
                <w:i w:val="0"/>
                <w:sz w:val="24"/>
              </w:rPr>
              <w:t>catalog_ref_acquisition_modes/confidence_levels/import_methods/mutualization_statuses/review_statuses/source_formats/source_partners/source_systems</w:t>
            </w:r>
          </w:p>
        </w:tc>
        <w:tc>
          <w:tcPr>
            <w:tcW w:type="dxa" w:w="3135"/>
            <w:vAlign w:val="top"/>
          </w:tcPr>
          <w:p>
            <w:pPr>
              <w:spacing w:before="60" w:after="60"/>
            </w:pPr>
            <w:r/>
            <w:r>
              <w:rPr>
                <w:rFonts w:ascii="Calibri" w:hAnsi="Calibri"/>
                <w:b w:val="0"/>
                <w:i w:val="0"/>
                <w:sz w:val="24"/>
              </w:rPr>
              <w:t>8 (−1, alias déplacé)</w:t>
            </w:r>
          </w:p>
        </w:tc>
      </w:tr>
      <w:tr>
        <w:tc>
          <w:tcPr>
            <w:tcW w:type="dxa" w:w="3135"/>
            <w:vAlign w:val="top"/>
          </w:tcPr>
          <w:p>
            <w:pPr>
              <w:spacing w:before="60" w:after="60"/>
            </w:pPr>
            <w:r/>
            <w:r>
              <w:rPr>
                <w:rFonts w:ascii="Calibri" w:hAnsi="Calibri"/>
                <w:b w:val="0"/>
                <w:i w:val="0"/>
                <w:sz w:val="24"/>
              </w:rPr>
              <w:t>Réservations v2</w:t>
            </w:r>
          </w:p>
        </w:tc>
        <w:tc>
          <w:tcPr>
            <w:tcW w:type="dxa" w:w="3135"/>
            <w:vAlign w:val="top"/>
          </w:tcPr>
          <w:p>
            <w:pPr>
              <w:spacing w:before="60" w:after="60"/>
            </w:pPr>
            <w:r/>
            <w:r>
              <w:rPr>
                <w:rFonts w:ascii="Calibri" w:hAnsi="Calibri"/>
                <w:b w:val="0"/>
                <w:i w:val="0"/>
                <w:sz w:val="24"/>
              </w:rPr>
              <w:t>reservas_v2, reserva_linhas_v2, reserva_item_workflow_v2</w:t>
            </w:r>
          </w:p>
        </w:tc>
        <w:tc>
          <w:tcPr>
            <w:tcW w:type="dxa" w:w="3135"/>
            <w:vAlign w:val="top"/>
          </w:tcPr>
          <w:p>
            <w:pPr>
              <w:spacing w:before="60" w:after="60"/>
            </w:pPr>
            <w:r/>
            <w:r>
              <w:rPr>
                <w:rFonts w:ascii="Calibri" w:hAnsi="Calibri"/>
                <w:b w:val="0"/>
                <w:i w:val="0"/>
                <w:sz w:val="24"/>
              </w:rPr>
              <w:t>3 (=)</w:t>
            </w:r>
          </w:p>
        </w:tc>
      </w:tr>
      <w:tr>
        <w:tc>
          <w:tcPr>
            <w:tcW w:type="dxa" w:w="3135"/>
            <w:vAlign w:val="top"/>
          </w:tcPr>
          <w:p>
            <w:pPr>
              <w:spacing w:before="60" w:after="60"/>
            </w:pPr>
            <w:r/>
            <w:r>
              <w:rPr>
                <w:rFonts w:ascii="Calibri" w:hAnsi="Calibri"/>
                <w:b w:val="0"/>
                <w:i w:val="0"/>
                <w:sz w:val="24"/>
              </w:rPr>
              <w:t>Emprunts v2</w:t>
            </w:r>
          </w:p>
        </w:tc>
        <w:tc>
          <w:tcPr>
            <w:tcW w:type="dxa" w:w="3135"/>
            <w:vAlign w:val="top"/>
          </w:tcPr>
          <w:p>
            <w:pPr>
              <w:spacing w:before="60" w:after="60"/>
            </w:pPr>
            <w:r/>
            <w:r>
              <w:rPr>
                <w:rFonts w:ascii="Calibri" w:hAnsi="Calibri"/>
                <w:b w:val="0"/>
                <w:i w:val="0"/>
                <w:sz w:val="24"/>
              </w:rPr>
              <w:t>emprestimos_v2, emprestimo_itens_v2</w:t>
            </w:r>
          </w:p>
        </w:tc>
        <w:tc>
          <w:tcPr>
            <w:tcW w:type="dxa" w:w="3135"/>
            <w:vAlign w:val="top"/>
          </w:tcPr>
          <w:p>
            <w:pPr>
              <w:spacing w:before="60" w:after="60"/>
            </w:pPr>
            <w:r/>
            <w:r>
              <w:rPr>
                <w:rFonts w:ascii="Calibri" w:hAnsi="Calibri"/>
                <w:b w:val="0"/>
                <w:i w:val="0"/>
                <w:sz w:val="24"/>
              </w:rPr>
              <w:t>2 (=)</w:t>
            </w:r>
          </w:p>
        </w:tc>
      </w:tr>
      <w:tr>
        <w:tc>
          <w:tcPr>
            <w:tcW w:type="dxa" w:w="3135"/>
            <w:vAlign w:val="top"/>
          </w:tcPr>
          <w:p>
            <w:pPr>
              <w:spacing w:before="60" w:after="60"/>
            </w:pPr>
            <w:r/>
            <w:r>
              <w:rPr>
                <w:rFonts w:ascii="Calibri" w:hAnsi="Calibri"/>
                <w:b w:val="0"/>
                <w:i w:val="0"/>
                <w:sz w:val="24"/>
              </w:rPr>
              <w:t>Consultation locale v2</w:t>
            </w:r>
          </w:p>
        </w:tc>
        <w:tc>
          <w:tcPr>
            <w:tcW w:type="dxa" w:w="3135"/>
            <w:vAlign w:val="top"/>
          </w:tcPr>
          <w:p>
            <w:pPr>
              <w:spacing w:before="60" w:after="60"/>
            </w:pPr>
            <w:r/>
            <w:r>
              <w:rPr>
                <w:rFonts w:ascii="Calibri" w:hAnsi="Calibri"/>
                <w:b w:val="0"/>
                <w:i w:val="0"/>
                <w:sz w:val="24"/>
              </w:rPr>
              <w:t>consultas_locais_v2, consulta_linhas_v2, consulta_item_workflow_v2</w:t>
            </w:r>
          </w:p>
        </w:tc>
        <w:tc>
          <w:tcPr>
            <w:tcW w:type="dxa" w:w="3135"/>
            <w:vAlign w:val="top"/>
          </w:tcPr>
          <w:p>
            <w:pPr>
              <w:spacing w:before="60" w:after="60"/>
            </w:pPr>
            <w:r/>
            <w:r>
              <w:rPr>
                <w:rFonts w:ascii="Calibri" w:hAnsi="Calibri"/>
                <w:b w:val="0"/>
                <w:i w:val="0"/>
                <w:sz w:val="24"/>
              </w:rPr>
              <w:t>3 (=, désormais notifié)</w:t>
            </w:r>
          </w:p>
        </w:tc>
      </w:tr>
      <w:tr>
        <w:tc>
          <w:tcPr>
            <w:tcW w:type="dxa" w:w="3135"/>
            <w:vAlign w:val="top"/>
          </w:tcPr>
          <w:p>
            <w:pPr>
              <w:spacing w:before="60" w:after="60"/>
            </w:pPr>
            <w:r/>
            <w:r>
              <w:rPr>
                <w:rFonts w:ascii="Calibri" w:hAnsi="Calibri"/>
                <w:b w:val="0"/>
                <w:i w:val="0"/>
                <w:sz w:val="24"/>
              </w:rPr>
              <w:t>Prêt inter-bibliothèques v2 (BTL)</w:t>
            </w:r>
          </w:p>
        </w:tc>
        <w:tc>
          <w:tcPr>
            <w:tcW w:type="dxa" w:w="3135"/>
            <w:vAlign w:val="top"/>
          </w:tcPr>
          <w:p>
            <w:pPr>
              <w:spacing w:before="60" w:after="60"/>
            </w:pPr>
            <w:r/>
            <w:r>
              <w:rPr>
                <w:rFonts w:ascii="Calibri" w:hAnsi="Calibri"/>
                <w:b w:val="0"/>
                <w:i w:val="0"/>
                <w:sz w:val="24"/>
              </w:rPr>
              <w:t>interlibrary_loans_v2, interlibrary_loan_items_v2, interlibrary_loan_events, interlibrary_loan_notification_events</w:t>
            </w:r>
          </w:p>
        </w:tc>
        <w:tc>
          <w:tcPr>
            <w:tcW w:type="dxa" w:w="3135"/>
            <w:vAlign w:val="top"/>
          </w:tcPr>
          <w:p>
            <w:pPr>
              <w:spacing w:before="60" w:after="60"/>
            </w:pPr>
            <w:r/>
            <w:r>
              <w:rPr>
                <w:rFonts w:ascii="Calibri" w:hAnsi="Calibri"/>
                <w:b w:val="0"/>
                <w:i w:val="0"/>
                <w:sz w:val="24"/>
              </w:rPr>
              <w:t>4 (=)</w:t>
            </w:r>
          </w:p>
        </w:tc>
      </w:tr>
      <w:tr>
        <w:tc>
          <w:tcPr>
            <w:tcW w:type="dxa" w:w="3135"/>
            <w:vAlign w:val="top"/>
          </w:tcPr>
          <w:p>
            <w:pPr>
              <w:spacing w:before="60" w:after="60"/>
            </w:pPr>
            <w:r/>
            <w:r>
              <w:rPr>
                <w:rFonts w:ascii="Calibri" w:hAnsi="Calibri"/>
                <w:b w:val="0"/>
                <w:i w:val="0"/>
                <w:sz w:val="24"/>
              </w:rPr>
              <w:t>Profils, droits, restrictions</w:t>
            </w:r>
          </w:p>
        </w:tc>
        <w:tc>
          <w:tcPr>
            <w:tcW w:type="dxa" w:w="3135"/>
            <w:vAlign w:val="top"/>
          </w:tcPr>
          <w:p>
            <w:pPr>
              <w:spacing w:before="60" w:after="60"/>
            </w:pPr>
            <w:r/>
            <w:r>
              <w:rPr>
                <w:rFonts w:ascii="Calibri" w:hAnsi="Calibri"/>
                <w:b w:val="0"/>
                <w:i w:val="0"/>
                <w:sz w:val="24"/>
              </w:rPr>
              <w:t>profiles, user_library_memberships, user_notifications, user_wishlist</w:t>
            </w:r>
          </w:p>
        </w:tc>
        <w:tc>
          <w:tcPr>
            <w:tcW w:type="dxa" w:w="3135"/>
            <w:vAlign w:val="top"/>
          </w:tcPr>
          <w:p>
            <w:pPr>
              <w:spacing w:before="60" w:after="60"/>
            </w:pPr>
            <w:r/>
            <w:r>
              <w:rPr>
                <w:rFonts w:ascii="Calibri" w:hAnsi="Calibri"/>
                <w:b w:val="0"/>
                <w:i w:val="0"/>
                <w:sz w:val="24"/>
              </w:rPr>
              <w:t>4 (=, schéma user_library_memberships enrichi)</w:t>
            </w:r>
          </w:p>
        </w:tc>
      </w:tr>
      <w:tr>
        <w:tc>
          <w:tcPr>
            <w:tcW w:type="dxa" w:w="3135"/>
            <w:vAlign w:val="top"/>
          </w:tcPr>
          <w:p>
            <w:pPr>
              <w:spacing w:before="60" w:after="60"/>
            </w:pPr>
            <w:r/>
            <w:r>
              <w:rPr>
                <w:rFonts w:ascii="Calibri" w:hAnsi="Calibri"/>
                <w:b w:val="0"/>
                <w:i w:val="0"/>
                <w:sz w:val="24"/>
              </w:rPr>
              <w:t>Bibliothèques et gouvernance</w:t>
            </w:r>
          </w:p>
        </w:tc>
        <w:tc>
          <w:tcPr>
            <w:tcW w:type="dxa" w:w="3135"/>
            <w:vAlign w:val="top"/>
          </w:tcPr>
          <w:p>
            <w:pPr>
              <w:spacing w:before="60" w:after="60"/>
            </w:pPr>
            <w:r/>
            <w:r>
              <w:rPr>
                <w:rFonts w:ascii="Calibri" w:hAnsi="Calibri"/>
                <w:b w:val="0"/>
                <w:i w:val="0"/>
                <w:sz w:val="24"/>
              </w:rPr>
              <w:t>libraries, library_circulation_policy_sets/rules, library_regulation_documents, library_service_state, library_contact_profiles, library_document_governance, library_themes, library_theme_configs, library_commons</w:t>
            </w:r>
          </w:p>
        </w:tc>
        <w:tc>
          <w:tcPr>
            <w:tcW w:type="dxa" w:w="3135"/>
            <w:vAlign w:val="top"/>
          </w:tcPr>
          <w:p>
            <w:pPr>
              <w:spacing w:before="60" w:after="60"/>
            </w:pPr>
            <w:r/>
            <w:r>
              <w:rPr>
                <w:rFonts w:ascii="Calibri" w:hAnsi="Calibri"/>
                <w:b w:val="0"/>
                <w:i w:val="0"/>
                <w:sz w:val="24"/>
              </w:rPr>
              <w:t>10 (=)</w:t>
            </w:r>
          </w:p>
        </w:tc>
      </w:tr>
      <w:tr>
        <w:tc>
          <w:tcPr>
            <w:tcW w:type="dxa" w:w="3135"/>
            <w:vAlign w:val="top"/>
          </w:tcPr>
          <w:p>
            <w:pPr>
              <w:spacing w:before="60" w:after="60"/>
            </w:pPr>
            <w:r/>
            <w:r>
              <w:rPr>
                <w:rFonts w:ascii="Calibri" w:hAnsi="Calibri"/>
                <w:b w:val="0"/>
                <w:i w:val="0"/>
                <w:sz w:val="24"/>
              </w:rPr>
              <w:t>Communications par bibliothèque</w:t>
            </w:r>
          </w:p>
        </w:tc>
        <w:tc>
          <w:tcPr>
            <w:tcW w:type="dxa" w:w="3135"/>
            <w:vAlign w:val="top"/>
          </w:tcPr>
          <w:p>
            <w:pPr>
              <w:spacing w:before="60" w:after="60"/>
            </w:pPr>
            <w:r/>
            <w:r>
              <w:rPr>
                <w:rFonts w:ascii="Calibri" w:hAnsi="Calibri"/>
                <w:b w:val="0"/>
                <w:i w:val="0"/>
                <w:sz w:val="24"/>
              </w:rPr>
              <w:t>library_notification_policies, library_notification_profiles, library_email_identity, library_mail_channels</w:t>
            </w:r>
          </w:p>
        </w:tc>
        <w:tc>
          <w:tcPr>
            <w:tcW w:type="dxa" w:w="3135"/>
            <w:vAlign w:val="top"/>
          </w:tcPr>
          <w:p>
            <w:pPr>
              <w:spacing w:before="60" w:after="60"/>
            </w:pPr>
            <w:r/>
            <w:r>
              <w:rPr>
                <w:rFonts w:ascii="Calibri" w:hAnsi="Calibri"/>
                <w:b w:val="0"/>
                <w:i w:val="0"/>
                <w:sz w:val="24"/>
              </w:rPr>
              <w:t>4 (=)</w:t>
            </w:r>
          </w:p>
        </w:tc>
      </w:tr>
      <w:tr>
        <w:tc>
          <w:tcPr>
            <w:tcW w:type="dxa" w:w="3135"/>
            <w:vAlign w:val="top"/>
          </w:tcPr>
          <w:p>
            <w:pPr>
              <w:spacing w:before="60" w:after="60"/>
            </w:pPr>
            <w:r/>
            <w:r>
              <w:rPr>
                <w:rFonts w:ascii="Calibri" w:hAnsi="Calibri"/>
                <w:b w:val="0"/>
                <w:i w:val="0"/>
                <w:sz w:val="24"/>
              </w:rPr>
              <w:t>Onboarding bibliothèques</w:t>
            </w:r>
          </w:p>
        </w:tc>
        <w:tc>
          <w:tcPr>
            <w:tcW w:type="dxa" w:w="3135"/>
            <w:vAlign w:val="top"/>
          </w:tcPr>
          <w:p>
            <w:pPr>
              <w:spacing w:before="60" w:after="60"/>
            </w:pPr>
            <w:r/>
            <w:r>
              <w:rPr>
                <w:rFonts w:ascii="Calibri" w:hAnsi="Calibri"/>
                <w:b w:val="0"/>
                <w:i w:val="0"/>
                <w:sz w:val="24"/>
              </w:rPr>
              <w:t>library_requests, library_request_claims, library_request_notification_events</w:t>
            </w:r>
          </w:p>
        </w:tc>
        <w:tc>
          <w:tcPr>
            <w:tcW w:type="dxa" w:w="3135"/>
            <w:vAlign w:val="top"/>
          </w:tcPr>
          <w:p>
            <w:pPr>
              <w:spacing w:before="60" w:after="60"/>
            </w:pPr>
            <w:r/>
            <w:r>
              <w:rPr>
                <w:rFonts w:ascii="Calibri" w:hAnsi="Calibri"/>
                <w:b w:val="0"/>
                <w:i w:val="0"/>
                <w:sz w:val="24"/>
              </w:rPr>
              <w:t>3 (=)</w:t>
            </w:r>
          </w:p>
        </w:tc>
      </w:tr>
      <w:tr>
        <w:tc>
          <w:tcPr>
            <w:tcW w:type="dxa" w:w="3135"/>
            <w:vAlign w:val="top"/>
          </w:tcPr>
          <w:p>
            <w:pPr>
              <w:spacing w:before="60" w:after="60"/>
            </w:pPr>
            <w:r/>
            <w:r>
              <w:rPr>
                <w:rFonts w:ascii="Calibri" w:hAnsi="Calibri"/>
                <w:b w:val="0"/>
                <w:i w:val="0"/>
                <w:sz w:val="24"/>
              </w:rPr>
              <w:t>Catalog partners (probing)</w:t>
            </w:r>
          </w:p>
        </w:tc>
        <w:tc>
          <w:tcPr>
            <w:tcW w:type="dxa" w:w="3135"/>
            <w:vAlign w:val="top"/>
          </w:tcPr>
          <w:p>
            <w:pPr>
              <w:spacing w:before="60" w:after="60"/>
            </w:pPr>
            <w:r/>
            <w:r>
              <w:rPr>
                <w:rFonts w:ascii="Calibri" w:hAnsi="Calibri"/>
                <w:b w:val="0"/>
                <w:i w:val="0"/>
                <w:sz w:val="24"/>
              </w:rPr>
              <w:t>catalog_partners, catalog_partner_capabilities, catalog_partner_probe_runs</w:t>
            </w:r>
          </w:p>
        </w:tc>
        <w:tc>
          <w:tcPr>
            <w:tcW w:type="dxa" w:w="3135"/>
            <w:vAlign w:val="top"/>
          </w:tcPr>
          <w:p>
            <w:pPr>
              <w:spacing w:before="60" w:after="60"/>
            </w:pPr>
            <w:r/>
            <w:r>
              <w:rPr>
                <w:rFonts w:ascii="Calibri" w:hAnsi="Calibri"/>
                <w:b w:val="0"/>
                <w:i w:val="0"/>
                <w:sz w:val="24"/>
              </w:rPr>
              <w:t>3 (=)</w:t>
            </w:r>
          </w:p>
        </w:tc>
      </w:tr>
      <w:tr>
        <w:tc>
          <w:tcPr>
            <w:tcW w:type="dxa" w:w="3135"/>
            <w:vAlign w:val="top"/>
          </w:tcPr>
          <w:p>
            <w:pPr>
              <w:spacing w:before="60" w:after="60"/>
            </w:pPr>
            <w:r/>
            <w:r>
              <w:rPr>
                <w:rFonts w:ascii="Calibri" w:hAnsi="Calibri"/>
                <w:b w:val="0"/>
                <w:i w:val="0"/>
                <w:sz w:val="24"/>
              </w:rPr>
              <w:t>Réseau et personnel local</w:t>
            </w:r>
          </w:p>
        </w:tc>
        <w:tc>
          <w:tcPr>
            <w:tcW w:type="dxa" w:w="3135"/>
            <w:vAlign w:val="top"/>
          </w:tcPr>
          <w:p>
            <w:pPr>
              <w:spacing w:before="60" w:after="60"/>
            </w:pPr>
            <w:r/>
            <w:r>
              <w:rPr>
                <w:rFonts w:ascii="Calibri" w:hAnsi="Calibri"/>
                <w:b w:val="0"/>
                <w:i w:val="0"/>
                <w:sz w:val="24"/>
              </w:rPr>
              <w:t>partner_source_records, partner_source_holdings, partner_source_items, network_reviewers</w:t>
            </w:r>
          </w:p>
        </w:tc>
        <w:tc>
          <w:tcPr>
            <w:tcW w:type="dxa" w:w="3135"/>
            <w:vAlign w:val="top"/>
          </w:tcPr>
          <w:p>
            <w:pPr>
              <w:spacing w:before="60" w:after="60"/>
            </w:pPr>
            <w:r/>
            <w:r>
              <w:rPr>
                <w:rFonts w:ascii="Calibri" w:hAnsi="Calibri"/>
                <w:b w:val="0"/>
                <w:i w:val="0"/>
                <w:sz w:val="24"/>
              </w:rPr>
              <w:t>4 (=)</w:t>
            </w:r>
          </w:p>
        </w:tc>
      </w:tr>
      <w:tr>
        <w:tc>
          <w:tcPr>
            <w:tcW w:type="dxa" w:w="3135"/>
            <w:vAlign w:val="top"/>
          </w:tcPr>
          <w:p>
            <w:pPr>
              <w:spacing w:before="60" w:after="60"/>
            </w:pPr>
            <w:r/>
            <w:r>
              <w:rPr>
                <w:rFonts w:ascii="Calibri" w:hAnsi="Calibri"/>
                <w:b w:val="0"/>
                <w:i w:val="0"/>
                <w:sz w:val="24"/>
              </w:rPr>
              <w:t>Tâches internes (painel)</w:t>
            </w:r>
          </w:p>
        </w:tc>
        <w:tc>
          <w:tcPr>
            <w:tcW w:type="dxa" w:w="3135"/>
            <w:vAlign w:val="top"/>
          </w:tcPr>
          <w:p>
            <w:pPr>
              <w:spacing w:before="60" w:after="60"/>
            </w:pPr>
            <w:r/>
            <w:r>
              <w:rPr>
                <w:rFonts w:ascii="Calibri" w:hAnsi="Calibri"/>
                <w:b w:val="0"/>
                <w:i w:val="0"/>
                <w:sz w:val="24"/>
              </w:rPr>
              <w:t>painel_internal_tasks, painel_internal_task_invites, painel_internal_task_invitation_outbox, painel_internal_task_notification_outbox</w:t>
            </w:r>
          </w:p>
        </w:tc>
        <w:tc>
          <w:tcPr>
            <w:tcW w:type="dxa" w:w="3135"/>
            <w:vAlign w:val="top"/>
          </w:tcPr>
          <w:p>
            <w:pPr>
              <w:spacing w:before="60" w:after="60"/>
            </w:pPr>
            <w:r/>
            <w:r>
              <w:rPr>
                <w:rFonts w:ascii="Calibri" w:hAnsi="Calibri"/>
                <w:b w:val="0"/>
                <w:i w:val="0"/>
                <w:sz w:val="24"/>
              </w:rPr>
              <w:t>4 (=)</w:t>
            </w:r>
          </w:p>
        </w:tc>
      </w:tr>
      <w:tr>
        <w:tc>
          <w:tcPr>
            <w:tcW w:type="dxa" w:w="3135"/>
            <w:vAlign w:val="top"/>
          </w:tcPr>
          <w:p>
            <w:pPr>
              <w:spacing w:before="60" w:after="60"/>
            </w:pPr>
            <w:r/>
            <w:r>
              <w:rPr>
                <w:rFonts w:ascii="Calibri" w:hAnsi="Calibri"/>
                <w:b w:val="0"/>
                <w:i w:val="0"/>
                <w:sz w:val="24"/>
              </w:rPr>
              <w:t>Documents et permissions</w:t>
            </w:r>
          </w:p>
        </w:tc>
        <w:tc>
          <w:tcPr>
            <w:tcW w:type="dxa" w:w="3135"/>
            <w:vAlign w:val="top"/>
          </w:tcPr>
          <w:p>
            <w:pPr>
              <w:spacing w:before="60" w:after="60"/>
            </w:pPr>
            <w:r/>
            <w:r>
              <w:rPr>
                <w:rFonts w:ascii="Calibri" w:hAnsi="Calibri"/>
                <w:b w:val="0"/>
                <w:i w:val="0"/>
                <w:sz w:val="24"/>
              </w:rPr>
              <w:t>document_permission_requests, document_permission_request_notification_events</w:t>
            </w:r>
          </w:p>
        </w:tc>
        <w:tc>
          <w:tcPr>
            <w:tcW w:type="dxa" w:w="3135"/>
            <w:vAlign w:val="top"/>
          </w:tcPr>
          <w:p>
            <w:pPr>
              <w:spacing w:before="60" w:after="60"/>
            </w:pPr>
            <w:r/>
            <w:r>
              <w:rPr>
                <w:rFonts w:ascii="Calibri" w:hAnsi="Calibri"/>
                <w:b w:val="0"/>
                <w:i w:val="0"/>
                <w:sz w:val="24"/>
              </w:rPr>
              <w:t>2 (=)</w:t>
            </w:r>
          </w:p>
        </w:tc>
      </w:tr>
      <w:tr>
        <w:tc>
          <w:tcPr>
            <w:tcW w:type="dxa" w:w="3135"/>
            <w:vAlign w:val="top"/>
          </w:tcPr>
          <w:p>
            <w:pPr>
              <w:spacing w:before="60" w:after="60"/>
            </w:pPr>
            <w:r/>
            <w:r>
              <w:rPr>
                <w:rFonts w:ascii="Calibri" w:hAnsi="Calibri"/>
                <w:b w:val="0"/>
                <w:i w:val="0"/>
                <w:sz w:val="24"/>
              </w:rPr>
              <w:t>Profils d'adoption (NOUVEAU)</w:t>
            </w:r>
          </w:p>
        </w:tc>
        <w:tc>
          <w:tcPr>
            <w:tcW w:type="dxa" w:w="3135"/>
            <w:vAlign w:val="top"/>
          </w:tcPr>
          <w:p>
            <w:pPr>
              <w:spacing w:before="60" w:after="60"/>
            </w:pPr>
            <w:r/>
            <w:r>
              <w:rPr>
                <w:rFonts w:ascii="Calibri" w:hAnsi="Calibri"/>
                <w:b w:val="0"/>
                <w:i w:val="0"/>
                <w:sz w:val="24"/>
              </w:rPr>
              <w:t>library_profile_history, library_profile_proposals, library_profile_votes, library_profile_grace_locks</w:t>
            </w:r>
          </w:p>
        </w:tc>
        <w:tc>
          <w:tcPr>
            <w:tcW w:type="dxa" w:w="3135"/>
            <w:vAlign w:val="top"/>
          </w:tcPr>
          <w:p>
            <w:pPr>
              <w:spacing w:before="60" w:after="60"/>
            </w:pPr>
            <w:r/>
            <w:r>
              <w:rPr>
                <w:rFonts w:ascii="Calibri" w:hAnsi="Calibri"/>
                <w:b w:val="0"/>
                <w:i w:val="0"/>
                <w:sz w:val="24"/>
              </w:rPr>
              <w:t>4 (nouveau)</w:t>
            </w:r>
          </w:p>
        </w:tc>
      </w:tr>
      <w:tr>
        <w:tc>
          <w:tcPr>
            <w:tcW w:type="dxa" w:w="3135"/>
            <w:vAlign w:val="top"/>
          </w:tcPr>
          <w:p>
            <w:pPr>
              <w:spacing w:before="60" w:after="60"/>
            </w:pPr>
            <w:r/>
            <w:r>
              <w:rPr>
                <w:rFonts w:ascii="Calibri" w:hAnsi="Calibri"/>
                <w:b w:val="0"/>
                <w:i w:val="0"/>
                <w:sz w:val="24"/>
              </w:rPr>
              <w:t>Admin réseau (NOUVEAU)</w:t>
            </w:r>
          </w:p>
        </w:tc>
        <w:tc>
          <w:tcPr>
            <w:tcW w:type="dxa" w:w="3135"/>
            <w:vAlign w:val="top"/>
          </w:tcPr>
          <w:p>
            <w:pPr>
              <w:spacing w:before="60" w:after="60"/>
            </w:pPr>
            <w:r/>
            <w:r>
              <w:rPr>
                <w:rFonts w:ascii="Calibri" w:hAnsi="Calibri"/>
                <w:b w:val="0"/>
                <w:i w:val="0"/>
                <w:sz w:val="24"/>
              </w:rPr>
              <w:t>network_administrators, network_staff, network_administrator_audit, network_administrator_cooptation_proposals/votes, network_admin_collective_removal_proposals/votes, network_admin_cross_library_actions_log</w:t>
            </w:r>
          </w:p>
        </w:tc>
        <w:tc>
          <w:tcPr>
            <w:tcW w:type="dxa" w:w="3135"/>
            <w:vAlign w:val="top"/>
          </w:tcPr>
          <w:p>
            <w:pPr>
              <w:spacing w:before="60" w:after="60"/>
            </w:pPr>
            <w:r/>
            <w:r>
              <w:rPr>
                <w:rFonts w:ascii="Calibri" w:hAnsi="Calibri"/>
                <w:b w:val="0"/>
                <w:i w:val="0"/>
                <w:sz w:val="24"/>
              </w:rPr>
              <w:t>8 (nouveau)</w:t>
            </w:r>
          </w:p>
        </w:tc>
      </w:tr>
      <w:tr>
        <w:tc>
          <w:tcPr>
            <w:tcW w:type="dxa" w:w="3135"/>
            <w:vAlign w:val="top"/>
          </w:tcPr>
          <w:p>
            <w:pPr>
              <w:spacing w:before="60" w:after="60"/>
            </w:pPr>
            <w:r/>
            <w:r>
              <w:rPr>
                <w:rFonts w:ascii="Calibri" w:hAnsi="Calibri"/>
                <w:b w:val="0"/>
                <w:i w:val="0"/>
                <w:sz w:val="24"/>
              </w:rPr>
              <w:t>Cotisations et engagement (NOUVEAU)</w:t>
            </w:r>
          </w:p>
        </w:tc>
        <w:tc>
          <w:tcPr>
            <w:tcW w:type="dxa" w:w="3135"/>
            <w:vAlign w:val="top"/>
          </w:tcPr>
          <w:p>
            <w:pPr>
              <w:spacing w:before="60" w:after="60"/>
            </w:pPr>
            <w:r/>
            <w:r>
              <w:rPr>
                <w:rFonts w:ascii="Calibri" w:hAnsi="Calibri"/>
                <w:b w:val="0"/>
                <w:i w:val="0"/>
                <w:sz w:val="24"/>
              </w:rPr>
              <w:t>library_membership_rules, membership_payments, library_membership_audit</w:t>
            </w:r>
          </w:p>
        </w:tc>
        <w:tc>
          <w:tcPr>
            <w:tcW w:type="dxa" w:w="3135"/>
            <w:vAlign w:val="top"/>
          </w:tcPr>
          <w:p>
            <w:pPr>
              <w:spacing w:before="60" w:after="60"/>
            </w:pPr>
            <w:r/>
            <w:r>
              <w:rPr>
                <w:rFonts w:ascii="Calibri" w:hAnsi="Calibri"/>
                <w:b w:val="0"/>
                <w:i w:val="0"/>
                <w:sz w:val="24"/>
              </w:rPr>
              <w:t>3 (nouveau)</w:t>
            </w:r>
          </w:p>
        </w:tc>
      </w:tr>
      <w:tr>
        <w:tc>
          <w:tcPr>
            <w:tcW w:type="dxa" w:w="3135"/>
            <w:vAlign w:val="top"/>
          </w:tcPr>
          <w:p>
            <w:pPr>
              <w:spacing w:before="60" w:after="60"/>
            </w:pPr>
            <w:r/>
            <w:r>
              <w:rPr>
                <w:rFonts w:ascii="Calibri" w:hAnsi="Calibri"/>
                <w:b w:val="0"/>
                <w:i w:val="0"/>
                <w:sz w:val="24"/>
              </w:rPr>
              <w:t>Rétention &amp; archivage transactionnel (NOUVEAU)</w:t>
            </w:r>
          </w:p>
        </w:tc>
        <w:tc>
          <w:tcPr>
            <w:tcW w:type="dxa" w:w="3135"/>
            <w:vAlign w:val="top"/>
          </w:tcPr>
          <w:p>
            <w:pPr>
              <w:spacing w:before="60" w:after="60"/>
            </w:pPr>
            <w:r/>
            <w:r>
              <w:rPr>
                <w:rFonts w:ascii="Calibri" w:hAnsi="Calibri"/>
                <w:b w:val="0"/>
                <w:i w:val="0"/>
                <w:sz w:val="24"/>
              </w:rPr>
              <w:t>library_retention_policies, library_unarchive_log + 3 tables _archived_* (legacy renommé)</w:t>
            </w:r>
          </w:p>
        </w:tc>
        <w:tc>
          <w:tcPr>
            <w:tcW w:type="dxa" w:w="3135"/>
            <w:vAlign w:val="top"/>
          </w:tcPr>
          <w:p>
            <w:pPr>
              <w:spacing w:before="60" w:after="60"/>
            </w:pPr>
            <w:r/>
            <w:r>
              <w:rPr>
                <w:rFonts w:ascii="Calibri" w:hAnsi="Calibri"/>
                <w:b w:val="0"/>
                <w:i w:val="0"/>
                <w:sz w:val="24"/>
              </w:rPr>
              <w:t>5 (consolidé)</w:t>
            </w:r>
          </w:p>
        </w:tc>
      </w:tr>
      <w:tr>
        <w:tc>
          <w:tcPr>
            <w:tcW w:type="dxa" w:w="3135"/>
            <w:vAlign w:val="top"/>
          </w:tcPr>
          <w:p>
            <w:pPr>
              <w:spacing w:before="60" w:after="60"/>
            </w:pPr>
            <w:r/>
            <w:r>
              <w:rPr>
                <w:rFonts w:ascii="Calibri" w:hAnsi="Calibri"/>
                <w:b w:val="0"/>
                <w:i w:val="0"/>
                <w:sz w:val="24"/>
              </w:rPr>
              <w:t>Outbox de team notifications (NOUVEAU)</w:t>
            </w:r>
          </w:p>
        </w:tc>
        <w:tc>
          <w:tcPr>
            <w:tcW w:type="dxa" w:w="3135"/>
            <w:vAlign w:val="top"/>
          </w:tcPr>
          <w:p>
            <w:pPr>
              <w:spacing w:before="60" w:after="60"/>
            </w:pPr>
            <w:r/>
            <w:r>
              <w:rPr>
                <w:rFonts w:ascii="Calibri" w:hAnsi="Calibri"/>
                <w:b w:val="0"/>
                <w:i w:val="0"/>
                <w:sz w:val="24"/>
              </w:rPr>
              <w:t>team_notification_outbox (table de fan-out central)</w:t>
            </w:r>
          </w:p>
        </w:tc>
        <w:tc>
          <w:tcPr>
            <w:tcW w:type="dxa" w:w="3135"/>
            <w:vAlign w:val="top"/>
          </w:tcPr>
          <w:p>
            <w:pPr>
              <w:spacing w:before="60" w:after="60"/>
            </w:pPr>
            <w:r/>
            <w:r>
              <w:rPr>
                <w:rFonts w:ascii="Calibri" w:hAnsi="Calibri"/>
                <w:b w:val="0"/>
                <w:i w:val="0"/>
                <w:sz w:val="24"/>
              </w:rPr>
              <w:t>1 (nouveau)</w:t>
            </w:r>
          </w:p>
        </w:tc>
      </w:tr>
      <w:tr>
        <w:tc>
          <w:tcPr>
            <w:tcW w:type="dxa" w:w="3135"/>
            <w:vAlign w:val="top"/>
          </w:tcPr>
          <w:p>
            <w:pPr>
              <w:spacing w:before="60" w:after="60"/>
            </w:pPr>
            <w:r/>
            <w:r>
              <w:rPr>
                <w:rFonts w:ascii="Calibri" w:hAnsi="Calibri"/>
                <w:b w:val="0"/>
                <w:i w:val="0"/>
                <w:sz w:val="24"/>
              </w:rPr>
              <w:t>Anti-bruteforce login (NOUVEAU)</w:t>
            </w:r>
          </w:p>
        </w:tc>
        <w:tc>
          <w:tcPr>
            <w:tcW w:type="dxa" w:w="3135"/>
            <w:vAlign w:val="top"/>
          </w:tcPr>
          <w:p>
            <w:pPr>
              <w:spacing w:before="60" w:after="60"/>
            </w:pPr>
            <w:r/>
            <w:r>
              <w:rPr>
                <w:rFonts w:ascii="Calibri" w:hAnsi="Calibri"/>
                <w:b w:val="0"/>
                <w:i w:val="0"/>
                <w:sz w:val="24"/>
              </w:rPr>
              <w:t>auth_rate_limits</w:t>
            </w:r>
          </w:p>
        </w:tc>
        <w:tc>
          <w:tcPr>
            <w:tcW w:type="dxa" w:w="3135"/>
            <w:vAlign w:val="top"/>
          </w:tcPr>
          <w:p>
            <w:pPr>
              <w:spacing w:before="60" w:after="60"/>
            </w:pPr>
            <w:r/>
            <w:r>
              <w:rPr>
                <w:rFonts w:ascii="Calibri" w:hAnsi="Calibri"/>
                <w:b w:val="0"/>
                <w:i w:val="0"/>
                <w:sz w:val="24"/>
              </w:rPr>
              <w:t>1 (nouveau)</w:t>
            </w:r>
          </w:p>
        </w:tc>
      </w:tr>
      <w:tr>
        <w:tc>
          <w:tcPr>
            <w:tcW w:type="dxa" w:w="3135"/>
            <w:vAlign w:val="top"/>
          </w:tcPr>
          <w:p>
            <w:pPr>
              <w:spacing w:before="60" w:after="60"/>
            </w:pPr>
            <w:r/>
            <w:r>
              <w:rPr>
                <w:rFonts w:ascii="Calibri" w:hAnsi="Calibri"/>
                <w:b w:val="0"/>
                <w:i w:val="0"/>
                <w:sz w:val="24"/>
              </w:rPr>
              <w:t>Legacy</w:t>
            </w:r>
          </w:p>
        </w:tc>
        <w:tc>
          <w:tcPr>
            <w:tcW w:type="dxa" w:w="3135"/>
            <w:vAlign w:val="top"/>
          </w:tcPr>
          <w:p>
            <w:pPr>
              <w:spacing w:before="60" w:after="60"/>
            </w:pPr>
            <w:r/>
            <w:r>
              <w:rPr>
                <w:rFonts w:ascii="Calibri" w:hAnsi="Calibri"/>
                <w:b w:val="0"/>
                <w:i w:val="0"/>
                <w:sz w:val="24"/>
              </w:rPr>
              <w:t>import_blmf_books_rows, import_blmf_exemplares_rows, import_terra_livre_zotero_staging, loan_midpoint_message_log, book_authors_backup_suspect_mono</w:t>
            </w:r>
          </w:p>
        </w:tc>
        <w:tc>
          <w:tcPr>
            <w:tcW w:type="dxa" w:w="3135"/>
            <w:vAlign w:val="top"/>
          </w:tcPr>
          <w:p>
            <w:pPr>
              <w:spacing w:before="60" w:after="60"/>
            </w:pPr>
            <w:r/>
            <w:r>
              <w:rPr>
                <w:rFonts w:ascii="Calibri" w:hAnsi="Calibri"/>
                <w:b w:val="0"/>
                <w:i w:val="0"/>
                <w:sz w:val="24"/>
              </w:rPr>
              <w:t>5 (−3, paquet L.10 a renommé en _archived_*)</w:t>
            </w:r>
          </w:p>
        </w:tc>
      </w:tr>
    </w:tbl>
    <w:p>
      <w:pPr>
        <w:spacing w:after="160"/>
      </w:pPr>
    </w:p>
    <w:p>
      <w:pPr>
        <w:keepNext/>
        <w:spacing w:before="360" w:after="160"/>
      </w:pPr>
      <w:r>
        <w:rPr>
          <w:rFonts w:ascii="Calibri" w:hAnsi="Calibri"/>
          <w:b/>
          <w:color w:val="2E74B5"/>
          <w:sz w:val="36"/>
        </w:rPr>
        <w:t>3.2 Fonctions — par famille (vue actualisée)</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vAlign w:val="top"/>
            <w:shd w:val="clear" w:color="auto" w:fill="D9E2F3"/>
          </w:tcPr>
          <w:p>
            <w:pPr>
              <w:spacing w:before="60" w:after="60"/>
            </w:pPr>
            <w:r/>
            <w:r>
              <w:rPr>
                <w:rFonts w:ascii="Calibri" w:hAnsi="Calibri"/>
                <w:b/>
                <w:i w:val="0"/>
                <w:sz w:val="24"/>
              </w:rPr>
              <w:t>Famille</w:t>
            </w:r>
          </w:p>
        </w:tc>
        <w:tc>
          <w:tcPr>
            <w:tcW w:type="dxa" w:w="1881"/>
            <w:vAlign w:val="top"/>
            <w:shd w:val="clear" w:color="auto" w:fill="D9E2F3"/>
          </w:tcPr>
          <w:p>
            <w:pPr>
              <w:spacing w:before="60" w:after="60"/>
            </w:pPr>
            <w:r/>
            <w:r>
              <w:rPr>
                <w:rFonts w:ascii="Calibri" w:hAnsi="Calibri"/>
                <w:b/>
                <w:i w:val="0"/>
                <w:sz w:val="24"/>
              </w:rPr>
              <w:t>Préfixe</w:t>
            </w:r>
          </w:p>
        </w:tc>
        <w:tc>
          <w:tcPr>
            <w:tcW w:type="dxa" w:w="1881"/>
            <w:vAlign w:val="top"/>
            <w:shd w:val="clear" w:color="auto" w:fill="D9E2F3"/>
          </w:tcPr>
          <w:p>
            <w:pPr>
              <w:spacing w:before="60" w:after="60"/>
            </w:pPr>
            <w:r/>
            <w:r>
              <w:rPr>
                <w:rFonts w:ascii="Calibri" w:hAnsi="Calibri"/>
                <w:b/>
                <w:i w:val="0"/>
                <w:sz w:val="24"/>
              </w:rPr>
              <w:t>Compte v13</w:t>
            </w:r>
          </w:p>
        </w:tc>
        <w:tc>
          <w:tcPr>
            <w:tcW w:type="dxa" w:w="1881"/>
            <w:vAlign w:val="top"/>
            <w:shd w:val="clear" w:color="auto" w:fill="D9E2F3"/>
          </w:tcPr>
          <w:p>
            <w:pPr>
              <w:spacing w:before="60" w:after="60"/>
            </w:pPr>
            <w:r/>
            <w:r>
              <w:rPr>
                <w:rFonts w:ascii="Calibri" w:hAnsi="Calibri"/>
                <w:b/>
                <w:i w:val="0"/>
                <w:sz w:val="24"/>
              </w:rPr>
              <w:t>Compte v14</w:t>
            </w:r>
          </w:p>
        </w:tc>
        <w:tc>
          <w:tcPr>
            <w:tcW w:type="dxa" w:w="1881"/>
            <w:vAlign w:val="top"/>
            <w:shd w:val="clear" w:color="auto" w:fill="D9E2F3"/>
          </w:tcPr>
          <w:p>
            <w:pPr>
              <w:spacing w:before="60" w:after="60"/>
            </w:pPr>
            <w:r/>
            <w:r>
              <w:rPr>
                <w:rFonts w:ascii="Calibri" w:hAnsi="Calibri"/>
                <w:b/>
                <w:i w:val="0"/>
                <w:sz w:val="24"/>
              </w:rPr>
              <w:t>Rôle</w:t>
            </w:r>
          </w:p>
        </w:tc>
      </w:tr>
      <w:tr>
        <w:tc>
          <w:tcPr>
            <w:tcW w:type="dxa" w:w="1881"/>
            <w:vAlign w:val="top"/>
          </w:tcPr>
          <w:p>
            <w:pPr>
              <w:spacing w:before="60" w:after="60"/>
            </w:pPr>
            <w:r/>
            <w:r>
              <w:rPr>
                <w:rFonts w:ascii="Calibri" w:hAnsi="Calibri"/>
                <w:b w:val="0"/>
                <w:i w:val="0"/>
                <w:sz w:val="24"/>
              </w:rPr>
              <w:t>Circulation v2</w:t>
            </w:r>
          </w:p>
        </w:tc>
        <w:tc>
          <w:tcPr>
            <w:tcW w:type="dxa" w:w="1881"/>
            <w:vAlign w:val="top"/>
          </w:tcPr>
          <w:p>
            <w:pPr>
              <w:spacing w:before="60" w:after="60"/>
            </w:pPr>
            <w:r/>
            <w:r>
              <w:rPr>
                <w:rFonts w:ascii="Calibri" w:hAnsi="Calibri"/>
                <w:b w:val="0"/>
                <w:i w:val="0"/>
                <w:sz w:val="24"/>
              </w:rPr>
              <w:t>fn_v2_*</w:t>
            </w:r>
          </w:p>
        </w:tc>
        <w:tc>
          <w:tcPr>
            <w:tcW w:type="dxa" w:w="1881"/>
            <w:vAlign w:val="top"/>
          </w:tcPr>
          <w:p>
            <w:pPr>
              <w:spacing w:before="60" w:after="60"/>
            </w:pPr>
            <w:r/>
            <w:r>
              <w:rPr>
                <w:rFonts w:ascii="Calibri" w:hAnsi="Calibri"/>
                <w:b w:val="0"/>
                <w:i w:val="0"/>
                <w:sz w:val="24"/>
              </w:rPr>
              <w:t>39</w:t>
            </w:r>
          </w:p>
        </w:tc>
        <w:tc>
          <w:tcPr>
            <w:tcW w:type="dxa" w:w="1881"/>
            <w:vAlign w:val="top"/>
          </w:tcPr>
          <w:p>
            <w:pPr>
              <w:spacing w:before="60" w:after="60"/>
            </w:pPr>
            <w:r/>
            <w:r>
              <w:rPr>
                <w:rFonts w:ascii="Calibri" w:hAnsi="Calibri"/>
                <w:b w:val="0"/>
                <w:i w:val="0"/>
                <w:sz w:val="24"/>
              </w:rPr>
              <w:t>≈42</w:t>
            </w:r>
          </w:p>
        </w:tc>
        <w:tc>
          <w:tcPr>
            <w:tcW w:type="dxa" w:w="1881"/>
            <w:vAlign w:val="top"/>
          </w:tcPr>
          <w:p>
            <w:pPr>
              <w:spacing w:before="60" w:after="60"/>
            </w:pPr>
            <w:r/>
            <w:r>
              <w:rPr>
                <w:rFonts w:ascii="Calibri" w:hAnsi="Calibri"/>
                <w:b w:val="0"/>
                <w:i w:val="0"/>
                <w:sz w:val="24"/>
              </w:rPr>
              <w:t>Création/annulation/conversion/extension de réservations, emprunts, consultations, BTL</w:t>
            </w:r>
          </w:p>
        </w:tc>
      </w:tr>
      <w:tr>
        <w:tc>
          <w:tcPr>
            <w:tcW w:type="dxa" w:w="1881"/>
            <w:vAlign w:val="top"/>
          </w:tcPr>
          <w:p>
            <w:pPr>
              <w:spacing w:before="60" w:after="60"/>
            </w:pPr>
            <w:r/>
            <w:r>
              <w:rPr>
                <w:rFonts w:ascii="Calibri" w:hAnsi="Calibri"/>
                <w:b w:val="0"/>
                <w:i w:val="0"/>
                <w:sz w:val="24"/>
              </w:rPr>
              <w:t>Helpers d'identité / touch</w:t>
            </w:r>
          </w:p>
        </w:tc>
        <w:tc>
          <w:tcPr>
            <w:tcW w:type="dxa" w:w="1881"/>
            <w:vAlign w:val="top"/>
          </w:tcPr>
          <w:p>
            <w:pPr>
              <w:spacing w:before="60" w:after="60"/>
            </w:pPr>
            <w:r/>
            <w:r>
              <w:rPr>
                <w:rFonts w:ascii="Calibri" w:hAnsi="Calibri"/>
                <w:b w:val="0"/>
                <w:i w:val="0"/>
                <w:sz w:val="24"/>
              </w:rPr>
              <w:t>touch_</w:t>
            </w:r>
            <w:r>
              <w:rPr>
                <w:rFonts w:ascii="Calibri" w:hAnsi="Calibri"/>
                <w:b w:val="0"/>
                <w:i/>
                <w:sz w:val="24"/>
              </w:rPr>
              <w:t>, set_</w:t>
            </w:r>
            <w:r>
              <w:rPr>
                <w:rFonts w:ascii="Calibri" w:hAnsi="Calibri"/>
                <w:b w:val="0"/>
                <w:i w:val="0"/>
                <w:sz w:val="24"/>
              </w:rPr>
              <w:t>, tg_*</w:t>
            </w:r>
          </w:p>
        </w:tc>
        <w:tc>
          <w:tcPr>
            <w:tcW w:type="dxa" w:w="1881"/>
            <w:vAlign w:val="top"/>
          </w:tcPr>
          <w:p>
            <w:pPr>
              <w:spacing w:before="60" w:after="60"/>
            </w:pPr>
            <w:r/>
            <w:r>
              <w:rPr>
                <w:rFonts w:ascii="Calibri" w:hAnsi="Calibri"/>
                <w:b w:val="0"/>
                <w:i w:val="0"/>
                <w:sz w:val="24"/>
              </w:rPr>
              <w:t>29</w:t>
            </w:r>
          </w:p>
        </w:tc>
        <w:tc>
          <w:tcPr>
            <w:tcW w:type="dxa" w:w="1881"/>
            <w:vAlign w:val="top"/>
          </w:tcPr>
          <w:p>
            <w:pPr>
              <w:spacing w:before="60" w:after="60"/>
            </w:pPr>
            <w:r/>
            <w:r>
              <w:rPr>
                <w:rFonts w:ascii="Calibri" w:hAnsi="Calibri"/>
                <w:b w:val="0"/>
                <w:i w:val="0"/>
                <w:sz w:val="24"/>
              </w:rPr>
              <w:t>≈42</w:t>
            </w:r>
          </w:p>
        </w:tc>
        <w:tc>
          <w:tcPr>
            <w:tcW w:type="dxa" w:w="1881"/>
            <w:vAlign w:val="top"/>
          </w:tcPr>
          <w:p>
            <w:pPr>
              <w:spacing w:before="60" w:after="60"/>
            </w:pPr>
            <w:r/>
            <w:r>
              <w:rPr>
                <w:rFonts w:ascii="Calibri" w:hAnsi="Calibri"/>
                <w:b w:val="0"/>
                <w:i w:val="0"/>
                <w:sz w:val="24"/>
              </w:rPr>
              <w:t>Triggers de mise à jour automatique de updated_at, désormais sur 13 tables nouvelles</w:t>
            </w:r>
          </w:p>
        </w:tc>
      </w:tr>
      <w:tr>
        <w:tc>
          <w:tcPr>
            <w:tcW w:type="dxa" w:w="1881"/>
            <w:vAlign w:val="top"/>
          </w:tcPr>
          <w:p>
            <w:pPr>
              <w:spacing w:before="60" w:after="60"/>
            </w:pPr>
            <w:r/>
            <w:r>
              <w:rPr>
                <w:rFonts w:ascii="Calibri" w:hAnsi="Calibri"/>
                <w:b w:val="0"/>
                <w:i w:val="0"/>
                <w:sz w:val="24"/>
              </w:rPr>
              <w:t>Catalog partners</w:t>
            </w:r>
          </w:p>
        </w:tc>
        <w:tc>
          <w:tcPr>
            <w:tcW w:type="dxa" w:w="1881"/>
            <w:vAlign w:val="top"/>
          </w:tcPr>
          <w:p>
            <w:pPr>
              <w:spacing w:before="60" w:after="60"/>
            </w:pPr>
            <w:r/>
            <w:r>
              <w:rPr>
                <w:rFonts w:ascii="Calibri" w:hAnsi="Calibri"/>
                <w:b w:val="0"/>
                <w:i w:val="0"/>
                <w:sz w:val="24"/>
              </w:rPr>
              <w:t>catalog_partner_*</w:t>
            </w:r>
          </w:p>
        </w:tc>
        <w:tc>
          <w:tcPr>
            <w:tcW w:type="dxa" w:w="1881"/>
            <w:vAlign w:val="top"/>
          </w:tcPr>
          <w:p>
            <w:pPr>
              <w:spacing w:before="60" w:after="60"/>
            </w:pPr>
            <w:r/>
            <w:r>
              <w:rPr>
                <w:rFonts w:ascii="Calibri" w:hAnsi="Calibri"/>
                <w:b w:val="0"/>
                <w:i w:val="0"/>
                <w:sz w:val="24"/>
              </w:rPr>
              <w:t>9</w:t>
            </w:r>
          </w:p>
        </w:tc>
        <w:tc>
          <w:tcPr>
            <w:tcW w:type="dxa" w:w="1881"/>
            <w:vAlign w:val="top"/>
          </w:tcPr>
          <w:p>
            <w:pPr>
              <w:spacing w:before="60" w:after="60"/>
            </w:pPr>
            <w:r/>
            <w:r>
              <w:rPr>
                <w:rFonts w:ascii="Calibri" w:hAnsi="Calibri"/>
                <w:b w:val="0"/>
                <w:i w:val="0"/>
                <w:sz w:val="24"/>
              </w:rPr>
              <w:t>9</w:t>
            </w:r>
          </w:p>
        </w:tc>
        <w:tc>
          <w:tcPr>
            <w:tcW w:type="dxa" w:w="1881"/>
            <w:vAlign w:val="top"/>
          </w:tcPr>
          <w:p>
            <w:pPr>
              <w:spacing w:before="60" w:after="60"/>
            </w:pPr>
            <w:r/>
            <w:r>
              <w:rPr>
                <w:rFonts w:ascii="Calibri" w:hAnsi="Calibri"/>
                <w:b w:val="0"/>
                <w:i w:val="0"/>
                <w:sz w:val="24"/>
              </w:rPr>
              <w:t>Politiques d'autorisation pour comparaison/import/mutualisation (stable)</w:t>
            </w:r>
          </w:p>
        </w:tc>
      </w:tr>
      <w:tr>
        <w:tc>
          <w:tcPr>
            <w:tcW w:type="dxa" w:w="1881"/>
            <w:vAlign w:val="top"/>
          </w:tcPr>
          <w:p>
            <w:pPr>
              <w:spacing w:before="60" w:after="60"/>
            </w:pPr>
            <w:r/>
            <w:r>
              <w:rPr>
                <w:rFonts w:ascii="Calibri" w:hAnsi="Calibri"/>
                <w:b w:val="0"/>
                <w:i w:val="0"/>
                <w:sz w:val="24"/>
              </w:rPr>
              <w:t>Upsert libraries</w:t>
            </w:r>
          </w:p>
        </w:tc>
        <w:tc>
          <w:tcPr>
            <w:tcW w:type="dxa" w:w="1881"/>
            <w:vAlign w:val="top"/>
          </w:tcPr>
          <w:p>
            <w:pPr>
              <w:spacing w:before="60" w:after="60"/>
            </w:pPr>
            <w:r/>
            <w:r>
              <w:rPr>
                <w:rFonts w:ascii="Calibri" w:hAnsi="Calibri"/>
                <w:b w:val="0"/>
                <w:i w:val="0"/>
                <w:sz w:val="24"/>
              </w:rPr>
              <w:t>upsert_library_*</w:t>
            </w:r>
          </w:p>
        </w:tc>
        <w:tc>
          <w:tcPr>
            <w:tcW w:type="dxa" w:w="1881"/>
            <w:vAlign w:val="top"/>
          </w:tcPr>
          <w:p>
            <w:pPr>
              <w:spacing w:before="60" w:after="60"/>
            </w:pPr>
            <w:r/>
            <w:r>
              <w:rPr>
                <w:rFonts w:ascii="Calibri" w:hAnsi="Calibri"/>
                <w:b w:val="0"/>
                <w:i w:val="0"/>
                <w:sz w:val="24"/>
              </w:rPr>
              <w:t>8</w:t>
            </w:r>
          </w:p>
        </w:tc>
        <w:tc>
          <w:tcPr>
            <w:tcW w:type="dxa" w:w="1881"/>
            <w:vAlign w:val="top"/>
          </w:tcPr>
          <w:p>
            <w:pPr>
              <w:spacing w:before="60" w:after="60"/>
            </w:pPr>
            <w:r/>
            <w:r>
              <w:rPr>
                <w:rFonts w:ascii="Calibri" w:hAnsi="Calibri"/>
                <w:b w:val="0"/>
                <w:i w:val="0"/>
                <w:sz w:val="24"/>
              </w:rPr>
              <w:t>8</w:t>
            </w:r>
          </w:p>
        </w:tc>
        <w:tc>
          <w:tcPr>
            <w:tcW w:type="dxa" w:w="1881"/>
            <w:vAlign w:val="top"/>
          </w:tcPr>
          <w:p>
            <w:pPr>
              <w:spacing w:before="60" w:after="60"/>
            </w:pPr>
            <w:r/>
            <w:r>
              <w:rPr>
                <w:rFonts w:ascii="Calibri" w:hAnsi="Calibri"/>
                <w:b w:val="0"/>
                <w:i w:val="0"/>
                <w:sz w:val="24"/>
              </w:rPr>
              <w:t>Gouvernance des paramètres de bibliothèque (stable)</w:t>
            </w:r>
          </w:p>
        </w:tc>
      </w:tr>
      <w:tr>
        <w:tc>
          <w:tcPr>
            <w:tcW w:type="dxa" w:w="1881"/>
            <w:vAlign w:val="top"/>
          </w:tcPr>
          <w:p>
            <w:pPr>
              <w:spacing w:before="60" w:after="60"/>
            </w:pPr>
            <w:r/>
            <w:r>
              <w:rPr>
                <w:rFonts w:ascii="Calibri" w:hAnsi="Calibri"/>
                <w:b w:val="0"/>
                <w:i w:val="0"/>
                <w:sz w:val="24"/>
              </w:rPr>
              <w:t>Contexte de session</w:t>
            </w:r>
          </w:p>
        </w:tc>
        <w:tc>
          <w:tcPr>
            <w:tcW w:type="dxa" w:w="1881"/>
            <w:vAlign w:val="top"/>
          </w:tcPr>
          <w:p>
            <w:pPr>
              <w:spacing w:before="60" w:after="60"/>
            </w:pPr>
            <w:r/>
            <w:r>
              <w:rPr>
                <w:rFonts w:ascii="Calibri" w:hAnsi="Calibri"/>
                <w:b w:val="0"/>
                <w:i w:val="0"/>
                <w:sz w:val="24"/>
              </w:rPr>
              <w:t>fn_current_*</w:t>
            </w:r>
          </w:p>
        </w:tc>
        <w:tc>
          <w:tcPr>
            <w:tcW w:type="dxa" w:w="1881"/>
            <w:vAlign w:val="top"/>
          </w:tcPr>
          <w:p>
            <w:pPr>
              <w:spacing w:before="60" w:after="60"/>
            </w:pPr>
            <w:r/>
            <w:r>
              <w:rPr>
                <w:rFonts w:ascii="Calibri" w:hAnsi="Calibri"/>
                <w:b w:val="0"/>
                <w:i w:val="0"/>
                <w:sz w:val="24"/>
              </w:rPr>
              <w:t>7</w:t>
            </w:r>
          </w:p>
        </w:tc>
        <w:tc>
          <w:tcPr>
            <w:tcW w:type="dxa" w:w="1881"/>
            <w:vAlign w:val="top"/>
          </w:tcPr>
          <w:p>
            <w:pPr>
              <w:spacing w:before="60" w:after="60"/>
            </w:pPr>
            <w:r/>
            <w:r>
              <w:rPr>
                <w:rFonts w:ascii="Calibri" w:hAnsi="Calibri"/>
                <w:b w:val="0"/>
                <w:i w:val="0"/>
                <w:sz w:val="24"/>
              </w:rPr>
              <w:t>7</w:t>
            </w:r>
          </w:p>
        </w:tc>
        <w:tc>
          <w:tcPr>
            <w:tcW w:type="dxa" w:w="1881"/>
            <w:vAlign w:val="top"/>
          </w:tcPr>
          <w:p>
            <w:pPr>
              <w:spacing w:before="60" w:after="60"/>
            </w:pPr>
            <w:r/>
            <w:r>
              <w:rPr>
                <w:rFonts w:ascii="Calibri" w:hAnsi="Calibri"/>
                <w:b w:val="0"/>
                <w:i w:val="0"/>
                <w:sz w:val="24"/>
              </w:rPr>
              <w:t>Calcul du contexte utilisateur courant (stable)</w:t>
            </w:r>
          </w:p>
        </w:tc>
      </w:tr>
      <w:tr>
        <w:tc>
          <w:tcPr>
            <w:tcW w:type="dxa" w:w="1881"/>
            <w:vAlign w:val="top"/>
          </w:tcPr>
          <w:p>
            <w:pPr>
              <w:spacing w:before="60" w:after="60"/>
            </w:pPr>
            <w:r/>
            <w:r>
              <w:rPr>
                <w:rFonts w:ascii="Calibri" w:hAnsi="Calibri"/>
                <w:b w:val="0"/>
                <w:i w:val="0"/>
                <w:sz w:val="24"/>
              </w:rPr>
              <w:t>Triggers de notification</w:t>
            </w:r>
          </w:p>
        </w:tc>
        <w:tc>
          <w:tcPr>
            <w:tcW w:type="dxa" w:w="1881"/>
            <w:vAlign w:val="top"/>
          </w:tcPr>
          <w:p>
            <w:pPr>
              <w:spacing w:before="60" w:after="60"/>
            </w:pPr>
            <w:r/>
            <w:r>
              <w:rPr>
                <w:rFonts w:ascii="Calibri" w:hAnsi="Calibri"/>
                <w:b w:val="0"/>
                <w:i w:val="0"/>
                <w:sz w:val="24"/>
              </w:rPr>
              <w:t>trg_notify_</w:t>
            </w:r>
            <w:r>
              <w:rPr>
                <w:rFonts w:ascii="Calibri" w:hAnsi="Calibri"/>
                <w:b w:val="0"/>
                <w:i/>
                <w:sz w:val="24"/>
              </w:rPr>
              <w:t>, tg_auto_dispatch_</w:t>
            </w:r>
            <w:r>
              <w:rPr>
                <w:rFonts w:ascii="Calibri" w:hAnsi="Calibri"/>
                <w:b w:val="0"/>
                <w:i w:val="0"/>
                <w:sz w:val="24"/>
              </w:rPr>
              <w:t>, fn_notify_*</w:t>
            </w:r>
          </w:p>
        </w:tc>
        <w:tc>
          <w:tcPr>
            <w:tcW w:type="dxa" w:w="1881"/>
            <w:vAlign w:val="top"/>
          </w:tcPr>
          <w:p>
            <w:pPr>
              <w:spacing w:before="60" w:after="60"/>
            </w:pPr>
            <w:r/>
            <w:r>
              <w:rPr>
                <w:rFonts w:ascii="Calibri" w:hAnsi="Calibri"/>
                <w:b w:val="0"/>
                <w:i w:val="0"/>
                <w:sz w:val="24"/>
              </w:rPr>
              <w:t>9</w:t>
            </w:r>
          </w:p>
        </w:tc>
        <w:tc>
          <w:tcPr>
            <w:tcW w:type="dxa" w:w="1881"/>
            <w:vAlign w:val="top"/>
          </w:tcPr>
          <w:p>
            <w:pPr>
              <w:spacing w:before="60" w:after="60"/>
            </w:pPr>
            <w:r/>
            <w:r>
              <w:rPr>
                <w:rFonts w:ascii="Calibri" w:hAnsi="Calibri"/>
                <w:b w:val="0"/>
                <w:i w:val="0"/>
                <w:sz w:val="24"/>
              </w:rPr>
              <w:t>16</w:t>
            </w:r>
          </w:p>
        </w:tc>
        <w:tc>
          <w:tcPr>
            <w:tcW w:type="dxa" w:w="1881"/>
            <w:vAlign w:val="top"/>
          </w:tcPr>
          <w:p>
            <w:pPr>
              <w:spacing w:before="60" w:after="60"/>
            </w:pPr>
            <w:r/>
            <w:r>
              <w:rPr>
                <w:rFonts w:ascii="Calibri" w:hAnsi="Calibri"/>
                <w:b w:val="0"/>
                <w:i w:val="0"/>
                <w:sz w:val="24"/>
              </w:rPr>
              <w:t>Branchement automatique vers notify-event ; consultation et profils d'adoption ajoutés</w:t>
            </w:r>
          </w:p>
        </w:tc>
      </w:tr>
      <w:tr>
        <w:tc>
          <w:tcPr>
            <w:tcW w:type="dxa" w:w="1881"/>
            <w:vAlign w:val="top"/>
          </w:tcPr>
          <w:p>
            <w:pPr>
              <w:spacing w:before="60" w:after="60"/>
            </w:pPr>
            <w:r/>
            <w:r>
              <w:rPr>
                <w:rFonts w:ascii="Calibri" w:hAnsi="Calibri"/>
                <w:b w:val="0"/>
                <w:i w:val="0"/>
                <w:sz w:val="24"/>
              </w:rPr>
              <w:t>Permissions et accès</w:t>
            </w:r>
          </w:p>
        </w:tc>
        <w:tc>
          <w:tcPr>
            <w:tcW w:type="dxa" w:w="1881"/>
            <w:vAlign w:val="top"/>
          </w:tcPr>
          <w:p>
            <w:pPr>
              <w:spacing w:before="60" w:after="60"/>
            </w:pPr>
            <w:r/>
            <w:r>
              <w:rPr>
                <w:rFonts w:ascii="Calibri" w:hAnsi="Calibri"/>
                <w:b w:val="0"/>
                <w:i w:val="0"/>
                <w:sz w:val="24"/>
              </w:rPr>
              <w:t>can_manage_</w:t>
            </w:r>
            <w:r>
              <w:rPr>
                <w:rFonts w:ascii="Calibri" w:hAnsi="Calibri"/>
                <w:b w:val="0"/>
                <w:i/>
                <w:sz w:val="24"/>
              </w:rPr>
              <w:t>, user_can_</w:t>
            </w:r>
            <w:r>
              <w:rPr>
                <w:rFonts w:ascii="Calibri" w:hAnsi="Calibri"/>
                <w:b w:val="0"/>
                <w:i w:val="0"/>
                <w:sz w:val="24"/>
              </w:rPr>
              <w:t>, can_access_*</w:t>
            </w:r>
          </w:p>
        </w:tc>
        <w:tc>
          <w:tcPr>
            <w:tcW w:type="dxa" w:w="1881"/>
            <w:vAlign w:val="top"/>
          </w:tcPr>
          <w:p>
            <w:pPr>
              <w:spacing w:before="60" w:after="60"/>
            </w:pPr>
            <w:r/>
            <w:r>
              <w:rPr>
                <w:rFonts w:ascii="Calibri" w:hAnsi="Calibri"/>
                <w:b w:val="0"/>
                <w:i w:val="0"/>
                <w:sz w:val="24"/>
              </w:rPr>
              <w:t>8</w:t>
            </w:r>
          </w:p>
        </w:tc>
        <w:tc>
          <w:tcPr>
            <w:tcW w:type="dxa" w:w="1881"/>
            <w:vAlign w:val="top"/>
          </w:tcPr>
          <w:p>
            <w:pPr>
              <w:spacing w:before="60" w:after="60"/>
            </w:pPr>
            <w:r/>
            <w:r>
              <w:rPr>
                <w:rFonts w:ascii="Calibri" w:hAnsi="Calibri"/>
                <w:b w:val="0"/>
                <w:i w:val="0"/>
                <w:sz w:val="24"/>
              </w:rPr>
              <w:t>≈12</w:t>
            </w:r>
          </w:p>
        </w:tc>
        <w:tc>
          <w:tcPr>
            <w:tcW w:type="dxa" w:w="1881"/>
            <w:vAlign w:val="top"/>
          </w:tcPr>
          <w:p>
            <w:pPr>
              <w:spacing w:before="60" w:after="60"/>
            </w:pPr>
            <w:r/>
            <w:r>
              <w:rPr>
                <w:rFonts w:ascii="Calibri" w:hAnsi="Calibri"/>
                <w:b w:val="0"/>
                <w:i w:val="0"/>
                <w:sz w:val="24"/>
              </w:rPr>
              <w:t>Vérification de droits par rôle bibliothèque</w:t>
            </w:r>
          </w:p>
        </w:tc>
      </w:tr>
      <w:tr>
        <w:tc>
          <w:tcPr>
            <w:tcW w:type="dxa" w:w="1881"/>
            <w:vAlign w:val="top"/>
          </w:tcPr>
          <w:p>
            <w:pPr>
              <w:spacing w:before="60" w:after="60"/>
            </w:pPr>
            <w:r/>
            <w:r>
              <w:rPr>
                <w:rFonts w:ascii="Calibri" w:hAnsi="Calibri"/>
                <w:b w:val="0"/>
                <w:i w:val="0"/>
                <w:sz w:val="24"/>
              </w:rPr>
              <w:t>Métriques réseau</w:t>
            </w:r>
          </w:p>
        </w:tc>
        <w:tc>
          <w:tcPr>
            <w:tcW w:type="dxa" w:w="1881"/>
            <w:vAlign w:val="top"/>
          </w:tcPr>
          <w:p>
            <w:pPr>
              <w:spacing w:before="60" w:after="60"/>
            </w:pPr>
            <w:r/>
            <w:r>
              <w:rPr>
                <w:rFonts w:ascii="Calibri" w:hAnsi="Calibri"/>
                <w:b w:val="0"/>
                <w:i w:val="0"/>
                <w:sz w:val="24"/>
              </w:rPr>
              <w:t>fn_network_*</w:t>
            </w:r>
          </w:p>
        </w:tc>
        <w:tc>
          <w:tcPr>
            <w:tcW w:type="dxa" w:w="1881"/>
            <w:vAlign w:val="top"/>
          </w:tcPr>
          <w:p>
            <w:pPr>
              <w:spacing w:before="60" w:after="60"/>
            </w:pPr>
            <w:r/>
            <w:r>
              <w:rPr>
                <w:rFonts w:ascii="Calibri" w:hAnsi="Calibri"/>
                <w:b w:val="0"/>
                <w:i w:val="0"/>
                <w:sz w:val="24"/>
              </w:rPr>
              <w:t>5</w:t>
            </w:r>
          </w:p>
        </w:tc>
        <w:tc>
          <w:tcPr>
            <w:tcW w:type="dxa" w:w="1881"/>
            <w:vAlign w:val="top"/>
          </w:tcPr>
          <w:p>
            <w:pPr>
              <w:spacing w:before="60" w:after="60"/>
            </w:pPr>
            <w:r/>
            <w:r>
              <w:rPr>
                <w:rFonts w:ascii="Calibri" w:hAnsi="Calibri"/>
                <w:b w:val="0"/>
                <w:i w:val="0"/>
                <w:sz w:val="24"/>
              </w:rPr>
              <w:t>≈10</w:t>
            </w:r>
          </w:p>
        </w:tc>
        <w:tc>
          <w:tcPr>
            <w:tcW w:type="dxa" w:w="1881"/>
            <w:vAlign w:val="top"/>
          </w:tcPr>
          <w:p>
            <w:pPr>
              <w:spacing w:before="60" w:after="60"/>
            </w:pPr>
            <w:r/>
            <w:r>
              <w:rPr>
                <w:rFonts w:ascii="Calibri" w:hAnsi="Calibri"/>
                <w:b w:val="0"/>
                <w:i w:val="0"/>
                <w:sz w:val="24"/>
              </w:rPr>
              <w:t>Statistiques inter-bibliothèques + dashboard summary + library metrics</w:t>
            </w:r>
          </w:p>
        </w:tc>
      </w:tr>
      <w:tr>
        <w:tc>
          <w:tcPr>
            <w:tcW w:type="dxa" w:w="1881"/>
            <w:vAlign w:val="top"/>
          </w:tcPr>
          <w:p>
            <w:pPr>
              <w:spacing w:before="60" w:after="60"/>
            </w:pPr>
            <w:r/>
            <w:r>
              <w:rPr>
                <w:rFonts w:ascii="Calibri" w:hAnsi="Calibri"/>
                <w:b w:val="0"/>
                <w:i w:val="0"/>
                <w:sz w:val="24"/>
              </w:rPr>
              <w:t>Catalog bridge (sync)</w:t>
            </w:r>
          </w:p>
        </w:tc>
        <w:tc>
          <w:tcPr>
            <w:tcW w:type="dxa" w:w="1881"/>
            <w:vAlign w:val="top"/>
          </w:tcPr>
          <w:p>
            <w:pPr>
              <w:spacing w:before="60" w:after="60"/>
            </w:pPr>
            <w:r/>
            <w:r>
              <w:rPr>
                <w:rFonts w:ascii="Calibri" w:hAnsi="Calibri"/>
                <w:b w:val="0"/>
                <w:i w:val="0"/>
                <w:sz w:val="24"/>
              </w:rPr>
              <w:t>catalog_bridge_*</w:t>
            </w:r>
          </w:p>
        </w:tc>
        <w:tc>
          <w:tcPr>
            <w:tcW w:type="dxa" w:w="1881"/>
            <w:vAlign w:val="top"/>
          </w:tcPr>
          <w:p>
            <w:pPr>
              <w:spacing w:before="60" w:after="60"/>
            </w:pPr>
            <w:r/>
            <w:r>
              <w:rPr>
                <w:rFonts w:ascii="Calibri" w:hAnsi="Calibri"/>
                <w:b w:val="0"/>
                <w:i w:val="0"/>
                <w:sz w:val="24"/>
              </w:rPr>
              <w:t>4</w:t>
            </w:r>
          </w:p>
        </w:tc>
        <w:tc>
          <w:tcPr>
            <w:tcW w:type="dxa" w:w="1881"/>
            <w:vAlign w:val="top"/>
          </w:tcPr>
          <w:p>
            <w:pPr>
              <w:spacing w:before="60" w:after="60"/>
            </w:pPr>
            <w:r/>
            <w:r>
              <w:rPr>
                <w:rFonts w:ascii="Calibri" w:hAnsi="Calibri"/>
                <w:b w:val="0"/>
                <w:i w:val="0"/>
                <w:sz w:val="24"/>
              </w:rPr>
              <w:t>4</w:t>
            </w:r>
          </w:p>
        </w:tc>
        <w:tc>
          <w:tcPr>
            <w:tcW w:type="dxa" w:w="1881"/>
            <w:vAlign w:val="top"/>
          </w:tcPr>
          <w:p>
            <w:pPr>
              <w:spacing w:before="60" w:after="60"/>
            </w:pPr>
            <w:r/>
            <w:r>
              <w:rPr>
                <w:rFonts w:ascii="Calibri" w:hAnsi="Calibri"/>
                <w:b w:val="0"/>
                <w:i w:val="0"/>
                <w:sz w:val="24"/>
              </w:rPr>
              <w:t>Synchronisation marc_json ↔ tables structurées (stable)</w:t>
            </w:r>
          </w:p>
        </w:tc>
      </w:tr>
      <w:tr>
        <w:tc>
          <w:tcPr>
            <w:tcW w:type="dxa" w:w="1881"/>
            <w:vAlign w:val="top"/>
          </w:tcPr>
          <w:p>
            <w:pPr>
              <w:spacing w:before="60" w:after="60"/>
            </w:pPr>
            <w:r/>
            <w:r>
              <w:rPr>
                <w:rFonts w:ascii="Calibri" w:hAnsi="Calibri"/>
                <w:b w:val="0"/>
                <w:i w:val="0"/>
                <w:sz w:val="24"/>
              </w:rPr>
              <w:t>Painel interne</w:t>
            </w:r>
          </w:p>
        </w:tc>
        <w:tc>
          <w:tcPr>
            <w:tcW w:type="dxa" w:w="1881"/>
            <w:vAlign w:val="top"/>
          </w:tcPr>
          <w:p>
            <w:pPr>
              <w:spacing w:before="60" w:after="60"/>
            </w:pPr>
            <w:r/>
            <w:r>
              <w:rPr>
                <w:rFonts w:ascii="Calibri" w:hAnsi="Calibri"/>
                <w:b w:val="0"/>
                <w:i w:val="0"/>
                <w:sz w:val="24"/>
              </w:rPr>
              <w:t>fn_painel_*</w:t>
            </w:r>
          </w:p>
        </w:tc>
        <w:tc>
          <w:tcPr>
            <w:tcW w:type="dxa" w:w="1881"/>
            <w:vAlign w:val="top"/>
          </w:tcPr>
          <w:p>
            <w:pPr>
              <w:spacing w:before="60" w:after="60"/>
            </w:pPr>
            <w:r/>
            <w:r>
              <w:rPr>
                <w:rFonts w:ascii="Calibri" w:hAnsi="Calibri"/>
                <w:b w:val="0"/>
                <w:i w:val="0"/>
                <w:sz w:val="24"/>
              </w:rPr>
              <w:t>3</w:t>
            </w:r>
          </w:p>
        </w:tc>
        <w:tc>
          <w:tcPr>
            <w:tcW w:type="dxa" w:w="1881"/>
            <w:vAlign w:val="top"/>
          </w:tcPr>
          <w:p>
            <w:pPr>
              <w:spacing w:before="60" w:after="60"/>
            </w:pPr>
            <w:r/>
            <w:r>
              <w:rPr>
                <w:rFonts w:ascii="Calibri" w:hAnsi="Calibri"/>
                <w:b w:val="0"/>
                <w:i w:val="0"/>
                <w:sz w:val="24"/>
              </w:rPr>
              <w:t>3</w:t>
            </w:r>
          </w:p>
        </w:tc>
        <w:tc>
          <w:tcPr>
            <w:tcW w:type="dxa" w:w="1881"/>
            <w:vAlign w:val="top"/>
          </w:tcPr>
          <w:p>
            <w:pPr>
              <w:spacing w:before="60" w:after="60"/>
            </w:pPr>
            <w:r/>
            <w:r>
              <w:rPr>
                <w:rFonts w:ascii="Calibri" w:hAnsi="Calibri"/>
                <w:b w:val="0"/>
                <w:i w:val="0"/>
                <w:sz w:val="24"/>
              </w:rPr>
              <w:t>Recherche et gestion utilisateur côté painel (stable)</w:t>
            </w:r>
          </w:p>
        </w:tc>
      </w:tr>
      <w:tr>
        <w:tc>
          <w:tcPr>
            <w:tcW w:type="dxa" w:w="1881"/>
            <w:vAlign w:val="top"/>
          </w:tcPr>
          <w:p>
            <w:pPr>
              <w:spacing w:before="60" w:after="60"/>
            </w:pPr>
            <w:r/>
            <w:r>
              <w:rPr>
                <w:rFonts w:ascii="Calibri" w:hAnsi="Calibri"/>
                <w:b w:val="0"/>
                <w:i w:val="0"/>
                <w:sz w:val="24"/>
              </w:rPr>
              <w:t>Profils d'adoption (NOUVEAU)</w:t>
            </w:r>
          </w:p>
        </w:tc>
        <w:tc>
          <w:tcPr>
            <w:tcW w:type="dxa" w:w="1881"/>
            <w:vAlign w:val="top"/>
          </w:tcPr>
          <w:p>
            <w:pPr>
              <w:spacing w:before="60" w:after="60"/>
            </w:pPr>
            <w:r/>
            <w:r>
              <w:rPr>
                <w:rFonts w:ascii="Calibri" w:hAnsi="Calibri"/>
                <w:b w:val="0"/>
                <w:i w:val="0"/>
                <w:sz w:val="24"/>
              </w:rPr>
              <w:t>fn_propose/vote/execute/cancel_library_profile_change + fn_library_*_mode + fn_classify_transition + fn_required_governance_for_transition</w:t>
            </w:r>
          </w:p>
        </w:tc>
        <w:tc>
          <w:tcPr>
            <w:tcW w:type="dxa" w:w="1881"/>
            <w:vAlign w:val="top"/>
          </w:tcPr>
          <w:p>
            <w:pPr>
              <w:spacing w:before="60" w:after="60"/>
            </w:pPr>
            <w:r/>
            <w:r>
              <w:rPr>
                <w:rFonts w:ascii="Calibri" w:hAnsi="Calibri"/>
                <w:b w:val="0"/>
                <w:i w:val="0"/>
                <w:sz w:val="24"/>
              </w:rPr>
              <w:t>—</w:t>
            </w:r>
          </w:p>
        </w:tc>
        <w:tc>
          <w:tcPr>
            <w:tcW w:type="dxa" w:w="1881"/>
            <w:vAlign w:val="top"/>
          </w:tcPr>
          <w:p>
            <w:pPr>
              <w:spacing w:before="60" w:after="60"/>
            </w:pPr>
            <w:r/>
            <w:r>
              <w:rPr>
                <w:rFonts w:ascii="Calibri" w:hAnsi="Calibri"/>
                <w:b w:val="0"/>
                <w:i w:val="0"/>
                <w:sz w:val="24"/>
              </w:rPr>
              <w:t>≈10</w:t>
            </w:r>
          </w:p>
        </w:tc>
        <w:tc>
          <w:tcPr>
            <w:tcW w:type="dxa" w:w="1881"/>
            <w:vAlign w:val="top"/>
          </w:tcPr>
          <w:p>
            <w:pPr>
              <w:spacing w:before="60" w:after="60"/>
            </w:pPr>
            <w:r/>
            <w:r>
              <w:rPr>
                <w:rFonts w:ascii="Calibri" w:hAnsi="Calibri"/>
                <w:b w:val="0"/>
                <w:i w:val="0"/>
                <w:sz w:val="24"/>
              </w:rPr>
              <w:t>Cycle de vie des transitions de mode catalog/circulation/network/governance</w:t>
            </w:r>
          </w:p>
        </w:tc>
      </w:tr>
      <w:tr>
        <w:tc>
          <w:tcPr>
            <w:tcW w:type="dxa" w:w="1881"/>
            <w:vAlign w:val="top"/>
          </w:tcPr>
          <w:p>
            <w:pPr>
              <w:spacing w:before="60" w:after="60"/>
            </w:pPr>
            <w:r/>
            <w:r>
              <w:rPr>
                <w:rFonts w:ascii="Calibri" w:hAnsi="Calibri"/>
                <w:b w:val="0"/>
                <w:i w:val="0"/>
                <w:sz w:val="24"/>
              </w:rPr>
              <w:t>Admin réseau (NOUVEAU)</w:t>
            </w:r>
          </w:p>
        </w:tc>
        <w:tc>
          <w:tcPr>
            <w:tcW w:type="dxa" w:w="1881"/>
            <w:vAlign w:val="top"/>
          </w:tcPr>
          <w:p>
            <w:pPr>
              <w:spacing w:before="60" w:after="60"/>
            </w:pPr>
            <w:r/>
            <w:r>
              <w:rPr>
                <w:rFonts w:ascii="Calibri" w:hAnsi="Calibri"/>
                <w:b w:val="0"/>
                <w:i w:val="0"/>
                <w:sz w:val="24"/>
              </w:rPr>
              <w:t>fn_network_admin_propose_cooptation/vote_cooptation/propose_collective_removal/vote_collective_removal/cancel_collective_removal/request_removal/self_remove + fn_caller_is_*</w:t>
            </w:r>
          </w:p>
        </w:tc>
        <w:tc>
          <w:tcPr>
            <w:tcW w:type="dxa" w:w="1881"/>
            <w:vAlign w:val="top"/>
          </w:tcPr>
          <w:p>
            <w:pPr>
              <w:spacing w:before="60" w:after="60"/>
            </w:pPr>
            <w:r/>
            <w:r>
              <w:rPr>
                <w:rFonts w:ascii="Calibri" w:hAnsi="Calibri"/>
                <w:b w:val="0"/>
                <w:i w:val="0"/>
                <w:sz w:val="24"/>
              </w:rPr>
              <w:t>—</w:t>
            </w:r>
          </w:p>
        </w:tc>
        <w:tc>
          <w:tcPr>
            <w:tcW w:type="dxa" w:w="1881"/>
            <w:vAlign w:val="top"/>
          </w:tcPr>
          <w:p>
            <w:pPr>
              <w:spacing w:before="60" w:after="60"/>
            </w:pPr>
            <w:r/>
            <w:r>
              <w:rPr>
                <w:rFonts w:ascii="Calibri" w:hAnsi="Calibri"/>
                <w:b w:val="0"/>
                <w:i w:val="0"/>
                <w:sz w:val="24"/>
              </w:rPr>
              <w:t>9</w:t>
            </w:r>
          </w:p>
        </w:tc>
        <w:tc>
          <w:tcPr>
            <w:tcW w:type="dxa" w:w="1881"/>
            <w:vAlign w:val="top"/>
          </w:tcPr>
          <w:p>
            <w:pPr>
              <w:spacing w:before="60" w:after="60"/>
            </w:pPr>
            <w:r/>
            <w:r>
              <w:rPr>
                <w:rFonts w:ascii="Calibri" w:hAnsi="Calibri"/>
                <w:b w:val="0"/>
                <w:i w:val="0"/>
                <w:sz w:val="24"/>
              </w:rPr>
              <w:t>Cooptation, retrait collectif, audit</w:t>
            </w:r>
          </w:p>
        </w:tc>
      </w:tr>
      <w:tr>
        <w:tc>
          <w:tcPr>
            <w:tcW w:type="dxa" w:w="1881"/>
            <w:vAlign w:val="top"/>
          </w:tcPr>
          <w:p>
            <w:pPr>
              <w:spacing w:before="60" w:after="60"/>
            </w:pPr>
            <w:r/>
            <w:r>
              <w:rPr>
                <w:rFonts w:ascii="Calibri" w:hAnsi="Calibri"/>
                <w:b w:val="0"/>
                <w:i w:val="0"/>
                <w:sz w:val="24"/>
              </w:rPr>
              <w:t>Gouvernance staff (NOUVEAU)</w:t>
            </w:r>
          </w:p>
        </w:tc>
        <w:tc>
          <w:tcPr>
            <w:tcW w:type="dxa" w:w="1881"/>
            <w:vAlign w:val="top"/>
          </w:tcPr>
          <w:p>
            <w:pPr>
              <w:spacing w:before="60" w:after="60"/>
            </w:pPr>
            <w:r/>
            <w:r>
              <w:rPr>
                <w:rFonts w:ascii="Calibri" w:hAnsi="Calibri"/>
                <w:b w:val="0"/>
                <w:i w:val="0"/>
                <w:sz w:val="24"/>
              </w:rPr>
              <w:t>fn_team_promote_to_administrador/coordenador/librarian + fn_team_suspend/unsuspend/request_remove/cancel_remove/self_demote + fn_team_list_memberships</w:t>
            </w:r>
          </w:p>
        </w:tc>
        <w:tc>
          <w:tcPr>
            <w:tcW w:type="dxa" w:w="1881"/>
            <w:vAlign w:val="top"/>
          </w:tcPr>
          <w:p>
            <w:pPr>
              <w:spacing w:before="60" w:after="60"/>
            </w:pPr>
            <w:r/>
            <w:r>
              <w:rPr>
                <w:rFonts w:ascii="Calibri" w:hAnsi="Calibri"/>
                <w:b w:val="0"/>
                <w:i w:val="0"/>
                <w:sz w:val="24"/>
              </w:rPr>
              <w:t>—</w:t>
            </w:r>
          </w:p>
        </w:tc>
        <w:tc>
          <w:tcPr>
            <w:tcW w:type="dxa" w:w="1881"/>
            <w:vAlign w:val="top"/>
          </w:tcPr>
          <w:p>
            <w:pPr>
              <w:spacing w:before="60" w:after="60"/>
            </w:pPr>
            <w:r/>
            <w:r>
              <w:rPr>
                <w:rFonts w:ascii="Calibri" w:hAnsi="Calibri"/>
                <w:b w:val="0"/>
                <w:i w:val="0"/>
                <w:sz w:val="24"/>
              </w:rPr>
              <w:t>9</w:t>
            </w:r>
          </w:p>
        </w:tc>
        <w:tc>
          <w:tcPr>
            <w:tcW w:type="dxa" w:w="1881"/>
            <w:vAlign w:val="top"/>
          </w:tcPr>
          <w:p>
            <w:pPr>
              <w:spacing w:before="60" w:after="60"/>
            </w:pPr>
            <w:r/>
            <w:r>
              <w:rPr>
                <w:rFonts w:ascii="Calibri" w:hAnsi="Calibri"/>
                <w:b w:val="0"/>
                <w:i w:val="0"/>
                <w:sz w:val="24"/>
              </w:rPr>
              <w:t>Promotion/démotion/suspension/retrait dans les équipes locales</w:t>
            </w:r>
          </w:p>
        </w:tc>
      </w:tr>
      <w:tr>
        <w:tc>
          <w:tcPr>
            <w:tcW w:type="dxa" w:w="1881"/>
            <w:vAlign w:val="top"/>
          </w:tcPr>
          <w:p>
            <w:pPr>
              <w:spacing w:before="60" w:after="60"/>
            </w:pPr>
            <w:r/>
            <w:r>
              <w:rPr>
                <w:rFonts w:ascii="Calibri" w:hAnsi="Calibri"/>
                <w:b w:val="0"/>
                <w:i w:val="0"/>
                <w:sz w:val="24"/>
              </w:rPr>
              <w:t>Cotisations (NOUVEAU)</w:t>
            </w:r>
          </w:p>
        </w:tc>
        <w:tc>
          <w:tcPr>
            <w:tcW w:type="dxa" w:w="1881"/>
            <w:vAlign w:val="top"/>
          </w:tcPr>
          <w:p>
            <w:pPr>
              <w:spacing w:before="60" w:after="60"/>
            </w:pPr>
            <w:r/>
            <w:r>
              <w:rPr>
                <w:rFonts w:ascii="Calibri" w:hAnsi="Calibri"/>
                <w:b w:val="0"/>
                <w:i w:val="0"/>
                <w:sz w:val="24"/>
              </w:rPr>
              <w:t>fn_record_membership_payment, fn_compute_membership_validity, fn_list_membership_payments_for_user, fn_is_loan_blocked_by_dues</w:t>
            </w:r>
          </w:p>
        </w:tc>
        <w:tc>
          <w:tcPr>
            <w:tcW w:type="dxa" w:w="1881"/>
            <w:vAlign w:val="top"/>
          </w:tcPr>
          <w:p>
            <w:pPr>
              <w:spacing w:before="60" w:after="60"/>
            </w:pPr>
            <w:r/>
            <w:r>
              <w:rPr>
                <w:rFonts w:ascii="Calibri" w:hAnsi="Calibri"/>
                <w:b w:val="0"/>
                <w:i w:val="0"/>
                <w:sz w:val="24"/>
              </w:rPr>
              <w:t>—</w:t>
            </w:r>
          </w:p>
        </w:tc>
        <w:tc>
          <w:tcPr>
            <w:tcW w:type="dxa" w:w="1881"/>
            <w:vAlign w:val="top"/>
          </w:tcPr>
          <w:p>
            <w:pPr>
              <w:spacing w:before="60" w:after="60"/>
            </w:pPr>
            <w:r/>
            <w:r>
              <w:rPr>
                <w:rFonts w:ascii="Calibri" w:hAnsi="Calibri"/>
                <w:b w:val="0"/>
                <w:i w:val="0"/>
                <w:sz w:val="24"/>
              </w:rPr>
              <w:t>4</w:t>
            </w:r>
          </w:p>
        </w:tc>
        <w:tc>
          <w:tcPr>
            <w:tcW w:type="dxa" w:w="1881"/>
            <w:vAlign w:val="top"/>
          </w:tcPr>
          <w:p>
            <w:pPr>
              <w:spacing w:before="60" w:after="60"/>
            </w:pPr>
            <w:r/>
            <w:r>
              <w:rPr>
                <w:rFonts w:ascii="Calibri" w:hAnsi="Calibri"/>
                <w:b w:val="0"/>
                <w:i w:val="0"/>
                <w:sz w:val="24"/>
              </w:rPr>
              <w:t>Engagement financier des lecteur·rice·x dans la bibliothèque</w:t>
            </w:r>
          </w:p>
        </w:tc>
      </w:tr>
      <w:tr>
        <w:tc>
          <w:tcPr>
            <w:tcW w:type="dxa" w:w="1881"/>
            <w:vAlign w:val="top"/>
          </w:tcPr>
          <w:p>
            <w:pPr>
              <w:spacing w:before="60" w:after="60"/>
            </w:pPr>
            <w:r/>
            <w:r>
              <w:rPr>
                <w:rFonts w:ascii="Calibri" w:hAnsi="Calibri"/>
                <w:b w:val="0"/>
                <w:i w:val="0"/>
                <w:sz w:val="24"/>
              </w:rPr>
              <w:t>Archivage transactionnel (NOUVEAU)</w:t>
            </w:r>
          </w:p>
        </w:tc>
        <w:tc>
          <w:tcPr>
            <w:tcW w:type="dxa" w:w="1881"/>
            <w:vAlign w:val="top"/>
          </w:tcPr>
          <w:p>
            <w:pPr>
              <w:spacing w:before="60" w:after="60"/>
            </w:pPr>
            <w:r/>
            <w:r>
              <w:rPr>
                <w:rFonts w:ascii="Calibri" w:hAnsi="Calibri"/>
                <w:b w:val="0"/>
                <w:i w:val="0"/>
                <w:sz w:val="24"/>
              </w:rPr>
              <w:t>fn_unarchive_transaction + helpers archivage de paquet D</w:t>
            </w:r>
          </w:p>
        </w:tc>
        <w:tc>
          <w:tcPr>
            <w:tcW w:type="dxa" w:w="1881"/>
            <w:vAlign w:val="top"/>
          </w:tcPr>
          <w:p>
            <w:pPr>
              <w:spacing w:before="60" w:after="60"/>
            </w:pPr>
            <w:r/>
            <w:r>
              <w:rPr>
                <w:rFonts w:ascii="Calibri" w:hAnsi="Calibri"/>
                <w:b w:val="0"/>
                <w:i w:val="0"/>
                <w:sz w:val="24"/>
              </w:rPr>
              <w:t>—</w:t>
            </w:r>
          </w:p>
        </w:tc>
        <w:tc>
          <w:tcPr>
            <w:tcW w:type="dxa" w:w="1881"/>
            <w:vAlign w:val="top"/>
          </w:tcPr>
          <w:p>
            <w:pPr>
              <w:spacing w:before="60" w:after="60"/>
            </w:pPr>
            <w:r/>
            <w:r>
              <w:rPr>
                <w:rFonts w:ascii="Calibri" w:hAnsi="Calibri"/>
                <w:b w:val="0"/>
                <w:i w:val="0"/>
                <w:sz w:val="24"/>
              </w:rPr>
              <w:t>≈5</w:t>
            </w:r>
          </w:p>
        </w:tc>
        <w:tc>
          <w:tcPr>
            <w:tcW w:type="dxa" w:w="1881"/>
            <w:vAlign w:val="top"/>
          </w:tcPr>
          <w:p>
            <w:pPr>
              <w:spacing w:before="60" w:after="60"/>
            </w:pPr>
            <w:r/>
            <w:r>
              <w:rPr>
                <w:rFonts w:ascii="Calibri" w:hAnsi="Calibri"/>
                <w:b w:val="0"/>
                <w:i w:val="0"/>
                <w:sz w:val="24"/>
              </w:rPr>
              <w:t>Archivage réversible des transactions de circulation</w:t>
            </w:r>
          </w:p>
        </w:tc>
      </w:tr>
      <w:tr>
        <w:tc>
          <w:tcPr>
            <w:tcW w:type="dxa" w:w="1881"/>
            <w:vAlign w:val="top"/>
          </w:tcPr>
          <w:p>
            <w:pPr>
              <w:spacing w:before="60" w:after="60"/>
            </w:pPr>
            <w:r/>
            <w:r>
              <w:rPr>
                <w:rFonts w:ascii="Calibri" w:hAnsi="Calibri"/>
                <w:b w:val="0"/>
                <w:i w:val="0"/>
                <w:sz w:val="24"/>
              </w:rPr>
              <w:t>Aide à la circulation (NOUVEAU)</w:t>
            </w:r>
          </w:p>
        </w:tc>
        <w:tc>
          <w:tcPr>
            <w:tcW w:type="dxa" w:w="1881"/>
            <w:vAlign w:val="top"/>
          </w:tcPr>
          <w:p>
            <w:pPr>
              <w:spacing w:before="60" w:after="60"/>
            </w:pPr>
            <w:r/>
            <w:r>
              <w:rPr>
                <w:rFonts w:ascii="Calibri" w:hAnsi="Calibri"/>
                <w:b w:val="0"/>
                <w:i w:val="0"/>
                <w:sz w:val="24"/>
              </w:rPr>
              <w:t>fn_v2_book_session_availability/context, resolve_circulation_rule, get_due_date_*, get_remaining_renewals, get_future_availability, get_batch_loan_projection</w:t>
            </w:r>
          </w:p>
        </w:tc>
        <w:tc>
          <w:tcPr>
            <w:tcW w:type="dxa" w:w="1881"/>
            <w:vAlign w:val="top"/>
          </w:tcPr>
          <w:p>
            <w:pPr>
              <w:spacing w:before="60" w:after="60"/>
            </w:pPr>
            <w:r/>
            <w:r>
              <w:rPr>
                <w:rFonts w:ascii="Calibri" w:hAnsi="Calibri"/>
                <w:b w:val="0"/>
                <w:i w:val="0"/>
                <w:sz w:val="24"/>
              </w:rPr>
              <w:t>—</w:t>
            </w:r>
          </w:p>
        </w:tc>
        <w:tc>
          <w:tcPr>
            <w:tcW w:type="dxa" w:w="1881"/>
            <w:vAlign w:val="top"/>
          </w:tcPr>
          <w:p>
            <w:pPr>
              <w:spacing w:before="60" w:after="60"/>
            </w:pPr>
            <w:r/>
            <w:r>
              <w:rPr>
                <w:rFonts w:ascii="Calibri" w:hAnsi="Calibri"/>
                <w:b w:val="0"/>
                <w:i w:val="0"/>
                <w:sz w:val="24"/>
              </w:rPr>
              <w:t>≈8</w:t>
            </w:r>
          </w:p>
        </w:tc>
        <w:tc>
          <w:tcPr>
            <w:tcW w:type="dxa" w:w="1881"/>
            <w:vAlign w:val="top"/>
          </w:tcPr>
          <w:p>
            <w:pPr>
              <w:spacing w:before="60" w:after="60"/>
            </w:pPr>
            <w:r/>
            <w:r>
              <w:rPr>
                <w:rFonts w:ascii="Calibri" w:hAnsi="Calibri"/>
                <w:b w:val="0"/>
                <w:i w:val="0"/>
                <w:sz w:val="24"/>
              </w:rPr>
              <w:t>Calculs de disponibilité et de durée prévisionnelle (couche fine api)</w:t>
            </w:r>
          </w:p>
        </w:tc>
      </w:tr>
    </w:tbl>
    <w:p>
      <w:pPr>
        <w:spacing w:after="160"/>
      </w:pPr>
    </w:p>
    <w:p>
      <w:pPr>
        <w:keepNext/>
        <w:spacing w:before="360" w:after="160"/>
      </w:pPr>
      <w:r>
        <w:rPr>
          <w:rFonts w:ascii="Calibri" w:hAnsi="Calibri"/>
          <w:b/>
          <w:color w:val="2E74B5"/>
          <w:sz w:val="36"/>
        </w:rPr>
        <w:t>3.3 Vues — répartition par schéma (état v14)</w:t>
      </w:r>
    </w:p>
    <w:p>
      <w:pPr>
        <w:spacing w:before="0" w:after="160"/>
      </w:pPr>
      <w:r>
        <w:rPr>
          <w:rFonts w:ascii="Calibri" w:hAnsi="Calibri"/>
          <w:b w:val="0"/>
          <w:i w:val="0"/>
          <w:sz w:val="28"/>
        </w:rPr>
        <w:t>Sur les 72 vues que compte désormais le backend, 45 sont dans le schéma api (services frontend), 25 dans public (vues métier), 2 sont matérialisées (mv_books_catalog_list_v1 et mv_books_catalog_list_network_v1). La répartition de sécurité a substantiellement progressé depuis v13.</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vAlign w:val="top"/>
            <w:shd w:val="clear" w:color="auto" w:fill="D9E2F3"/>
          </w:tcPr>
          <w:p>
            <w:pPr>
              <w:spacing w:before="60" w:after="60"/>
            </w:pPr>
            <w:r/>
            <w:r>
              <w:rPr>
                <w:rFonts w:ascii="Calibri" w:hAnsi="Calibri"/>
                <w:b/>
                <w:i w:val="0"/>
                <w:sz w:val="24"/>
              </w:rPr>
              <w:t>Schéma / type</w:t>
            </w:r>
          </w:p>
        </w:tc>
        <w:tc>
          <w:tcPr>
            <w:tcW w:type="dxa" w:w="3135"/>
            <w:vAlign w:val="top"/>
            <w:shd w:val="clear" w:color="auto" w:fill="D9E2F3"/>
          </w:tcPr>
          <w:p>
            <w:pPr>
              <w:spacing w:before="60" w:after="60"/>
            </w:pPr>
            <w:r/>
            <w:r>
              <w:rPr>
                <w:rFonts w:ascii="Calibri" w:hAnsi="Calibri"/>
                <w:b/>
                <w:i w:val="0"/>
                <w:sz w:val="24"/>
              </w:rPr>
              <w:t>Vues SECURITY INVOKER</w:t>
            </w:r>
          </w:p>
        </w:tc>
        <w:tc>
          <w:tcPr>
            <w:tcW w:type="dxa" w:w="3135"/>
            <w:vAlign w:val="top"/>
            <w:shd w:val="clear" w:color="auto" w:fill="D9E2F3"/>
          </w:tcPr>
          <w:p>
            <w:pPr>
              <w:spacing w:before="60" w:after="60"/>
            </w:pPr>
            <w:r/>
            <w:r>
              <w:rPr>
                <w:rFonts w:ascii="Calibri" w:hAnsi="Calibri"/>
                <w:b/>
                <w:i w:val="0"/>
                <w:sz w:val="24"/>
              </w:rPr>
              <w:t>Vues SECURITY DEFINER (à examiner)</w:t>
            </w:r>
          </w:p>
        </w:tc>
      </w:tr>
      <w:tr>
        <w:tc>
          <w:tcPr>
            <w:tcW w:type="dxa" w:w="3135"/>
            <w:vAlign w:val="top"/>
          </w:tcPr>
          <w:p>
            <w:pPr>
              <w:spacing w:before="60" w:after="60"/>
            </w:pPr>
            <w:r/>
            <w:r>
              <w:rPr>
                <w:rFonts w:ascii="Calibri" w:hAnsi="Calibri"/>
                <w:b w:val="0"/>
                <w:i w:val="0"/>
                <w:sz w:val="24"/>
              </w:rPr>
              <w:t>api (45 vues)</w:t>
            </w:r>
          </w:p>
        </w:tc>
        <w:tc>
          <w:tcPr>
            <w:tcW w:type="dxa" w:w="3135"/>
            <w:vAlign w:val="top"/>
          </w:tcPr>
          <w:p>
            <w:pPr>
              <w:spacing w:before="60" w:after="60"/>
            </w:pPr>
            <w:r/>
            <w:r>
              <w:rPr>
                <w:rFonts w:ascii="Calibri" w:hAnsi="Calibri"/>
                <w:b w:val="0"/>
                <w:i w:val="0"/>
                <w:sz w:val="24"/>
              </w:rPr>
              <w:t>44 vues api en INVOKER explicite (true ou on) : my_</w:t>
            </w:r>
            <w:r>
              <w:rPr>
                <w:rFonts w:ascii="Calibri" w:hAnsi="Calibri"/>
                <w:b w:val="0"/>
                <w:i/>
                <w:sz w:val="24"/>
              </w:rPr>
              <w:t>, catalog_</w:t>
            </w:r>
            <w:r>
              <w:rPr>
                <w:rFonts w:ascii="Calibri" w:hAnsi="Calibri"/>
                <w:b w:val="0"/>
                <w:i w:val="0"/>
                <w:sz w:val="24"/>
              </w:rPr>
              <w:t>, emprestimo_</w:t>
            </w:r>
            <w:r>
              <w:rPr>
                <w:rFonts w:ascii="Calibri" w:hAnsi="Calibri"/>
                <w:b w:val="0"/>
                <w:i/>
                <w:sz w:val="24"/>
              </w:rPr>
              <w:t>, reserva_</w:t>
            </w:r>
            <w:r>
              <w:rPr>
                <w:rFonts w:ascii="Calibri" w:hAnsi="Calibri"/>
                <w:b w:val="0"/>
                <w:i w:val="0"/>
                <w:sz w:val="24"/>
              </w:rPr>
              <w:t>, consulta_</w:t>
            </w:r>
            <w:r>
              <w:rPr>
                <w:rFonts w:ascii="Calibri" w:hAnsi="Calibri"/>
                <w:b w:val="0"/>
                <w:i/>
                <w:sz w:val="24"/>
              </w:rPr>
              <w:t>, interlibrary_</w:t>
            </w:r>
            <w:r>
              <w:rPr>
                <w:rFonts w:ascii="Calibri" w:hAnsi="Calibri"/>
                <w:b w:val="0"/>
                <w:i w:val="0"/>
                <w:sz w:val="24"/>
              </w:rPr>
              <w:t>, library_</w:t>
            </w:r>
            <w:r>
              <w:rPr>
                <w:rFonts w:ascii="Calibri" w:hAnsi="Calibri"/>
                <w:b w:val="0"/>
                <w:i/>
                <w:sz w:val="24"/>
              </w:rPr>
              <w:t>, partner_catalog_</w:t>
            </w:r>
            <w:r>
              <w:rPr>
                <w:rFonts w:ascii="Calibri" w:hAnsi="Calibri"/>
                <w:b w:val="0"/>
                <w:i w:val="0"/>
                <w:sz w:val="24"/>
              </w:rPr>
              <w:t>, etc.</w:t>
            </w:r>
          </w:p>
        </w:tc>
        <w:tc>
          <w:tcPr>
            <w:tcW w:type="dxa" w:w="3135"/>
            <w:vAlign w:val="top"/>
          </w:tcPr>
          <w:p>
            <w:pPr>
              <w:spacing w:before="60" w:after="60"/>
            </w:pPr>
            <w:r/>
            <w:r>
              <w:rPr>
                <w:rFonts w:ascii="Calibri" w:hAnsi="Calibri"/>
                <w:b w:val="0"/>
                <w:i w:val="0"/>
                <w:sz w:val="24"/>
              </w:rPr>
              <w:t>api.library_email_identity (definer par défaut, à basculer)</w:t>
            </w:r>
          </w:p>
        </w:tc>
      </w:tr>
      <w:tr>
        <w:tc>
          <w:tcPr>
            <w:tcW w:type="dxa" w:w="3135"/>
            <w:vAlign w:val="top"/>
          </w:tcPr>
          <w:p>
            <w:pPr>
              <w:spacing w:before="60" w:after="60"/>
            </w:pPr>
            <w:r/>
            <w:r>
              <w:rPr>
                <w:rFonts w:ascii="Calibri" w:hAnsi="Calibri"/>
                <w:b w:val="0"/>
                <w:i w:val="0"/>
                <w:sz w:val="24"/>
              </w:rPr>
              <w:t>public (25 vues)</w:t>
            </w:r>
          </w:p>
        </w:tc>
        <w:tc>
          <w:tcPr>
            <w:tcW w:type="dxa" w:w="3135"/>
            <w:vAlign w:val="top"/>
          </w:tcPr>
          <w:p>
            <w:pPr>
              <w:spacing w:before="60" w:after="60"/>
            </w:pPr>
            <w:r/>
            <w:r>
              <w:rPr>
                <w:rFonts w:ascii="Calibri" w:hAnsi="Calibri"/>
                <w:b w:val="0"/>
                <w:i w:val="0"/>
                <w:sz w:val="24"/>
              </w:rPr>
              <w:t>v_book_authors_canonical, v_book_detail_public_v2, v_books_catalog_list_v1, v_books_public_catalog_v2, v_catalog_books_editable, v_catalog_queue, v_exemplar_drafts_resolved, v_exemplar_labels, v_libraries_for_signup, v_library_notification_context, v_library_service_public, v_membership_overview_panel, author_books_public, authors_with_translations, catalog_partners_policy_flags, catalog_partners_policy_flags_v2, my_access, my_session_context (toutes en INVOKER)</w:t>
            </w:r>
          </w:p>
        </w:tc>
        <w:tc>
          <w:tcPr>
            <w:tcW w:type="dxa" w:w="3135"/>
            <w:vAlign w:val="top"/>
          </w:tcPr>
          <w:p>
            <w:pPr>
              <w:spacing w:before="60" w:after="60"/>
            </w:pPr>
            <w:r/>
            <w:r>
              <w:rPr>
                <w:rFonts w:ascii="Calibri" w:hAnsi="Calibri"/>
                <w:b w:val="0"/>
                <w:i w:val="0"/>
                <w:sz w:val="24"/>
              </w:rPr>
              <w:t>v_active_memberships (ERROR, dernière), v_author_alias_candidates_unique, v_author_alias_worklist, v_author_seed_candidates, v_terra_livre_books_ready, v_terra_livre_books_ready_stats (5 vues en definer par défaut, statut à clarifier)</w:t>
            </w:r>
          </w:p>
        </w:tc>
      </w:tr>
      <w:tr>
        <w:tc>
          <w:tcPr>
            <w:tcW w:type="dxa" w:w="3135"/>
            <w:vAlign w:val="top"/>
          </w:tcPr>
          <w:p>
            <w:pPr>
              <w:spacing w:before="60" w:after="60"/>
            </w:pPr>
            <w:r/>
            <w:r>
              <w:rPr>
                <w:rFonts w:ascii="Calibri" w:hAnsi="Calibri"/>
                <w:b w:val="0"/>
                <w:i w:val="0"/>
                <w:sz w:val="24"/>
              </w:rPr>
              <w:t>public matérialisé (2)</w:t>
            </w:r>
          </w:p>
        </w:tc>
        <w:tc>
          <w:tcPr>
            <w:tcW w:type="dxa" w:w="3135"/>
            <w:vAlign w:val="top"/>
          </w:tcPr>
          <w:p>
            <w:pPr>
              <w:spacing w:before="60" w:after="60"/>
            </w:pPr>
            <w:r/>
            <w:r>
              <w:rPr>
                <w:rFonts w:ascii="Calibri" w:hAnsi="Calibri"/>
                <w:b w:val="0"/>
                <w:i w:val="0"/>
                <w:sz w:val="24"/>
              </w:rPr>
              <w:t>—</w:t>
            </w:r>
          </w:p>
        </w:tc>
        <w:tc>
          <w:tcPr>
            <w:tcW w:type="dxa" w:w="3135"/>
            <w:vAlign w:val="top"/>
          </w:tcPr>
          <w:p>
            <w:pPr>
              <w:spacing w:before="60" w:after="60"/>
            </w:pPr>
            <w:r/>
            <w:r>
              <w:rPr>
                <w:rFonts w:ascii="Calibri" w:hAnsi="Calibri"/>
                <w:b w:val="0"/>
                <w:i w:val="0"/>
                <w:sz w:val="24"/>
              </w:rPr>
              <w:t>mv_books_catalog_list_v1, mv_books_catalog_list_network_v1 (definer par défaut, WARN materialized_view_in_api)</w:t>
            </w:r>
          </w:p>
        </w:tc>
      </w:tr>
    </w:tbl>
    <w:p>
      <w:pPr>
        <w:spacing w:after="160"/>
      </w:pPr>
    </w:p>
    <w:p>
      <w:pPr>
        <w:spacing w:before="0" w:after="160"/>
      </w:pPr>
      <w:r>
        <w:rPr>
          <w:rFonts w:ascii="Calibri" w:hAnsi="Calibri"/>
          <w:b w:val="0"/>
          <w:i w:val="0"/>
          <w:sz w:val="28"/>
        </w:rPr>
        <w:t>La progression v13 → v14 sur les vues SECURITY DEFINER est spectaculaire : la v13 désignait quatre vues ERROR (qui faisaient l'essentiel du problème). La v14 mesure que cinq de ces six vues critiques ont été basculées en INVOKER. Reste isolément v_active_memberships, qui demande un traitement spécifique parce qu'elle dérive l'état courant des cotisations à partir de l'historique de paiements. Les cinq vues v_author_alias_</w:t>
      </w:r>
      <w:r>
        <w:rPr>
          <w:rFonts w:ascii="Calibri" w:hAnsi="Calibri"/>
          <w:b w:val="0"/>
          <w:i/>
          <w:sz w:val="28"/>
        </w:rPr>
        <w:t xml:space="preserve"> et v_terra_livre_</w:t>
      </w:r>
      <w:r>
        <w:rPr>
          <w:rFonts w:ascii="Calibri" w:hAnsi="Calibri"/>
          <w:b w:val="0"/>
          <w:i w:val="0"/>
          <w:sz w:val="28"/>
        </w:rPr>
        <w:t xml:space="preserve"> sont en definer par défaut mais n'apparaissent pas comme ERROR dans les advisors, ce qui suggère qu'elles ne sont pas exposées via PostgREST ou que leur lecture passe par service_role uniquement — leur statut doctrinal mérite cependant d'être clarifié.</w:t>
      </w:r>
    </w:p>
    <w:p>
      <w:pPr>
        <w:keepNext/>
        <w:spacing w:before="480" w:after="240"/>
      </w:pPr>
      <w:r>
        <w:rPr>
          <w:rFonts w:ascii="Calibri" w:hAnsi="Calibri"/>
          <w:b/>
          <w:color w:val="1F4E79"/>
          <w:sz w:val="44"/>
        </w:rPr>
        <w:t>4. La couche métier vue depuis le SQL : ce que la v14 confirme et précise</w:t>
      </w:r>
    </w:p>
    <w:p>
      <w:pPr>
        <w:spacing w:before="0" w:after="160"/>
      </w:pPr>
      <w:r>
        <w:rPr>
          <w:rFonts w:ascii="Calibri" w:hAnsi="Calibri"/>
          <w:b w:val="0"/>
          <w:i w:val="0"/>
          <w:sz w:val="28"/>
        </w:rPr>
        <w:t>La lecture du SQL exact confirme les estimations stratégiques de v13 sur la plupart des axes établis (catalogue, drafts, circulation v2, BTL, imports partenaires, gouvernance bibliothèque, communications). Trois axes méritent un point de précision actualisé, et quatre axes nouveaux entrent désormais dans la cartographie.</w:t>
      </w:r>
    </w:p>
    <w:p>
      <w:pPr>
        <w:keepNext/>
        <w:spacing w:before="360" w:after="160"/>
      </w:pPr>
      <w:r>
        <w:rPr>
          <w:rFonts w:ascii="Calibri" w:hAnsi="Calibri"/>
          <w:b/>
          <w:color w:val="2E74B5"/>
          <w:sz w:val="36"/>
        </w:rPr>
        <w:t>4.1 Catalogue documentaire et drafts — stables</w:t>
      </w:r>
    </w:p>
    <w:p>
      <w:pPr>
        <w:spacing w:before="0" w:after="160"/>
      </w:pPr>
      <w:r>
        <w:rPr>
          <w:rFonts w:ascii="Calibri" w:hAnsi="Calibri"/>
          <w:b w:val="0"/>
          <w:i w:val="0"/>
          <w:sz w:val="28"/>
        </w:rPr>
        <w:t>Le noyau catalogue compte désormais 11 tables structurantes (avec l'ajout de author_name_aliases, qui formalise les alias d'auteur séparément du worklist). Les 8 tables de drafts éditoriaux sont inchangées. Les 8 tables catalog_ref_* portent toujours les référentiels. La couche est stable, mais la mesure indirecte de son utilisation (idx_scan = 0 sur l'ensemble) ne permet plus de juger du chemin d'accès dominant — cette mesure se reconstituera après les premiers usages tiers.</w:t>
      </w:r>
    </w:p>
    <w:p>
      <w:pPr>
        <w:keepNext/>
        <w:spacing w:before="360" w:after="160"/>
      </w:pPr>
      <w:r>
        <w:rPr>
          <w:rFonts w:ascii="Calibri" w:hAnsi="Calibri"/>
          <w:b/>
          <w:color w:val="2E74B5"/>
          <w:sz w:val="36"/>
        </w:rPr>
        <w:t>4.2 Réservations, emprunts, consultation locale — fermeture v2 confirmée</w:t>
      </w:r>
    </w:p>
    <w:p>
      <w:pPr>
        <w:spacing w:before="0" w:after="160"/>
      </w:pPr>
      <w:r>
        <w:rPr>
          <w:rFonts w:ascii="Calibri" w:hAnsi="Calibri"/>
          <w:b w:val="0"/>
          <w:i w:val="0"/>
          <w:sz w:val="28"/>
        </w:rPr>
        <w:t>Les 3 tables réservation, 2 tables emprunt, 3 tables consultation locale n'ont pas changé en nombre. Ce qui a changé, c'est le branchement de la consultation locale dans la couche notification, attendu depuis la v10. Les triggers trg_notify_consulta_workflow et trg_notify_consulta_lifecycle existent en production sur respectivement consulta_item_workflow_v2 et consulta_linhas_v2. Cinq RPC api supplémentaires couvrent désormais la consultation en couche fine api (advance_consulta, cancel_consulta_as_reader, create_consulta_local, dismiss_consulta_cancelled, reply_consulta_schedule). Cette branche peut être considérée comme fermée backend, à environ 95 % d'avancement (le reste étant le rendu painel frontal des nouveaux statuts).</w:t>
      </w:r>
    </w:p>
    <w:p>
      <w:pPr>
        <w:keepNext/>
        <w:spacing w:before="360" w:after="160"/>
      </w:pPr>
      <w:r>
        <w:rPr>
          <w:rFonts w:ascii="Calibri" w:hAnsi="Calibri"/>
          <w:b/>
          <w:color w:val="2E74B5"/>
          <w:sz w:val="36"/>
        </w:rPr>
        <w:t>4.3 BTL et autorisation centralisée — triple-défense</w:t>
      </w:r>
    </w:p>
    <w:p>
      <w:pPr>
        <w:spacing w:before="0" w:after="160"/>
      </w:pPr>
      <w:r>
        <w:rPr>
          <w:rFonts w:ascii="Calibri" w:hAnsi="Calibri"/>
          <w:b w:val="0"/>
          <w:i w:val="0"/>
          <w:sz w:val="28"/>
        </w:rPr>
        <w:t>Le BTL conserve ses 4 tables (interlibrary_loans_v2, interlibrary_loan_items_v2, interlibrary_loan_events, interlibrary_loan_notification_events). Ce qui a changé, c'est la fonction d'autorisation : fn_peb_authorized(lender_library_id, borrower_library_id) est désormais centrale dans les policies RLS d'insertion et de mise à jour, doublée par fn_library_has_circulation et par user_can_manage_library. Cette triple-défense (autorisation PEB + capacité de circulation + droit d'engagement) est la première du backend AnarBib à être aussi composite. Elle matérialise une décision politique : un PEB ne s'autorise pas sur la seule présence des deux bibliothèques dans le réseau, mais sur la conjonction d'une autorisation explicite (fn_peb_authorized), d'une capacité technique (fn_library_has_circulation, qui exige un profil circulation_mode != 'off'), et d'un droit personnel (user_can_manage_library). Cette politique est saine et complète backend ; elle reste à exposer en frontend (cf. CHANTIER_peb_frontend_diagnostic_2026-05-19.md).</w:t>
      </w:r>
    </w:p>
    <w:p>
      <w:pPr>
        <w:keepNext/>
        <w:spacing w:before="360" w:after="160"/>
      </w:pPr>
      <w:r>
        <w:rPr>
          <w:rFonts w:ascii="Calibri" w:hAnsi="Calibri"/>
          <w:b/>
          <w:color w:val="2E74B5"/>
          <w:sz w:val="36"/>
        </w:rPr>
        <w:t>4.4 Catalogação — confirmé robuste</w:t>
      </w:r>
    </w:p>
    <w:p>
      <w:pPr>
        <w:spacing w:before="0" w:after="160"/>
      </w:pPr>
      <w:r>
        <w:rPr>
          <w:rFonts w:ascii="Calibri" w:hAnsi="Calibri"/>
          <w:b w:val="0"/>
          <w:i w:val="0"/>
          <w:sz w:val="28"/>
        </w:rPr>
        <w:t>Le workflow rascunhos / auteurs / exemplaires / rótulos / fila / lotes / publié reste structuré autour des 8 tables drafts, doublées des 9 tables catalog_ref_* de référence et de la couche d'import partenaire (7 tables ingest, inchangées). Le pattern api.my_access apparaît désormais systématiquement dans les policies (book_drafts_catalogacao_librarian_all, author_drafts_catalogacao_librarian_all, exemplar_drafts_catalogacao_librarian_all, etc.) : c'est une généralisation propre du contrôle d'accès, qui remplace les anciens patterns disparates. Reste l'item #79 du backlog (RBAC catalogação) qui demande d'introduire une granularité de rôle plus fine dans cette couche — chantier non urgent, planifiable en parallèle.</w:t>
      </w:r>
    </w:p>
    <w:p>
      <w:pPr>
        <w:keepNext/>
        <w:spacing w:before="360" w:after="160"/>
      </w:pPr>
      <w:r>
        <w:rPr>
          <w:rFonts w:ascii="Calibri" w:hAnsi="Calibri"/>
          <w:b/>
          <w:color w:val="2E74B5"/>
          <w:sz w:val="36"/>
        </w:rPr>
        <w:t>4.5 Profils d'adoption — palier nouveau, backend 90 %, frontend 10 %</w:t>
      </w:r>
    </w:p>
    <w:p>
      <w:pPr>
        <w:spacing w:before="0" w:after="160"/>
      </w:pPr>
      <w:r>
        <w:rPr>
          <w:rFonts w:ascii="Calibri" w:hAnsi="Calibri"/>
          <w:b w:val="0"/>
          <w:i w:val="0"/>
          <w:sz w:val="28"/>
        </w:rPr>
        <w:t>C'est le palier le plus structurant introduit depuis v13. La spec spec-profils-bibliotheque.md v0.6 (en révision interne) définit quatre axes orthogonaux : catalog_mode (local_only | network_published), circulation_mode (off | informal | full_sigb), network_mode (isolated | observer | federated), governance_mode (informal | staff_roles | full_governance). Chaque axe est implémenté par un helper SECURITY DEFINER (fn_library_catalog_mode, fn_library_circulation_mode, fn_library_network_mode, fn_library_governance_mode) exposé à anon — ce qui constitue un choix politique explicite : un usager non authentifié peut vérifier le profil d'adoption d'une bibliothèque pour décider de s'y inscrire. La couche d'audit est complète : library_profile_history (immutable), library_profile_proposals, library_profile_votes (avec uniq_lpv_one_vote_per_voter), library_profile_grace_locks (carence durant transitions). Cinq triggers garantissent l'immutabilité (trg_lph_block_delete, trg_lph_block_update, trg_lpp_block_modification, trg_lpv_block_modification, trg_lpgl_block_modification) et la notification (trg_lph_notify_executed, trg_lpp_notify_lifecycle, trg_lpv_notify_cast). En frontend, seules quelques pages exposent partiellement les modes (BibliotecaPage, CatalogPage). La transition explicite, la proposition et le vote restent invisibles à l'utilisateur final. C'est la séquence #2 nouvelle de l'ordre d'exécution v14.</w:t>
      </w:r>
    </w:p>
    <w:p>
      <w:pPr>
        <w:keepNext/>
        <w:spacing w:before="360" w:after="160"/>
      </w:pPr>
      <w:r>
        <w:rPr>
          <w:rFonts w:ascii="Calibri" w:hAnsi="Calibri"/>
          <w:b/>
          <w:color w:val="2E74B5"/>
          <w:sz w:val="36"/>
        </w:rPr>
        <w:t>4.6 Admin réseau — palier nouveau, backend 95 %, frontend 70 %</w:t>
      </w:r>
    </w:p>
    <w:p>
      <w:pPr>
        <w:spacing w:before="0" w:after="160"/>
      </w:pPr>
      <w:r>
        <w:rPr>
          <w:rFonts w:ascii="Calibri" w:hAnsi="Calibri"/>
          <w:b w:val="0"/>
          <w:i w:val="0"/>
          <w:sz w:val="28"/>
        </w:rPr>
        <w:t>La spec spec-administrateur-reseau.md v0.3 a été livrée en intégralité côté backend : 8 tables (network_administrators sans library_id pour matérialiser l'autorité transverse, network_staff pour les droits effectifs, network_administrator_audit en INSERT-only avec triggers d'immutabilité, network_administrator_cooptation_proposals/votes, network_admin_collective_removal_proposals/votes, network_admin_cross_library_actions_log avec triggers de notification critique), 9 RPC, 5 triggers d'audit, 1 vue api dédiée (network_administrators_public_v1) + 1 vue api de dashboard (network_overview) + 1 vue api de statut personnel (my_network_admin_status). Côté frontend, 6 composants react sont opérationnels (AdminsPanel + ProposeCooptationModal + VoteCooptationModal + ProposeCollectiveRemovalModal + VoteCollectiveRemovalModal + CancelCollectiveRemovalModal + NetworkAdminBadge). C'est l'un des chantiers les mieux refermés, parce que la spec, le backend et le frontend ont été livrés dans la même fenêtre.</w:t>
      </w:r>
    </w:p>
    <w:p>
      <w:pPr>
        <w:keepNext/>
        <w:spacing w:before="360" w:after="160"/>
      </w:pPr>
      <w:r>
        <w:rPr>
          <w:rFonts w:ascii="Calibri" w:hAnsi="Calibri"/>
          <w:b/>
          <w:color w:val="2E74B5"/>
          <w:sz w:val="36"/>
        </w:rPr>
        <w:t>4.7 Gouvernance staff — palier nouveau, backend 90 %, frontend 50 %</w:t>
      </w:r>
    </w:p>
    <w:p>
      <w:pPr>
        <w:spacing w:before="0" w:after="160"/>
      </w:pPr>
      <w:r>
        <w:rPr>
          <w:rFonts w:ascii="Calibri" w:hAnsi="Calibri"/>
          <w:b w:val="0"/>
          <w:i w:val="0"/>
          <w:sz w:val="28"/>
        </w:rPr>
        <w:t>Les 8 RPC fn_team_* (promote_to_administrador, promote_to_coordenador, promote_to_librarian, suspend_member, unsuspend_member, request_remove_member, cancel_remove_member, self_demote) couplées à la table d'audit library_membership_audit forment la couche de gouvernance des équipes locales. Le schéma user_library_memberships porte désormais 5 status (active, pending_removal, removed, inactive, plus la valeur historique) × 3 rôles (reader, librarian, coordenador). Le trigger trg_sync_profile_is_librarian_from_memberships synchronise automatiquement le drapeau is_librarian dans profiles, ce qui garantit la cohérence des contrôles d'accès en couche fine. En frontend, le TeamPanel et TeamActionsMenu existent, mais le parcours complet de demande de retrait avec carence et confirmation par un second coordenador n'est pas entièrement exposé.</w:t>
      </w:r>
    </w:p>
    <w:p>
      <w:pPr>
        <w:keepNext/>
        <w:spacing w:before="360" w:after="160"/>
      </w:pPr>
      <w:r>
        <w:rPr>
          <w:rFonts w:ascii="Calibri" w:hAnsi="Calibri"/>
          <w:b/>
          <w:color w:val="2E74B5"/>
          <w:sz w:val="36"/>
        </w:rPr>
        <w:t>4.8 Cotisations et engagement — palier nouveau, backend 85 %, frontend variable</w:t>
      </w:r>
    </w:p>
    <w:p>
      <w:pPr>
        <w:spacing w:before="0" w:after="160"/>
      </w:pPr>
      <w:r>
        <w:rPr>
          <w:rFonts w:ascii="Calibri" w:hAnsi="Calibri"/>
          <w:b w:val="0"/>
          <w:i w:val="0"/>
          <w:sz w:val="28"/>
        </w:rPr>
        <w:t>Trois tables (library_membership_rules pour les règles propres à chaque bibliothèque, membership_payments comme historique source, library_membership_audit pour les changements d'engagement) plus 4 RPC (fn_record_membership_payment, fn_compute_membership_validity, fn_list_membership_payments_for_user, fn_is_loan_blocked_by_dues). La vue v_active_memberships dérive l'état courant à partir de membership_payments — c'est la seule vue qui reste signalée ERROR par les advisors, et c'est techniquement justifié : elle agrège un historique financier qu'on ne peut pas exposer en INVOKER sans risque de fuite. Sa bascule demandera vraisemblablement la création d'une vue api wrapper en couche fine plutôt qu'une bascule directe. En frontend, l'item #33 du backlog (gestion cotisations) reste ouvert.</w:t>
      </w:r>
    </w:p>
    <w:p>
      <w:pPr>
        <w:keepNext/>
        <w:spacing w:before="360" w:after="160"/>
      </w:pPr>
      <w:r>
        <w:rPr>
          <w:rFonts w:ascii="Calibri" w:hAnsi="Calibri"/>
          <w:b/>
          <w:color w:val="2E74B5"/>
          <w:sz w:val="36"/>
        </w:rPr>
        <w:t>4.9 Archivage transactionnel — chantier de cohérence</w:t>
      </w:r>
    </w:p>
    <w:p>
      <w:pPr>
        <w:spacing w:before="0" w:after="160"/>
      </w:pPr>
      <w:r>
        <w:rPr>
          <w:rFonts w:ascii="Calibri" w:hAnsi="Calibri"/>
          <w:b w:val="0"/>
          <w:i w:val="0"/>
          <w:sz w:val="28"/>
        </w:rPr>
        <w:t>Les paquets D du 19 mai ont introduit le pattern d'archivage réversible : colonnes archived_at sur les tables de circulation, vues api.library_archived_transactions, vue api.painel_</w:t>
      </w:r>
      <w:r>
        <w:rPr>
          <w:rFonts w:ascii="Calibri" w:hAnsi="Calibri"/>
          <w:b w:val="0"/>
          <w:i/>
          <w:sz w:val="28"/>
        </w:rPr>
        <w:t>_history_v1, fonction fn_unarchive_transaction, table library_unarchive_log. Les anciennes tables _backup_library_request_</w:t>
      </w:r>
      <w:r>
        <w:rPr>
          <w:rFonts w:ascii="Calibri" w:hAnsi="Calibri"/>
          <w:b w:val="0"/>
          <w:i w:val="0"/>
          <w:sz w:val="28"/>
        </w:rPr>
        <w:t xml:space="preserve"> ont été renommées en _archived_library_request_* (paquet L.10 du 12 mai) avec commentaires SQL explicites mentionnant une période de rétention suggérée d'un an. Ce chantier matérialise une doctrine politique : aucune donnée n'est supprimée silencieusement ; tout retrait est tracé et réversible. C'est cohérent avec l'orientation anti-tracking d'AnarBib (le retrait des données est aussi un acte de gouvernance que la conservation).</w:t>
      </w:r>
    </w:p>
    <w:p>
      <w:pPr>
        <w:keepNext/>
        <w:spacing w:before="480" w:after="240"/>
      </w:pPr>
      <w:r>
        <w:rPr>
          <w:rFonts w:ascii="Calibri" w:hAnsi="Calibri"/>
          <w:b/>
          <w:color w:val="1F4E79"/>
          <w:sz w:val="44"/>
        </w:rPr>
        <w:t>5. La sécurité backend : dette élargie mais qualifiée</w:t>
      </w:r>
    </w:p>
    <w:p>
      <w:pPr>
        <w:spacing w:before="0" w:after="160"/>
      </w:pPr>
      <w:r>
        <w:rPr>
          <w:rFonts w:ascii="Calibri" w:hAnsi="Calibri"/>
          <w:b w:val="0"/>
          <w:i w:val="0"/>
          <w:sz w:val="28"/>
        </w:rPr>
        <w:t>La v13 décrivait la sécurité backend comme un chantier où la dette commençait à être qualifiée. La v14 actualise cette lecture : la dette s'est élargie en valeur absolue, mais elle s'est aussi disciplinée — chaque fonction WARN SECURITY DEFINER a une raison documentaire, le hook git pré-commit bloque les violations, et le chantier #150 du 18 mai a marqué une première opération de durcissement par lots. La question stratégique n'est plus « comment fermer la dette » mais « comment requalifier ce qui constitue de la dette par rapport au coût attendu d'une couche métier saine ».</w:t>
      </w:r>
    </w:p>
    <w:p>
      <w:pPr>
        <w:keepNext/>
        <w:spacing w:before="360" w:after="160"/>
      </w:pPr>
      <w:r>
        <w:rPr>
          <w:rFonts w:ascii="Calibri" w:hAnsi="Calibri"/>
          <w:b/>
          <w:color w:val="2E74B5"/>
          <w:sz w:val="36"/>
        </w:rPr>
        <w:t>5.1 Ce qui a été fait — fermetures effectives v13 → v14</w:t>
      </w:r>
    </w:p>
    <w:p>
      <w:pPr>
        <w:spacing w:before="0" w:after="160"/>
      </w:pPr>
      <w:r>
        <w:rPr>
          <w:rFonts w:ascii="Calibri" w:hAnsi="Calibri"/>
          <w:b w:val="0"/>
          <w:i w:val="0"/>
          <w:sz w:val="28"/>
        </w:rPr>
        <w:t>Plusieurs chantiers de sécurité de la v13 sont effectivement clos.</w:t>
      </w:r>
    </w:p>
    <w:tbl>
      <w:tblPr>
        <w:tblStyle w:val="TableGrid"/>
        <w:tblW w:type="auto" w:w="0"/>
        <w:tblLayout w:type="autofit"/>
        <w:tblLook w:firstColumn="1" w:firstRow="1" w:lastColumn="0" w:lastRow="0" w:noHBand="0" w:noVBand="1" w:val="04A0"/>
      </w:tblPr>
      <w:tblGrid>
        <w:gridCol w:w="4703"/>
        <w:gridCol w:w="4703"/>
      </w:tblGrid>
      <w:tr>
        <w:tc>
          <w:tcPr>
            <w:tcW w:type="dxa" w:w="4703"/>
            <w:vAlign w:val="top"/>
            <w:shd w:val="clear" w:color="auto" w:fill="D9E2F3"/>
          </w:tcPr>
          <w:p>
            <w:pPr>
              <w:spacing w:before="60" w:after="60"/>
            </w:pPr>
            <w:r/>
            <w:r>
              <w:rPr>
                <w:rFonts w:ascii="Calibri" w:hAnsi="Calibri"/>
                <w:b/>
                <w:i w:val="0"/>
                <w:sz w:val="24"/>
              </w:rPr>
              <w:t>Chantier v13</w:t>
            </w:r>
          </w:p>
        </w:tc>
        <w:tc>
          <w:tcPr>
            <w:tcW w:type="dxa" w:w="4703"/>
            <w:vAlign w:val="top"/>
            <w:shd w:val="clear" w:color="auto" w:fill="D9E2F3"/>
          </w:tcPr>
          <w:p>
            <w:pPr>
              <w:spacing w:before="60" w:after="60"/>
            </w:pPr>
            <w:r/>
            <w:r>
              <w:rPr>
                <w:rFonts w:ascii="Calibri" w:hAnsi="Calibri"/>
                <w:b/>
                <w:i w:val="0"/>
                <w:sz w:val="24"/>
              </w:rPr>
              <w:t>Statut v14</w:t>
            </w:r>
          </w:p>
        </w:tc>
      </w:tr>
      <w:tr>
        <w:tc>
          <w:tcPr>
            <w:tcW w:type="dxa" w:w="4703"/>
            <w:vAlign w:val="top"/>
          </w:tcPr>
          <w:p>
            <w:pPr>
              <w:spacing w:before="60" w:after="60"/>
            </w:pPr>
            <w:r/>
            <w:r>
              <w:rPr>
                <w:rFonts w:ascii="Calibri" w:hAnsi="Calibri"/>
                <w:b w:val="0"/>
                <w:i w:val="0"/>
                <w:sz w:val="24"/>
              </w:rPr>
              <w:t>4 vues SECURITY DEFINER critiques (ERROR)</w:t>
            </w:r>
          </w:p>
        </w:tc>
        <w:tc>
          <w:tcPr>
            <w:tcW w:type="dxa" w:w="4703"/>
            <w:vAlign w:val="top"/>
          </w:tcPr>
          <w:p>
            <w:pPr>
              <w:spacing w:before="60" w:after="60"/>
            </w:pPr>
            <w:r/>
            <w:r>
              <w:rPr>
                <w:rFonts w:ascii="Calibri" w:hAnsi="Calibri"/>
                <w:b w:val="0"/>
                <w:i w:val="0"/>
                <w:sz w:val="24"/>
              </w:rPr>
              <w:t>5 des 6 vues critiques basculées en INVOKER (api.catalog_list_anon_v1, api.catalog_list_session_v1, api.books_count_v1, v_libraries_for_signup, api.catalog_book_detail_public_v2, api.catalog_books_public_v2 toutes en true). Reste public.v_active_memberships seule en ERROR.</w:t>
            </w:r>
          </w:p>
        </w:tc>
      </w:tr>
      <w:tr>
        <w:tc>
          <w:tcPr>
            <w:tcW w:type="dxa" w:w="4703"/>
            <w:vAlign w:val="top"/>
          </w:tcPr>
          <w:p>
            <w:pPr>
              <w:spacing w:before="60" w:after="60"/>
            </w:pPr>
            <w:r/>
            <w:r>
              <w:rPr>
                <w:rFonts w:ascii="Calibri" w:hAnsi="Calibri"/>
                <w:b w:val="0"/>
                <w:i w:val="0"/>
                <w:sz w:val="24"/>
              </w:rPr>
              <w:t>31 tables RLS sans policy à nettoyer</w:t>
            </w:r>
          </w:p>
        </w:tc>
        <w:tc>
          <w:tcPr>
            <w:tcW w:type="dxa" w:w="4703"/>
            <w:vAlign w:val="top"/>
          </w:tcPr>
          <w:p>
            <w:pPr>
              <w:spacing w:before="60" w:after="60"/>
            </w:pPr>
            <w:r/>
            <w:r>
              <w:rPr>
                <w:rFonts w:ascii="Calibri" w:hAnsi="Calibri"/>
                <w:b w:val="0"/>
                <w:i w:val="0"/>
                <w:sz w:val="24"/>
              </w:rPr>
              <w:t>Réduction visible : les tables _backup_</w:t>
            </w:r>
            <w:r>
              <w:rPr>
                <w:rFonts w:ascii="Calibri" w:hAnsi="Calibri"/>
                <w:b w:val="0"/>
                <w:i/>
                <w:sz w:val="24"/>
              </w:rPr>
              <w:t xml:space="preserve"> renommées en _archived_</w:t>
            </w:r>
            <w:r>
              <w:rPr>
                <w:rFonts w:ascii="Calibri" w:hAnsi="Calibri"/>
                <w:b w:val="0"/>
                <w:i w:val="0"/>
                <w:sz w:val="24"/>
              </w:rPr>
              <w:t xml:space="preserve"> avec commentaires explicites de rétention ; les 7 tables ingest restent sans policy comme attendu (lecture service_role uniquement) ; les 8 tables catalog_ref_* portent désormais une policy public_read uniforme ; quelques tables d'événements (interlibrary_loan_events, interlibrary_loan_notification_events, library_email_identity) restent sans policy par décision documentaire.</w:t>
            </w:r>
          </w:p>
        </w:tc>
      </w:tr>
      <w:tr>
        <w:tc>
          <w:tcPr>
            <w:tcW w:type="dxa" w:w="4703"/>
            <w:vAlign w:val="top"/>
          </w:tcPr>
          <w:p>
            <w:pPr>
              <w:spacing w:before="60" w:after="60"/>
            </w:pPr>
            <w:r/>
            <w:r>
              <w:rPr>
                <w:rFonts w:ascii="Calibri" w:hAnsi="Calibri"/>
                <w:b w:val="0"/>
                <w:i w:val="0"/>
                <w:sz w:val="24"/>
              </w:rPr>
              <w:t>Cascade des paliers (palier 2 à 12)</w:t>
            </w:r>
          </w:p>
        </w:tc>
        <w:tc>
          <w:tcPr>
            <w:tcW w:type="dxa" w:w="4703"/>
            <w:vAlign w:val="top"/>
          </w:tcPr>
          <w:p>
            <w:pPr>
              <w:spacing w:before="60" w:after="60"/>
            </w:pPr>
            <w:r/>
            <w:r>
              <w:rPr>
                <w:rFonts w:ascii="Calibri" w:hAnsi="Calibri"/>
                <w:b w:val="0"/>
                <w:i w:val="0"/>
                <w:sz w:val="24"/>
              </w:rPr>
              <w:t>Visible dans les commentaires SQL des tables : « Anon SELECT révoqué le 2026-04-26 (palier 2/3/4/5a/5c) ». Discipline maintenue ; aucune table ne réintroduit silencieusement un grant anon.</w:t>
            </w:r>
          </w:p>
        </w:tc>
      </w:tr>
      <w:tr>
        <w:tc>
          <w:tcPr>
            <w:tcW w:type="dxa" w:w="4703"/>
            <w:vAlign w:val="top"/>
          </w:tcPr>
          <w:p>
            <w:pPr>
              <w:spacing w:before="60" w:after="60"/>
            </w:pPr>
            <w:r/>
            <w:r>
              <w:rPr>
                <w:rFonts w:ascii="Calibri" w:hAnsi="Calibri"/>
                <w:b w:val="0"/>
                <w:i w:val="0"/>
                <w:sz w:val="24"/>
              </w:rPr>
              <w:t>Doctrine création objets backend v1</w:t>
            </w:r>
          </w:p>
        </w:tc>
        <w:tc>
          <w:tcPr>
            <w:tcW w:type="dxa" w:w="4703"/>
            <w:vAlign w:val="top"/>
          </w:tcPr>
          <w:p>
            <w:pPr>
              <w:spacing w:before="60" w:after="60"/>
            </w:pPr>
            <w:r/>
            <w:r>
              <w:rPr>
                <w:rFonts w:ascii="Calibri" w:hAnsi="Calibri"/>
                <w:b w:val="0"/>
                <w:i w:val="0"/>
                <w:sz w:val="24"/>
              </w:rPr>
              <w:t>v2 livrée le 18/05/2026 (CHANTIER_doctrine_creation_objets_securises_v2_2026-05-18.md). REVOKE étendu obligatoire (FROM PUBLIC, anon, authenticated, service_role) pour fonctions privées. Hook git pré-commit bloque les violations.</w:t>
            </w:r>
          </w:p>
        </w:tc>
      </w:tr>
      <w:tr>
        <w:tc>
          <w:tcPr>
            <w:tcW w:type="dxa" w:w="4703"/>
            <w:vAlign w:val="top"/>
          </w:tcPr>
          <w:p>
            <w:pPr>
              <w:spacing w:before="60" w:after="60"/>
            </w:pPr>
            <w:r/>
            <w:r>
              <w:rPr>
                <w:rFonts w:ascii="Calibri" w:hAnsi="Calibri"/>
                <w:b w:val="0"/>
                <w:i w:val="0"/>
                <w:sz w:val="24"/>
              </w:rPr>
              <w:t>Chantier #150 (audit fonctions privées)</w:t>
            </w:r>
          </w:p>
        </w:tc>
        <w:tc>
          <w:tcPr>
            <w:tcW w:type="dxa" w:w="4703"/>
            <w:vAlign w:val="top"/>
          </w:tcPr>
          <w:p>
            <w:pPr>
              <w:spacing w:before="60" w:after="60"/>
            </w:pPr>
            <w:r/>
            <w:r>
              <w:rPr>
                <w:rFonts w:ascii="Calibri" w:hAnsi="Calibri"/>
                <w:b w:val="0"/>
                <w:i w:val="0"/>
                <w:sz w:val="24"/>
              </w:rPr>
              <w:t>Bouclé le 18/05/2026. 28 fonctions Cat 3 isolées en REVOKE étendu + 1 trigger patché SECURITY DEFINER. 3 sous-paquets en prod (triggers immut/lifecycle, helpers notifs/cron, helpers catalogage).</w:t>
            </w:r>
          </w:p>
        </w:tc>
      </w:tr>
    </w:tbl>
    <w:p>
      <w:pPr>
        <w:spacing w:after="160"/>
      </w:pPr>
    </w:p>
    <w:p>
      <w:pPr>
        <w:keepNext/>
        <w:spacing w:before="360" w:after="160"/>
      </w:pPr>
      <w:r>
        <w:rPr>
          <w:rFonts w:ascii="Calibri" w:hAnsi="Calibri"/>
          <w:b/>
          <w:color w:val="2E74B5"/>
          <w:sz w:val="36"/>
        </w:rPr>
        <w:t>5.2 Ce qui reste — la dette désormais lue par familles</w:t>
      </w:r>
    </w:p>
    <w:p>
      <w:pPr>
        <w:spacing w:before="0" w:after="160"/>
      </w:pPr>
      <w:r>
        <w:rPr>
          <w:rFonts w:ascii="Calibri" w:hAnsi="Calibri"/>
          <w:b w:val="0"/>
          <w:i w:val="0"/>
          <w:sz w:val="28"/>
        </w:rPr>
        <w:t>La v13 listait 4 ERROR + 144 WARN dont 126 authenticated_security_definer + 14 anon. La v14 mesure : 1 ERROR + une centaine de WARN dont environ 225 authenticated_security_definer + 24 anon. La croissance est mécanique, liée à la livraison de trois couches métier nouvelles. Le triage par famille permet de planifier.</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vAlign w:val="top"/>
            <w:shd w:val="clear" w:color="auto" w:fill="D9E2F3"/>
          </w:tcPr>
          <w:p>
            <w:pPr>
              <w:spacing w:before="60" w:after="60"/>
            </w:pPr>
            <w:r/>
            <w:r>
              <w:rPr>
                <w:rFonts w:ascii="Calibri" w:hAnsi="Calibri"/>
                <w:b/>
                <w:i w:val="0"/>
                <w:sz w:val="24"/>
              </w:rPr>
              <w:t>Catégorie</w:t>
            </w:r>
          </w:p>
        </w:tc>
        <w:tc>
          <w:tcPr>
            <w:tcW w:type="dxa" w:w="2351"/>
            <w:vAlign w:val="top"/>
            <w:shd w:val="clear" w:color="auto" w:fill="D9E2F3"/>
          </w:tcPr>
          <w:p>
            <w:pPr>
              <w:spacing w:before="60" w:after="60"/>
            </w:pPr>
            <w:r/>
            <w:r>
              <w:rPr>
                <w:rFonts w:ascii="Calibri" w:hAnsi="Calibri"/>
                <w:b/>
                <w:i w:val="0"/>
                <w:sz w:val="24"/>
              </w:rPr>
              <w:t>Niveau</w:t>
            </w:r>
          </w:p>
        </w:tc>
        <w:tc>
          <w:tcPr>
            <w:tcW w:type="dxa" w:w="2351"/>
            <w:vAlign w:val="top"/>
            <w:shd w:val="clear" w:color="auto" w:fill="D9E2F3"/>
          </w:tcPr>
          <w:p>
            <w:pPr>
              <w:spacing w:before="60" w:after="60"/>
            </w:pPr>
            <w:r/>
            <w:r>
              <w:rPr>
                <w:rFonts w:ascii="Calibri" w:hAnsi="Calibri"/>
                <w:b/>
                <w:i w:val="0"/>
                <w:sz w:val="24"/>
              </w:rPr>
              <w:t>Compte v14</w:t>
            </w:r>
          </w:p>
        </w:tc>
        <w:tc>
          <w:tcPr>
            <w:tcW w:type="dxa" w:w="2351"/>
            <w:vAlign w:val="top"/>
            <w:shd w:val="clear" w:color="auto" w:fill="D9E2F3"/>
          </w:tcPr>
          <w:p>
            <w:pPr>
              <w:spacing w:before="60" w:after="60"/>
            </w:pPr>
            <w:r/>
            <w:r>
              <w:rPr>
                <w:rFonts w:ascii="Calibri" w:hAnsi="Calibri"/>
                <w:b/>
                <w:i w:val="0"/>
                <w:sz w:val="24"/>
              </w:rPr>
              <w:t>Stratégie de traitement</w:t>
            </w:r>
          </w:p>
        </w:tc>
      </w:tr>
      <w:tr>
        <w:tc>
          <w:tcPr>
            <w:tcW w:type="dxa" w:w="2351"/>
            <w:vAlign w:val="top"/>
          </w:tcPr>
          <w:p>
            <w:pPr>
              <w:spacing w:before="60" w:after="60"/>
            </w:pPr>
            <w:r/>
            <w:r>
              <w:rPr>
                <w:rFonts w:ascii="Calibri" w:hAnsi="Calibri"/>
                <w:b w:val="0"/>
                <w:i w:val="0"/>
                <w:sz w:val="24"/>
              </w:rPr>
              <w:t>Vue SECURITY DEFINER critique restante</w:t>
            </w:r>
          </w:p>
        </w:tc>
        <w:tc>
          <w:tcPr>
            <w:tcW w:type="dxa" w:w="2351"/>
            <w:vAlign w:val="top"/>
          </w:tcPr>
          <w:p>
            <w:pPr>
              <w:spacing w:before="60" w:after="60"/>
            </w:pPr>
            <w:r/>
            <w:r>
              <w:rPr>
                <w:rFonts w:ascii="Calibri" w:hAnsi="Calibri"/>
                <w:b w:val="0"/>
                <w:i w:val="0"/>
                <w:sz w:val="24"/>
              </w:rPr>
              <w:t>ERROR</w:t>
            </w:r>
          </w:p>
        </w:tc>
        <w:tc>
          <w:tcPr>
            <w:tcW w:type="dxa" w:w="2351"/>
            <w:vAlign w:val="top"/>
          </w:tcPr>
          <w:p>
            <w:pPr>
              <w:spacing w:before="60" w:after="60"/>
            </w:pPr>
            <w:r/>
            <w:r>
              <w:rPr>
                <w:rFonts w:ascii="Calibri" w:hAnsi="Calibri"/>
                <w:b w:val="0"/>
                <w:i w:val="0"/>
                <w:sz w:val="24"/>
              </w:rPr>
              <w:t>1</w:t>
            </w:r>
          </w:p>
        </w:tc>
        <w:tc>
          <w:tcPr>
            <w:tcW w:type="dxa" w:w="2351"/>
            <w:vAlign w:val="top"/>
          </w:tcPr>
          <w:p>
            <w:pPr>
              <w:spacing w:before="60" w:after="60"/>
            </w:pPr>
            <w:r/>
            <w:r>
              <w:rPr>
                <w:rFonts w:ascii="Calibri" w:hAnsi="Calibri"/>
                <w:b w:val="0"/>
                <w:i w:val="0"/>
                <w:sz w:val="24"/>
              </w:rPr>
              <w:t>Wrapper api.v_active_memberships en INVOKER, ou abandon de la vue au profit d'une RPC SECURITY DEFINER api.fn_get_my_active_membership avec contrôle d'identité</w:t>
            </w:r>
          </w:p>
        </w:tc>
      </w:tr>
      <w:tr>
        <w:tc>
          <w:tcPr>
            <w:tcW w:type="dxa" w:w="2351"/>
            <w:vAlign w:val="top"/>
          </w:tcPr>
          <w:p>
            <w:pPr>
              <w:spacing w:before="60" w:after="60"/>
            </w:pPr>
            <w:r/>
            <w:r>
              <w:rPr>
                <w:rFonts w:ascii="Calibri" w:hAnsi="Calibri"/>
                <w:b w:val="0"/>
                <w:i w:val="0"/>
                <w:sz w:val="24"/>
              </w:rPr>
              <w:t>Vues SECURITY DEFINER en api (1)</w:t>
            </w:r>
          </w:p>
        </w:tc>
        <w:tc>
          <w:tcPr>
            <w:tcW w:type="dxa" w:w="2351"/>
            <w:vAlign w:val="top"/>
          </w:tcPr>
          <w:p>
            <w:pPr>
              <w:spacing w:before="60" w:after="60"/>
            </w:pPr>
            <w:r/>
            <w:r>
              <w:rPr>
                <w:rFonts w:ascii="Calibri" w:hAnsi="Calibri"/>
                <w:b w:val="0"/>
                <w:i w:val="0"/>
                <w:sz w:val="24"/>
              </w:rPr>
              <w:t>WARN</w:t>
            </w:r>
          </w:p>
        </w:tc>
        <w:tc>
          <w:tcPr>
            <w:tcW w:type="dxa" w:w="2351"/>
            <w:vAlign w:val="top"/>
          </w:tcPr>
          <w:p>
            <w:pPr>
              <w:spacing w:before="60" w:after="60"/>
            </w:pPr>
            <w:r/>
            <w:r>
              <w:rPr>
                <w:rFonts w:ascii="Calibri" w:hAnsi="Calibri"/>
                <w:b w:val="0"/>
                <w:i w:val="0"/>
                <w:sz w:val="24"/>
              </w:rPr>
              <w:t>1 (api.library_email_identity)</w:t>
            </w:r>
          </w:p>
        </w:tc>
        <w:tc>
          <w:tcPr>
            <w:tcW w:type="dxa" w:w="2351"/>
            <w:vAlign w:val="top"/>
          </w:tcPr>
          <w:p>
            <w:pPr>
              <w:spacing w:before="60" w:after="60"/>
            </w:pPr>
            <w:r/>
            <w:r>
              <w:rPr>
                <w:rFonts w:ascii="Calibri" w:hAnsi="Calibri"/>
                <w:b w:val="0"/>
                <w:i w:val="0"/>
                <w:sz w:val="24"/>
              </w:rPr>
              <w:t>Bascule directe en INVOKER</w:t>
            </w:r>
          </w:p>
        </w:tc>
      </w:tr>
      <w:tr>
        <w:tc>
          <w:tcPr>
            <w:tcW w:type="dxa" w:w="2351"/>
            <w:vAlign w:val="top"/>
          </w:tcPr>
          <w:p>
            <w:pPr>
              <w:spacing w:before="60" w:after="60"/>
            </w:pPr>
            <w:r/>
            <w:r>
              <w:rPr>
                <w:rFonts w:ascii="Calibri" w:hAnsi="Calibri"/>
                <w:b w:val="0"/>
                <w:i w:val="0"/>
                <w:sz w:val="24"/>
              </w:rPr>
              <w:t>Vues v_author_alias_</w:t>
            </w:r>
            <w:r>
              <w:rPr>
                <w:rFonts w:ascii="Calibri" w:hAnsi="Calibri"/>
                <w:b w:val="0"/>
                <w:i/>
                <w:sz w:val="24"/>
              </w:rPr>
              <w:t xml:space="preserve"> et v_terra_livre_</w:t>
            </w:r>
          </w:p>
        </w:tc>
        <w:tc>
          <w:tcPr>
            <w:tcW w:type="dxa" w:w="2351"/>
            <w:vAlign w:val="top"/>
          </w:tcPr>
          <w:p>
            <w:pPr>
              <w:spacing w:before="60" w:after="60"/>
            </w:pPr>
            <w:r/>
            <w:r>
              <w:rPr>
                <w:rFonts w:ascii="Calibri" w:hAnsi="Calibri"/>
                <w:b w:val="0"/>
                <w:i w:val="0"/>
                <w:sz w:val="24"/>
              </w:rPr>
              <w:t>non signalé ERROR</w:t>
            </w:r>
          </w:p>
        </w:tc>
        <w:tc>
          <w:tcPr>
            <w:tcW w:type="dxa" w:w="2351"/>
            <w:vAlign w:val="top"/>
          </w:tcPr>
          <w:p>
            <w:pPr>
              <w:spacing w:before="60" w:after="60"/>
            </w:pPr>
            <w:r/>
            <w:r>
              <w:rPr>
                <w:rFonts w:ascii="Calibri" w:hAnsi="Calibri"/>
                <w:b w:val="0"/>
                <w:i w:val="0"/>
                <w:sz w:val="24"/>
              </w:rPr>
              <w:t>5</w:t>
            </w:r>
          </w:p>
        </w:tc>
        <w:tc>
          <w:tcPr>
            <w:tcW w:type="dxa" w:w="2351"/>
            <w:vAlign w:val="top"/>
          </w:tcPr>
          <w:p>
            <w:pPr>
              <w:spacing w:before="60" w:after="60"/>
            </w:pPr>
            <w:r/>
            <w:r>
              <w:rPr>
                <w:rFonts w:ascii="Calibri" w:hAnsi="Calibri"/>
                <w:b w:val="0"/>
                <w:i w:val="0"/>
                <w:sz w:val="24"/>
              </w:rPr>
              <w:t>Clarification doctrinale : confirmer qu'elles sont accédées via service_role uniquement et documenter le statut, ou ajouter security_invoker explicitement</w:t>
            </w:r>
          </w:p>
        </w:tc>
      </w:tr>
      <w:tr>
        <w:tc>
          <w:tcPr>
            <w:tcW w:type="dxa" w:w="2351"/>
            <w:vAlign w:val="top"/>
          </w:tcPr>
          <w:p>
            <w:pPr>
              <w:spacing w:before="60" w:after="60"/>
            </w:pPr>
            <w:r/>
            <w:r>
              <w:rPr>
                <w:rFonts w:ascii="Calibri" w:hAnsi="Calibri"/>
                <w:b w:val="0"/>
                <w:i w:val="0"/>
                <w:sz w:val="24"/>
              </w:rPr>
              <w:t>Vues matérialisées exposées (mv_books_catalog_list_v1 + _network_v1)</w:t>
            </w:r>
          </w:p>
        </w:tc>
        <w:tc>
          <w:tcPr>
            <w:tcW w:type="dxa" w:w="2351"/>
            <w:vAlign w:val="top"/>
          </w:tcPr>
          <w:p>
            <w:pPr>
              <w:spacing w:before="60" w:after="60"/>
            </w:pPr>
            <w:r/>
            <w:r>
              <w:rPr>
                <w:rFonts w:ascii="Calibri" w:hAnsi="Calibri"/>
                <w:b w:val="0"/>
                <w:i w:val="0"/>
                <w:sz w:val="24"/>
              </w:rPr>
              <w:t>WARN</w:t>
            </w:r>
          </w:p>
        </w:tc>
        <w:tc>
          <w:tcPr>
            <w:tcW w:type="dxa" w:w="2351"/>
            <w:vAlign w:val="top"/>
          </w:tcPr>
          <w:p>
            <w:pPr>
              <w:spacing w:before="60" w:after="60"/>
            </w:pPr>
            <w:r/>
            <w:r>
              <w:rPr>
                <w:rFonts w:ascii="Calibri" w:hAnsi="Calibri"/>
                <w:b w:val="0"/>
                <w:i w:val="0"/>
                <w:sz w:val="24"/>
              </w:rPr>
              <w:t>2</w:t>
            </w:r>
          </w:p>
        </w:tc>
        <w:tc>
          <w:tcPr>
            <w:tcW w:type="dxa" w:w="2351"/>
            <w:vAlign w:val="top"/>
          </w:tcPr>
          <w:p>
            <w:pPr>
              <w:spacing w:before="60" w:after="60"/>
            </w:pPr>
            <w:r/>
            <w:r>
              <w:rPr>
                <w:rFonts w:ascii="Calibri" w:hAnsi="Calibri"/>
                <w:b w:val="0"/>
                <w:i w:val="0"/>
                <w:sz w:val="24"/>
              </w:rPr>
              <w:t>Restreindre via wrapper api en SECURITY INVOKER ou retirer le SELECT anon</w:t>
            </w:r>
          </w:p>
        </w:tc>
      </w:tr>
      <w:tr>
        <w:tc>
          <w:tcPr>
            <w:tcW w:type="dxa" w:w="2351"/>
            <w:vAlign w:val="top"/>
          </w:tcPr>
          <w:p>
            <w:pPr>
              <w:spacing w:before="60" w:after="60"/>
            </w:pPr>
            <w:r/>
            <w:r>
              <w:rPr>
                <w:rFonts w:ascii="Calibri" w:hAnsi="Calibri"/>
                <w:b w:val="0"/>
                <w:i w:val="0"/>
                <w:sz w:val="24"/>
              </w:rPr>
              <w:t>Famille fn_v2_* (circulation)</w:t>
            </w:r>
          </w:p>
        </w:tc>
        <w:tc>
          <w:tcPr>
            <w:tcW w:type="dxa" w:w="2351"/>
            <w:vAlign w:val="top"/>
          </w:tcPr>
          <w:p>
            <w:pPr>
              <w:spacing w:before="60" w:after="60"/>
            </w:pPr>
            <w:r/>
            <w:r>
              <w:rPr>
                <w:rFonts w:ascii="Calibri" w:hAnsi="Calibri"/>
                <w:b w:val="0"/>
                <w:i w:val="0"/>
                <w:sz w:val="24"/>
              </w:rPr>
              <w:t>WARN authenticated</w:t>
            </w:r>
          </w:p>
        </w:tc>
        <w:tc>
          <w:tcPr>
            <w:tcW w:type="dxa" w:w="2351"/>
            <w:vAlign w:val="top"/>
          </w:tcPr>
          <w:p>
            <w:pPr>
              <w:spacing w:before="60" w:after="60"/>
            </w:pPr>
            <w:r/>
            <w:r>
              <w:rPr>
                <w:rFonts w:ascii="Calibri" w:hAnsi="Calibri"/>
                <w:b w:val="0"/>
                <w:i w:val="0"/>
                <w:sz w:val="24"/>
              </w:rPr>
              <w:t>≈42</w:t>
            </w:r>
          </w:p>
        </w:tc>
        <w:tc>
          <w:tcPr>
            <w:tcW w:type="dxa" w:w="2351"/>
            <w:vAlign w:val="top"/>
          </w:tcPr>
          <w:p>
            <w:pPr>
              <w:spacing w:before="60" w:after="60"/>
            </w:pPr>
            <w:r/>
            <w:r>
              <w:rPr>
                <w:rFonts w:ascii="Calibri" w:hAnsi="Calibri"/>
                <w:b w:val="0"/>
                <w:i w:val="0"/>
                <w:sz w:val="24"/>
              </w:rPr>
              <w:t>Conserver SECURITY DEFINER (justifié, modifient des tables fermées) mais valider que les vérifications de rôle en début de fonction sont systématiques — revue par lots de 5 à 10 fonctions</w:t>
            </w:r>
          </w:p>
        </w:tc>
      </w:tr>
      <w:tr>
        <w:tc>
          <w:tcPr>
            <w:tcW w:type="dxa" w:w="2351"/>
            <w:vAlign w:val="top"/>
          </w:tcPr>
          <w:p>
            <w:pPr>
              <w:spacing w:before="60" w:after="60"/>
            </w:pPr>
            <w:r/>
            <w:r>
              <w:rPr>
                <w:rFonts w:ascii="Calibri" w:hAnsi="Calibri"/>
                <w:b w:val="0"/>
                <w:i w:val="0"/>
                <w:sz w:val="24"/>
              </w:rPr>
              <w:t>Famille upsert_library_* (gouvernance bibliothèque)</w:t>
            </w:r>
          </w:p>
        </w:tc>
        <w:tc>
          <w:tcPr>
            <w:tcW w:type="dxa" w:w="2351"/>
            <w:vAlign w:val="top"/>
          </w:tcPr>
          <w:p>
            <w:pPr>
              <w:spacing w:before="60" w:after="60"/>
            </w:pPr>
            <w:r/>
            <w:r>
              <w:rPr>
                <w:rFonts w:ascii="Calibri" w:hAnsi="Calibri"/>
                <w:b w:val="0"/>
                <w:i w:val="0"/>
                <w:sz w:val="24"/>
              </w:rPr>
              <w:t>WARN authenticated</w:t>
            </w:r>
          </w:p>
        </w:tc>
        <w:tc>
          <w:tcPr>
            <w:tcW w:type="dxa" w:w="2351"/>
            <w:vAlign w:val="top"/>
          </w:tcPr>
          <w:p>
            <w:pPr>
              <w:spacing w:before="60" w:after="60"/>
            </w:pPr>
            <w:r/>
            <w:r>
              <w:rPr>
                <w:rFonts w:ascii="Calibri" w:hAnsi="Calibri"/>
                <w:b w:val="0"/>
                <w:i w:val="0"/>
                <w:sz w:val="24"/>
              </w:rPr>
              <w:t>8</w:t>
            </w:r>
          </w:p>
        </w:tc>
        <w:tc>
          <w:tcPr>
            <w:tcW w:type="dxa" w:w="2351"/>
            <w:vAlign w:val="top"/>
          </w:tcPr>
          <w:p>
            <w:pPr>
              <w:spacing w:before="60" w:after="60"/>
            </w:pPr>
            <w:r/>
            <w:r>
              <w:rPr>
                <w:rFonts w:ascii="Calibri" w:hAnsi="Calibri"/>
                <w:b w:val="0"/>
                <w:i w:val="0"/>
                <w:sz w:val="24"/>
              </w:rPr>
              <w:t>Conserver SECURITY DEFINER, valider les vérifications can_manage_library_*</w:t>
            </w:r>
          </w:p>
        </w:tc>
      </w:tr>
      <w:tr>
        <w:tc>
          <w:tcPr>
            <w:tcW w:type="dxa" w:w="2351"/>
            <w:vAlign w:val="top"/>
          </w:tcPr>
          <w:p>
            <w:pPr>
              <w:spacing w:before="60" w:after="60"/>
            </w:pPr>
            <w:r/>
            <w:r>
              <w:rPr>
                <w:rFonts w:ascii="Calibri" w:hAnsi="Calibri"/>
                <w:b w:val="0"/>
                <w:i w:val="0"/>
                <w:sz w:val="24"/>
              </w:rPr>
              <w:t>Famille fn_team_* (gouvernance staff)</w:t>
            </w:r>
          </w:p>
        </w:tc>
        <w:tc>
          <w:tcPr>
            <w:tcW w:type="dxa" w:w="2351"/>
            <w:vAlign w:val="top"/>
          </w:tcPr>
          <w:p>
            <w:pPr>
              <w:spacing w:before="60" w:after="60"/>
            </w:pPr>
            <w:r/>
            <w:r>
              <w:rPr>
                <w:rFonts w:ascii="Calibri" w:hAnsi="Calibri"/>
                <w:b w:val="0"/>
                <w:i w:val="0"/>
                <w:sz w:val="24"/>
              </w:rPr>
              <w:t>WARN authenticated</w:t>
            </w:r>
          </w:p>
        </w:tc>
        <w:tc>
          <w:tcPr>
            <w:tcW w:type="dxa" w:w="2351"/>
            <w:vAlign w:val="top"/>
          </w:tcPr>
          <w:p>
            <w:pPr>
              <w:spacing w:before="60" w:after="60"/>
            </w:pPr>
            <w:r/>
            <w:r>
              <w:rPr>
                <w:rFonts w:ascii="Calibri" w:hAnsi="Calibri"/>
                <w:b w:val="0"/>
                <w:i w:val="0"/>
                <w:sz w:val="24"/>
              </w:rPr>
              <w:t>9</w:t>
            </w:r>
          </w:p>
        </w:tc>
        <w:tc>
          <w:tcPr>
            <w:tcW w:type="dxa" w:w="2351"/>
            <w:vAlign w:val="top"/>
          </w:tcPr>
          <w:p>
            <w:pPr>
              <w:spacing w:before="60" w:after="60"/>
            </w:pPr>
            <w:r/>
            <w:r>
              <w:rPr>
                <w:rFonts w:ascii="Calibri" w:hAnsi="Calibri"/>
                <w:b w:val="0"/>
                <w:i w:val="0"/>
                <w:sz w:val="24"/>
              </w:rPr>
              <w:t>Conserver SECURITY DEFINER (modifient user_library_memberships et library_membership_audit), vérifier la cohérence avec les triggers de synchronisation profile.is_librarian</w:t>
            </w:r>
          </w:p>
        </w:tc>
      </w:tr>
      <w:tr>
        <w:tc>
          <w:tcPr>
            <w:tcW w:type="dxa" w:w="2351"/>
            <w:vAlign w:val="top"/>
          </w:tcPr>
          <w:p>
            <w:pPr>
              <w:spacing w:before="60" w:after="60"/>
            </w:pPr>
            <w:r/>
            <w:r>
              <w:rPr>
                <w:rFonts w:ascii="Calibri" w:hAnsi="Calibri"/>
                <w:b w:val="0"/>
                <w:i w:val="0"/>
                <w:sz w:val="24"/>
              </w:rPr>
              <w:t>Famille fn_network_admin_* (admin réseau)</w:t>
            </w:r>
          </w:p>
        </w:tc>
        <w:tc>
          <w:tcPr>
            <w:tcW w:type="dxa" w:w="2351"/>
            <w:vAlign w:val="top"/>
          </w:tcPr>
          <w:p>
            <w:pPr>
              <w:spacing w:before="60" w:after="60"/>
            </w:pPr>
            <w:r/>
            <w:r>
              <w:rPr>
                <w:rFonts w:ascii="Calibri" w:hAnsi="Calibri"/>
                <w:b w:val="0"/>
                <w:i w:val="0"/>
                <w:sz w:val="24"/>
              </w:rPr>
              <w:t>WARN authenticated</w:t>
            </w:r>
          </w:p>
        </w:tc>
        <w:tc>
          <w:tcPr>
            <w:tcW w:type="dxa" w:w="2351"/>
            <w:vAlign w:val="top"/>
          </w:tcPr>
          <w:p>
            <w:pPr>
              <w:spacing w:before="60" w:after="60"/>
            </w:pPr>
            <w:r/>
            <w:r>
              <w:rPr>
                <w:rFonts w:ascii="Calibri" w:hAnsi="Calibri"/>
                <w:b w:val="0"/>
                <w:i w:val="0"/>
                <w:sz w:val="24"/>
              </w:rPr>
              <w:t>9</w:t>
            </w:r>
          </w:p>
        </w:tc>
        <w:tc>
          <w:tcPr>
            <w:tcW w:type="dxa" w:w="2351"/>
            <w:vAlign w:val="top"/>
          </w:tcPr>
          <w:p>
            <w:pPr>
              <w:spacing w:before="60" w:after="60"/>
            </w:pPr>
            <w:r/>
            <w:r>
              <w:rPr>
                <w:rFonts w:ascii="Calibri" w:hAnsi="Calibri"/>
                <w:b w:val="0"/>
                <w:i w:val="0"/>
                <w:sz w:val="24"/>
              </w:rPr>
              <w:t>Conserver SECURITY DEFINER, valider les vérifications fn_caller_is_network_admin</w:t>
            </w:r>
          </w:p>
        </w:tc>
      </w:tr>
      <w:tr>
        <w:tc>
          <w:tcPr>
            <w:tcW w:type="dxa" w:w="2351"/>
            <w:vAlign w:val="top"/>
          </w:tcPr>
          <w:p>
            <w:pPr>
              <w:spacing w:before="60" w:after="60"/>
            </w:pPr>
            <w:r/>
            <w:r>
              <w:rPr>
                <w:rFonts w:ascii="Calibri" w:hAnsi="Calibri"/>
                <w:b w:val="0"/>
                <w:i w:val="0"/>
                <w:sz w:val="24"/>
              </w:rPr>
              <w:t>Famille fn_library_*_mode (helpers de mode)</w:t>
            </w:r>
          </w:p>
        </w:tc>
        <w:tc>
          <w:tcPr>
            <w:tcW w:type="dxa" w:w="2351"/>
            <w:vAlign w:val="top"/>
          </w:tcPr>
          <w:p>
            <w:pPr>
              <w:spacing w:before="60" w:after="60"/>
            </w:pPr>
            <w:r/>
            <w:r>
              <w:rPr>
                <w:rFonts w:ascii="Calibri" w:hAnsi="Calibri"/>
                <w:b w:val="0"/>
                <w:i w:val="0"/>
                <w:sz w:val="24"/>
              </w:rPr>
              <w:t>WARN anon + authenticated</w:t>
            </w:r>
          </w:p>
        </w:tc>
        <w:tc>
          <w:tcPr>
            <w:tcW w:type="dxa" w:w="2351"/>
            <w:vAlign w:val="top"/>
          </w:tcPr>
          <w:p>
            <w:pPr>
              <w:spacing w:before="60" w:after="60"/>
            </w:pPr>
            <w:r/>
            <w:r>
              <w:rPr>
                <w:rFonts w:ascii="Calibri" w:hAnsi="Calibri"/>
                <w:b w:val="0"/>
                <w:i w:val="0"/>
                <w:sz w:val="24"/>
              </w:rPr>
              <w:t>4 × 2</w:t>
            </w:r>
          </w:p>
        </w:tc>
        <w:tc>
          <w:tcPr>
            <w:tcW w:type="dxa" w:w="2351"/>
            <w:vAlign w:val="top"/>
          </w:tcPr>
          <w:p>
            <w:pPr>
              <w:spacing w:before="60" w:after="60"/>
            </w:pPr>
            <w:r/>
            <w:r>
              <w:rPr>
                <w:rFonts w:ascii="Calibri" w:hAnsi="Calibri"/>
                <w:b w:val="0"/>
                <w:i w:val="0"/>
                <w:sz w:val="24"/>
              </w:rPr>
              <w:t>Conserver SECURITY DEFINER et exposition anon — décision politique explicite (visibilité publique du profil d'adoption). Documenter le statut « anon autorisé par décision politique »</w:t>
            </w:r>
          </w:p>
        </w:tc>
      </w:tr>
      <w:tr>
        <w:tc>
          <w:tcPr>
            <w:tcW w:type="dxa" w:w="2351"/>
            <w:vAlign w:val="top"/>
          </w:tcPr>
          <w:p>
            <w:pPr>
              <w:spacing w:before="60" w:after="60"/>
            </w:pPr>
            <w:r/>
            <w:r>
              <w:rPr>
                <w:rFonts w:ascii="Calibri" w:hAnsi="Calibri"/>
                <w:b w:val="0"/>
                <w:i w:val="0"/>
                <w:sz w:val="24"/>
              </w:rPr>
              <w:t>Famille publish_*_draft (catalogação)</w:t>
            </w:r>
          </w:p>
        </w:tc>
        <w:tc>
          <w:tcPr>
            <w:tcW w:type="dxa" w:w="2351"/>
            <w:vAlign w:val="top"/>
          </w:tcPr>
          <w:p>
            <w:pPr>
              <w:spacing w:before="60" w:after="60"/>
            </w:pPr>
            <w:r/>
            <w:r>
              <w:rPr>
                <w:rFonts w:ascii="Calibri" w:hAnsi="Calibri"/>
                <w:b w:val="0"/>
                <w:i w:val="0"/>
                <w:sz w:val="24"/>
              </w:rPr>
              <w:t>WARN authenticated</w:t>
            </w:r>
          </w:p>
        </w:tc>
        <w:tc>
          <w:tcPr>
            <w:tcW w:type="dxa" w:w="2351"/>
            <w:vAlign w:val="top"/>
          </w:tcPr>
          <w:p>
            <w:pPr>
              <w:spacing w:before="60" w:after="60"/>
            </w:pPr>
            <w:r/>
            <w:r>
              <w:rPr>
                <w:rFonts w:ascii="Calibri" w:hAnsi="Calibri"/>
                <w:b w:val="0"/>
                <w:i w:val="0"/>
                <w:sz w:val="24"/>
              </w:rPr>
              <w:t>4</w:t>
            </w:r>
          </w:p>
        </w:tc>
        <w:tc>
          <w:tcPr>
            <w:tcW w:type="dxa" w:w="2351"/>
            <w:vAlign w:val="top"/>
          </w:tcPr>
          <w:p>
            <w:pPr>
              <w:spacing w:before="60" w:after="60"/>
            </w:pPr>
            <w:r/>
            <w:r>
              <w:rPr>
                <w:rFonts w:ascii="Calibri" w:hAnsi="Calibri"/>
                <w:b w:val="0"/>
                <w:i w:val="0"/>
                <w:sz w:val="24"/>
              </w:rPr>
              <w:t>Conserver SECURITY DEFINER, revue ciblée</w:t>
            </w:r>
          </w:p>
        </w:tc>
      </w:tr>
      <w:tr>
        <w:tc>
          <w:tcPr>
            <w:tcW w:type="dxa" w:w="2351"/>
            <w:vAlign w:val="top"/>
          </w:tcPr>
          <w:p>
            <w:pPr>
              <w:spacing w:before="60" w:after="60"/>
            </w:pPr>
            <w:r/>
            <w:r>
              <w:rPr>
                <w:rFonts w:ascii="Calibri" w:hAnsi="Calibri"/>
                <w:b w:val="0"/>
                <w:i w:val="0"/>
                <w:sz w:val="24"/>
              </w:rPr>
              <w:t>Famille fn_caller_is_</w:t>
            </w:r>
            <w:r>
              <w:rPr>
                <w:rFonts w:ascii="Calibri" w:hAnsi="Calibri"/>
                <w:b w:val="0"/>
                <w:i/>
                <w:sz w:val="24"/>
              </w:rPr>
              <w:t xml:space="preserve"> et fn_current_user_is_</w:t>
            </w:r>
          </w:p>
        </w:tc>
        <w:tc>
          <w:tcPr>
            <w:tcW w:type="dxa" w:w="2351"/>
            <w:vAlign w:val="top"/>
          </w:tcPr>
          <w:p>
            <w:pPr>
              <w:spacing w:before="60" w:after="60"/>
            </w:pPr>
            <w:r/>
            <w:r>
              <w:rPr>
                <w:rFonts w:ascii="Calibri" w:hAnsi="Calibri"/>
                <w:b w:val="0"/>
                <w:i w:val="0"/>
                <w:sz w:val="24"/>
              </w:rPr>
              <w:t>WARN anon + authenticated</w:t>
            </w:r>
          </w:p>
        </w:tc>
        <w:tc>
          <w:tcPr>
            <w:tcW w:type="dxa" w:w="2351"/>
            <w:vAlign w:val="top"/>
          </w:tcPr>
          <w:p>
            <w:pPr>
              <w:spacing w:before="60" w:after="60"/>
            </w:pPr>
            <w:r/>
            <w:r>
              <w:rPr>
                <w:rFonts w:ascii="Calibri" w:hAnsi="Calibri"/>
                <w:b w:val="0"/>
                <w:i w:val="0"/>
                <w:sz w:val="24"/>
              </w:rPr>
              <w:t>≈6</w:t>
            </w:r>
          </w:p>
        </w:tc>
        <w:tc>
          <w:tcPr>
            <w:tcW w:type="dxa" w:w="2351"/>
            <w:vAlign w:val="top"/>
          </w:tcPr>
          <w:p>
            <w:pPr>
              <w:spacing w:before="60" w:after="60"/>
            </w:pPr>
            <w:r/>
            <w:r>
              <w:rPr>
                <w:rFonts w:ascii="Calibri" w:hAnsi="Calibri"/>
                <w:b w:val="0"/>
                <w:i w:val="0"/>
                <w:sz w:val="24"/>
              </w:rPr>
              <w:t>Helpers de contexte d'appel — devraient pouvoir être basculées en SECURITY INVOKER puisqu'elles lisent uniquement auth.uid()</w:t>
            </w:r>
          </w:p>
        </w:tc>
      </w:tr>
      <w:tr>
        <w:tc>
          <w:tcPr>
            <w:tcW w:type="dxa" w:w="2351"/>
            <w:vAlign w:val="top"/>
          </w:tcPr>
          <w:p>
            <w:pPr>
              <w:spacing w:before="60" w:after="60"/>
            </w:pPr>
            <w:r/>
            <w:r>
              <w:rPr>
                <w:rFonts w:ascii="Calibri" w:hAnsi="Calibri"/>
                <w:b w:val="0"/>
                <w:i w:val="0"/>
                <w:sz w:val="24"/>
              </w:rPr>
              <w:t>Famille get_due_date_*, get_remaining_renewals, get_future_availability, resolve_circulation_rule, get_batch_loan_projection (couche fine api)</w:t>
            </w:r>
          </w:p>
        </w:tc>
        <w:tc>
          <w:tcPr>
            <w:tcW w:type="dxa" w:w="2351"/>
            <w:vAlign w:val="top"/>
          </w:tcPr>
          <w:p>
            <w:pPr>
              <w:spacing w:before="60" w:after="60"/>
            </w:pPr>
            <w:r/>
            <w:r>
              <w:rPr>
                <w:rFonts w:ascii="Calibri" w:hAnsi="Calibri"/>
                <w:b w:val="0"/>
                <w:i w:val="0"/>
                <w:sz w:val="24"/>
              </w:rPr>
              <w:t>WARN authenticated</w:t>
            </w:r>
          </w:p>
        </w:tc>
        <w:tc>
          <w:tcPr>
            <w:tcW w:type="dxa" w:w="2351"/>
            <w:vAlign w:val="top"/>
          </w:tcPr>
          <w:p>
            <w:pPr>
              <w:spacing w:before="60" w:after="60"/>
            </w:pPr>
            <w:r/>
            <w:r>
              <w:rPr>
                <w:rFonts w:ascii="Calibri" w:hAnsi="Calibri"/>
                <w:b w:val="0"/>
                <w:i w:val="0"/>
                <w:sz w:val="24"/>
              </w:rPr>
              <w:t>≈8</w:t>
            </w:r>
          </w:p>
        </w:tc>
        <w:tc>
          <w:tcPr>
            <w:tcW w:type="dxa" w:w="2351"/>
            <w:vAlign w:val="top"/>
          </w:tcPr>
          <w:p>
            <w:pPr>
              <w:spacing w:before="60" w:after="60"/>
            </w:pPr>
            <w:r/>
            <w:r>
              <w:rPr>
                <w:rFonts w:ascii="Calibri" w:hAnsi="Calibri"/>
                <w:b w:val="0"/>
                <w:i w:val="0"/>
                <w:sz w:val="24"/>
              </w:rPr>
              <w:t>Bonnes candidates pour bascule SECURITY INVOKER si elles n'écrivent rien</w:t>
            </w:r>
          </w:p>
        </w:tc>
      </w:tr>
      <w:tr>
        <w:tc>
          <w:tcPr>
            <w:tcW w:type="dxa" w:w="2351"/>
            <w:vAlign w:val="top"/>
          </w:tcPr>
          <w:p>
            <w:pPr>
              <w:spacing w:before="60" w:after="60"/>
            </w:pPr>
            <w:r/>
            <w:r>
              <w:rPr>
                <w:rFonts w:ascii="Calibri" w:hAnsi="Calibri"/>
                <w:b w:val="0"/>
                <w:i w:val="0"/>
                <w:sz w:val="24"/>
              </w:rPr>
              <w:t>search_catalog_v1, get_book_primary_public_digital_asset_v2</w:t>
            </w:r>
          </w:p>
        </w:tc>
        <w:tc>
          <w:tcPr>
            <w:tcW w:type="dxa" w:w="2351"/>
            <w:vAlign w:val="top"/>
          </w:tcPr>
          <w:p>
            <w:pPr>
              <w:spacing w:before="60" w:after="60"/>
            </w:pPr>
            <w:r/>
            <w:r>
              <w:rPr>
                <w:rFonts w:ascii="Calibri" w:hAnsi="Calibri"/>
                <w:b w:val="0"/>
                <w:i w:val="0"/>
                <w:sz w:val="24"/>
              </w:rPr>
              <w:t>WARN anon + authenticated</w:t>
            </w:r>
          </w:p>
        </w:tc>
        <w:tc>
          <w:tcPr>
            <w:tcW w:type="dxa" w:w="2351"/>
            <w:vAlign w:val="top"/>
          </w:tcPr>
          <w:p>
            <w:pPr>
              <w:spacing w:before="60" w:after="60"/>
            </w:pPr>
            <w:r/>
            <w:r>
              <w:rPr>
                <w:rFonts w:ascii="Calibri" w:hAnsi="Calibri"/>
                <w:b w:val="0"/>
                <w:i w:val="0"/>
                <w:sz w:val="24"/>
              </w:rPr>
              <w:t>2 × 2</w:t>
            </w:r>
          </w:p>
        </w:tc>
        <w:tc>
          <w:tcPr>
            <w:tcW w:type="dxa" w:w="2351"/>
            <w:vAlign w:val="top"/>
          </w:tcPr>
          <w:p>
            <w:pPr>
              <w:spacing w:before="60" w:after="60"/>
            </w:pPr>
            <w:r/>
            <w:r>
              <w:rPr>
                <w:rFonts w:ascii="Calibri" w:hAnsi="Calibri"/>
                <w:b w:val="0"/>
                <w:i w:val="0"/>
                <w:sz w:val="24"/>
              </w:rPr>
              <w:t>Conserver SECURITY DEFINER (lecture catalogue protégée par fn_library_visible_to_caller en interne)</w:t>
            </w:r>
          </w:p>
        </w:tc>
      </w:tr>
      <w:tr>
        <w:tc>
          <w:tcPr>
            <w:tcW w:type="dxa" w:w="2351"/>
            <w:vAlign w:val="top"/>
          </w:tcPr>
          <w:p>
            <w:pPr>
              <w:spacing w:before="60" w:after="60"/>
            </w:pPr>
            <w:r/>
            <w:r>
              <w:rPr>
                <w:rFonts w:ascii="Calibri" w:hAnsi="Calibri"/>
                <w:b w:val="0"/>
                <w:i w:val="0"/>
                <w:sz w:val="24"/>
              </w:rPr>
              <w:t>resolve_login_email, fn_submit_library_request, fn_submit_library_request_via_claim, fn_consume_library_request_claim, fn_get_library_request_claim_context, fn_ensure_library_theme</w:t>
            </w:r>
          </w:p>
        </w:tc>
        <w:tc>
          <w:tcPr>
            <w:tcW w:type="dxa" w:w="2351"/>
            <w:vAlign w:val="top"/>
          </w:tcPr>
          <w:p>
            <w:pPr>
              <w:spacing w:before="60" w:after="60"/>
            </w:pPr>
            <w:r/>
            <w:r>
              <w:rPr>
                <w:rFonts w:ascii="Calibri" w:hAnsi="Calibri"/>
                <w:b w:val="0"/>
                <w:i w:val="0"/>
                <w:sz w:val="24"/>
              </w:rPr>
              <w:t>WARN anon + authenticated</w:t>
            </w:r>
          </w:p>
        </w:tc>
        <w:tc>
          <w:tcPr>
            <w:tcW w:type="dxa" w:w="2351"/>
            <w:vAlign w:val="top"/>
          </w:tcPr>
          <w:p>
            <w:pPr>
              <w:spacing w:before="60" w:after="60"/>
            </w:pPr>
            <w:r/>
            <w:r>
              <w:rPr>
                <w:rFonts w:ascii="Calibri" w:hAnsi="Calibri"/>
                <w:b w:val="0"/>
                <w:i w:val="0"/>
                <w:sz w:val="24"/>
              </w:rPr>
              <w:t>6 × 2</w:t>
            </w:r>
          </w:p>
        </w:tc>
        <w:tc>
          <w:tcPr>
            <w:tcW w:type="dxa" w:w="2351"/>
            <w:vAlign w:val="top"/>
          </w:tcPr>
          <w:p>
            <w:pPr>
              <w:spacing w:before="60" w:after="60"/>
            </w:pPr>
            <w:r/>
            <w:r>
              <w:rPr>
                <w:rFonts w:ascii="Calibri" w:hAnsi="Calibri"/>
                <w:b w:val="0"/>
                <w:i w:val="0"/>
                <w:sz w:val="24"/>
              </w:rPr>
              <w:t>Conserver SECURITY DEFINER avec exposition anon — décision politique explicite (signup, soumission de demande de bibliothèque, claim)</w:t>
            </w:r>
          </w:p>
        </w:tc>
      </w:tr>
      <w:tr>
        <w:tc>
          <w:tcPr>
            <w:tcW w:type="dxa" w:w="2351"/>
            <w:vAlign w:val="top"/>
          </w:tcPr>
          <w:p>
            <w:pPr>
              <w:spacing w:before="60" w:after="60"/>
            </w:pPr>
            <w:r/>
            <w:r>
              <w:rPr>
                <w:rFonts w:ascii="Calibri" w:hAnsi="Calibri"/>
                <w:b w:val="0"/>
                <w:i w:val="0"/>
                <w:sz w:val="24"/>
              </w:rPr>
              <w:t>fn_network_notify_event, fn_team_notify_event (helpers de fan-out outbox)</w:t>
            </w:r>
          </w:p>
        </w:tc>
        <w:tc>
          <w:tcPr>
            <w:tcW w:type="dxa" w:w="2351"/>
            <w:vAlign w:val="top"/>
          </w:tcPr>
          <w:p>
            <w:pPr>
              <w:spacing w:before="60" w:after="60"/>
            </w:pPr>
            <w:r/>
            <w:r>
              <w:rPr>
                <w:rFonts w:ascii="Calibri" w:hAnsi="Calibri"/>
                <w:b w:val="0"/>
                <w:i w:val="0"/>
                <w:sz w:val="24"/>
              </w:rPr>
              <w:t>WARN anon + authenticated</w:t>
            </w:r>
          </w:p>
        </w:tc>
        <w:tc>
          <w:tcPr>
            <w:tcW w:type="dxa" w:w="2351"/>
            <w:vAlign w:val="top"/>
          </w:tcPr>
          <w:p>
            <w:pPr>
              <w:spacing w:before="60" w:after="60"/>
            </w:pPr>
            <w:r/>
            <w:r>
              <w:rPr>
                <w:rFonts w:ascii="Calibri" w:hAnsi="Calibri"/>
                <w:b w:val="0"/>
                <w:i w:val="0"/>
                <w:sz w:val="24"/>
              </w:rPr>
              <w:t>1 × 2 (le second pas listé mais symétrique)</w:t>
            </w:r>
          </w:p>
        </w:tc>
        <w:tc>
          <w:tcPr>
            <w:tcW w:type="dxa" w:w="2351"/>
            <w:vAlign w:val="top"/>
          </w:tcPr>
          <w:p>
            <w:pPr>
              <w:spacing w:before="60" w:after="60"/>
            </w:pPr>
            <w:r/>
            <w:r>
              <w:rPr>
                <w:rFonts w:ascii="Calibri" w:hAnsi="Calibri"/>
                <w:b w:val="0"/>
                <w:i w:val="0"/>
                <w:sz w:val="24"/>
              </w:rPr>
              <w:t>À encadrer : ce sont les points d'injection vers la couche notification, ils ne devraient pas être appelables directement par anon ni par authenticated — la révocation REST simple suffit</w:t>
            </w:r>
          </w:p>
        </w:tc>
      </w:tr>
      <w:tr>
        <w:tc>
          <w:tcPr>
            <w:tcW w:type="dxa" w:w="2351"/>
            <w:vAlign w:val="top"/>
          </w:tcPr>
          <w:p>
            <w:pPr>
              <w:spacing w:before="60" w:after="60"/>
            </w:pPr>
            <w:r/>
            <w:r>
              <w:rPr>
                <w:rFonts w:ascii="Calibri" w:hAnsi="Calibri"/>
                <w:b w:val="0"/>
                <w:i w:val="0"/>
                <w:sz w:val="24"/>
              </w:rPr>
              <w:t>fn_block_lph_modification (function_search_path_mutable)</w:t>
            </w:r>
          </w:p>
        </w:tc>
        <w:tc>
          <w:tcPr>
            <w:tcW w:type="dxa" w:w="2351"/>
            <w:vAlign w:val="top"/>
          </w:tcPr>
          <w:p>
            <w:pPr>
              <w:spacing w:before="60" w:after="60"/>
            </w:pPr>
            <w:r/>
            <w:r>
              <w:rPr>
                <w:rFonts w:ascii="Calibri" w:hAnsi="Calibri"/>
                <w:b w:val="0"/>
                <w:i w:val="0"/>
                <w:sz w:val="24"/>
              </w:rPr>
              <w:t>WARN</w:t>
            </w:r>
          </w:p>
        </w:tc>
        <w:tc>
          <w:tcPr>
            <w:tcW w:type="dxa" w:w="2351"/>
            <w:vAlign w:val="top"/>
          </w:tcPr>
          <w:p>
            <w:pPr>
              <w:spacing w:before="60" w:after="60"/>
            </w:pPr>
            <w:r/>
            <w:r>
              <w:rPr>
                <w:rFonts w:ascii="Calibri" w:hAnsi="Calibri"/>
                <w:b w:val="0"/>
                <w:i w:val="0"/>
                <w:sz w:val="24"/>
              </w:rPr>
              <w:t>1</w:t>
            </w:r>
          </w:p>
        </w:tc>
        <w:tc>
          <w:tcPr>
            <w:tcW w:type="dxa" w:w="2351"/>
            <w:vAlign w:val="top"/>
          </w:tcPr>
          <w:p>
            <w:pPr>
              <w:spacing w:before="60" w:after="60"/>
            </w:pPr>
            <w:r/>
            <w:r>
              <w:rPr>
                <w:rFonts w:ascii="Calibri" w:hAnsi="Calibri"/>
                <w:b w:val="0"/>
                <w:i w:val="0"/>
                <w:sz w:val="24"/>
              </w:rPr>
              <w:t>Ajouter SET search_path = pg_catalog, public dans la définition de la fonction</w:t>
            </w:r>
          </w:p>
        </w:tc>
      </w:tr>
      <w:tr>
        <w:tc>
          <w:tcPr>
            <w:tcW w:type="dxa" w:w="2351"/>
            <w:vAlign w:val="top"/>
          </w:tcPr>
          <w:p>
            <w:pPr>
              <w:spacing w:before="60" w:after="60"/>
            </w:pPr>
            <w:r/>
            <w:r>
              <w:rPr>
                <w:rFonts w:ascii="Calibri" w:hAnsi="Calibri"/>
                <w:b w:val="0"/>
                <w:i w:val="0"/>
                <w:sz w:val="24"/>
              </w:rPr>
              <w:t>Buckets storage avec broad SELECT (library-privacy-public, library-ui-assets)</w:t>
            </w:r>
          </w:p>
        </w:tc>
        <w:tc>
          <w:tcPr>
            <w:tcW w:type="dxa" w:w="2351"/>
            <w:vAlign w:val="top"/>
          </w:tcPr>
          <w:p>
            <w:pPr>
              <w:spacing w:before="60" w:after="60"/>
            </w:pPr>
            <w:r/>
            <w:r>
              <w:rPr>
                <w:rFonts w:ascii="Calibri" w:hAnsi="Calibri"/>
                <w:b w:val="0"/>
                <w:i w:val="0"/>
                <w:sz w:val="24"/>
              </w:rPr>
              <w:t>WARN</w:t>
            </w:r>
          </w:p>
        </w:tc>
        <w:tc>
          <w:tcPr>
            <w:tcW w:type="dxa" w:w="2351"/>
            <w:vAlign w:val="top"/>
          </w:tcPr>
          <w:p>
            <w:pPr>
              <w:spacing w:before="60" w:after="60"/>
            </w:pPr>
            <w:r/>
            <w:r>
              <w:rPr>
                <w:rFonts w:ascii="Calibri" w:hAnsi="Calibri"/>
                <w:b w:val="0"/>
                <w:i w:val="0"/>
                <w:sz w:val="24"/>
              </w:rPr>
              <w:t>2</w:t>
            </w:r>
          </w:p>
        </w:tc>
        <w:tc>
          <w:tcPr>
            <w:tcW w:type="dxa" w:w="2351"/>
            <w:vAlign w:val="top"/>
          </w:tcPr>
          <w:p>
            <w:pPr>
              <w:spacing w:before="60" w:after="60"/>
            </w:pPr>
            <w:r/>
            <w:r>
              <w:rPr>
                <w:rFonts w:ascii="Calibri" w:hAnsi="Calibri"/>
                <w:b w:val="0"/>
                <w:i w:val="0"/>
                <w:sz w:val="24"/>
              </w:rPr>
              <w:t>Restreindre la policy SELECT pour ne plus permettre le listing de tous les objets</w:t>
            </w:r>
          </w:p>
        </w:tc>
      </w:tr>
      <w:tr>
        <w:tc>
          <w:tcPr>
            <w:tcW w:type="dxa" w:w="2351"/>
            <w:vAlign w:val="top"/>
          </w:tcPr>
          <w:p>
            <w:pPr>
              <w:spacing w:before="60" w:after="60"/>
            </w:pPr>
            <w:r/>
            <w:r>
              <w:rPr>
                <w:rFonts w:ascii="Calibri" w:hAnsi="Calibri"/>
                <w:b w:val="0"/>
                <w:i w:val="0"/>
                <w:sz w:val="24"/>
              </w:rPr>
              <w:t>Clés étrangères sans index supportant (visible : ≈67)</w:t>
            </w:r>
          </w:p>
        </w:tc>
        <w:tc>
          <w:tcPr>
            <w:tcW w:type="dxa" w:w="2351"/>
            <w:vAlign w:val="top"/>
          </w:tcPr>
          <w:p>
            <w:pPr>
              <w:spacing w:before="60" w:after="60"/>
            </w:pPr>
            <w:r/>
            <w:r>
              <w:rPr>
                <w:rFonts w:ascii="Calibri" w:hAnsi="Calibri"/>
                <w:b w:val="0"/>
                <w:i w:val="0"/>
                <w:sz w:val="24"/>
              </w:rPr>
              <w:t>performance</w:t>
            </w:r>
          </w:p>
        </w:tc>
        <w:tc>
          <w:tcPr>
            <w:tcW w:type="dxa" w:w="2351"/>
            <w:vAlign w:val="top"/>
          </w:tcPr>
          <w:p>
            <w:pPr>
              <w:spacing w:before="60" w:after="60"/>
            </w:pPr>
            <w:r/>
            <w:r>
              <w:rPr>
                <w:rFonts w:ascii="Calibri" w:hAnsi="Calibri"/>
                <w:b w:val="0"/>
                <w:i w:val="0"/>
                <w:sz w:val="24"/>
              </w:rPr>
              <w:t>≈67</w:t>
            </w:r>
          </w:p>
        </w:tc>
        <w:tc>
          <w:tcPr>
            <w:tcW w:type="dxa" w:w="2351"/>
            <w:vAlign w:val="top"/>
          </w:tcPr>
          <w:p>
            <w:pPr>
              <w:spacing w:before="60" w:after="60"/>
            </w:pPr>
            <w:r/>
            <w:r>
              <w:rPr>
                <w:rFonts w:ascii="Calibri" w:hAnsi="Calibri"/>
                <w:b w:val="0"/>
                <w:i w:val="0"/>
                <w:sz w:val="24"/>
              </w:rPr>
              <w:t>Génération d'indexes en lot, surtout sur colonnes d'audit (created_by, updated_by, recorded_by, actor_user_id, target_user_id, triggered_by_user_id → auth.users)</w:t>
            </w:r>
          </w:p>
        </w:tc>
      </w:tr>
    </w:tbl>
    <w:p>
      <w:pPr>
        <w:spacing w:after="160"/>
      </w:pPr>
    </w:p>
    <w:p>
      <w:pPr>
        <w:keepNext/>
        <w:spacing w:before="360" w:after="160"/>
      </w:pPr>
      <w:r>
        <w:rPr>
          <w:rFonts w:ascii="Calibri" w:hAnsi="Calibri"/>
          <w:b/>
          <w:color w:val="2E74B5"/>
          <w:sz w:val="36"/>
        </w:rPr>
        <w:t>5.3 Lecture stratégique : la dette n'est plus une métrique, elle est une politique</w:t>
      </w:r>
    </w:p>
    <w:p>
      <w:pPr>
        <w:spacing w:before="0" w:after="160"/>
      </w:pPr>
      <w:r>
        <w:rPr>
          <w:rFonts w:ascii="Calibri" w:hAnsi="Calibri"/>
          <w:b w:val="0"/>
          <w:i w:val="0"/>
          <w:sz w:val="28"/>
        </w:rPr>
        <w:t>La v13 envisageait la dette SECURITY DEFINER comme un chantier de triage : « pour chaque fonction WARN, décider si elle reste DEFINER, si elle bascule INVOKER, ou si elle est encadrée par wrapper ». La v14 doit reconnaître que cette approche, valable pour 14 fonctions anon en v13, devient ingérable pour 225 fonctions authenticated en v14. La doctrine v14 doit donc proposer un cadre nouveau : non pas trier au cas par cas, mais qualifier les familles entières.</w:t>
      </w:r>
    </w:p>
    <w:p>
      <w:pPr>
        <w:spacing w:before="0" w:after="160"/>
      </w:pPr>
      <w:r>
        <w:rPr>
          <w:rFonts w:ascii="Calibri" w:hAnsi="Calibri"/>
          <w:b w:val="0"/>
          <w:i w:val="0"/>
          <w:sz w:val="28"/>
        </w:rPr>
        <w:t>Trois familles SECURITY DEFINER authenticated sont par construction légitimes et le resteront : la circulation (fn_v2_</w:t>
      </w:r>
      <w:r>
        <w:rPr>
          <w:rFonts w:ascii="Calibri" w:hAnsi="Calibri"/>
          <w:b w:val="0"/>
          <w:i/>
          <w:sz w:val="28"/>
        </w:rPr>
        <w:t>), la gouvernance (upsert_library_</w:t>
      </w:r>
      <w:r>
        <w:rPr>
          <w:rFonts w:ascii="Calibri" w:hAnsi="Calibri"/>
          <w:b w:val="0"/>
          <w:i w:val="0"/>
          <w:sz w:val="28"/>
        </w:rPr>
        <w:t>, fn_team_</w:t>
      </w:r>
      <w:r>
        <w:rPr>
          <w:rFonts w:ascii="Calibri" w:hAnsi="Calibri"/>
          <w:b w:val="0"/>
          <w:i/>
          <w:sz w:val="28"/>
        </w:rPr>
        <w:t>, fn_network_admin_</w:t>
      </w:r>
      <w:r>
        <w:rPr>
          <w:rFonts w:ascii="Calibri" w:hAnsi="Calibri"/>
          <w:b w:val="0"/>
          <w:i w:val="0"/>
          <w:sz w:val="28"/>
        </w:rPr>
        <w:t>), la catalogação (publish_</w:t>
      </w:r>
      <w:r>
        <w:rPr>
          <w:rFonts w:ascii="Calibri" w:hAnsi="Calibri"/>
          <w:b w:val="0"/>
          <w:i/>
          <w:sz w:val="28"/>
        </w:rPr>
        <w:t>_draft, create_</w:t>
      </w:r>
      <w:r>
        <w:rPr>
          <w:rFonts w:ascii="Calibri" w:hAnsi="Calibri"/>
          <w:b w:val="0"/>
          <w:i w:val="0"/>
          <w:sz w:val="28"/>
        </w:rPr>
        <w:t>_draft_from_*). Ces fonctions modifient des tables que l'utilisateur ne peut pas modifier directement par RLS, et leur SECURITY DEFINER est leur raison d'être. Aucun bénéfice à les basculer.</w:t>
      </w:r>
    </w:p>
    <w:p>
      <w:pPr>
        <w:spacing w:before="0" w:after="160"/>
      </w:pPr>
      <w:r>
        <w:rPr>
          <w:rFonts w:ascii="Calibri" w:hAnsi="Calibri"/>
          <w:b w:val="0"/>
          <w:i w:val="0"/>
          <w:sz w:val="28"/>
        </w:rPr>
        <w:t>Deux familles SECURITY DEFINER anon sont également légitimes par décision politique : les helpers de mode (fn_library_*_mode, exposés pour permettre à un usager anon de juger du profil d'une bibliothèque), et la chaîne de soumission de demande de bibliothèque (fn_submit_library_request, fn_submit_library_request_via_claim, fn_consume_library_request_claim, resolve_login_email). Ces fonctions matérialisent la posture politique d'AnarBib : un anarchiste peut découvrir, juger, et solliciter une bibliothèque sans s'authentifier d'abord. Aucun bénéfice à les fermer.</w:t>
      </w:r>
    </w:p>
    <w:p>
      <w:pPr>
        <w:spacing w:before="0" w:after="160"/>
      </w:pPr>
      <w:r>
        <w:rPr>
          <w:rFonts w:ascii="Calibri" w:hAnsi="Calibri"/>
          <w:b w:val="0"/>
          <w:i w:val="0"/>
          <w:sz w:val="28"/>
        </w:rPr>
        <w:t>Reste donc, comme dette stricte à traiter : v_active_memberships (1 ERROR), api.library_email_identity (1 WARN vue), mv_books_catalog_list_v1 et mv_books_catalog_list_network_v1 (2 WARN vues matérialisées), fn_block_lph_modification (1 WARN search_path), 2 buckets storage avec SELECT broad. Soit 7 items isolés, exactement le format d'un chantier de durcissement bornable. Plus les ≈67 clés étrangères sans index supportant, qui forment un chantier performance distinct.</w:t>
      </w:r>
    </w:p>
    <w:p>
      <w:pPr>
        <w:keepNext/>
        <w:spacing w:before="480" w:after="240"/>
      </w:pPr>
      <w:r>
        <w:rPr>
          <w:rFonts w:ascii="Calibri" w:hAnsi="Calibri"/>
          <w:b/>
          <w:color w:val="1F4E79"/>
          <w:sz w:val="44"/>
        </w:rPr>
        <w:t>6. La consultation locale : fermée backend, à mettre en lecture frontale</w:t>
      </w:r>
    </w:p>
    <w:p>
      <w:pPr>
        <w:spacing w:before="0" w:after="160"/>
      </w:pPr>
      <w:r>
        <w:rPr>
          <w:rFonts w:ascii="Calibri" w:hAnsi="Calibri"/>
          <w:b w:val="0"/>
          <w:i w:val="0"/>
          <w:sz w:val="28"/>
        </w:rPr>
        <w:t>La séquence #2 de l'ordre d'exécution v13 (« fermeture propre de la branche consultation locale ») visait l'ajout d'un trigger trg_notify_consulta_workflow équivalent à trg_notify_reserva_workflow, plus l'intégration handler dans notify-event. La v14 mesure que ces deux conditions sont remplies.</w:t>
      </w:r>
    </w:p>
    <w:p>
      <w:pPr>
        <w:keepNext/>
        <w:spacing w:before="360" w:after="160"/>
      </w:pPr>
      <w:r>
        <w:rPr>
          <w:rFonts w:ascii="Calibri" w:hAnsi="Calibri"/>
          <w:b/>
          <w:color w:val="2E74B5"/>
          <w:sz w:val="36"/>
        </w:rPr>
        <w:t>6.1 Ce qui est désormais en production</w:t>
      </w:r>
    </w:p>
    <w:tbl>
      <w:tblPr>
        <w:tblStyle w:val="TableGrid"/>
        <w:tblW w:type="auto" w:w="0"/>
        <w:tblLayout w:type="autofit"/>
        <w:tblLook w:firstColumn="1" w:firstRow="1" w:lastColumn="0" w:lastRow="0" w:noHBand="0" w:noVBand="1" w:val="04A0"/>
      </w:tblPr>
      <w:tblGrid>
        <w:gridCol w:w="4703"/>
        <w:gridCol w:w="4703"/>
      </w:tblGrid>
      <w:tr>
        <w:tc>
          <w:tcPr>
            <w:tcW w:type="dxa" w:w="4703"/>
            <w:vAlign w:val="top"/>
            <w:shd w:val="clear" w:color="auto" w:fill="D9E2F3"/>
          </w:tcPr>
          <w:p>
            <w:pPr>
              <w:spacing w:before="60" w:after="60"/>
            </w:pPr>
            <w:r/>
            <w:r>
              <w:rPr>
                <w:rFonts w:ascii="Calibri" w:hAnsi="Calibri"/>
                <w:b/>
                <w:i w:val="0"/>
                <w:sz w:val="24"/>
              </w:rPr>
              <w:t>Élément</w:t>
            </w:r>
          </w:p>
        </w:tc>
        <w:tc>
          <w:tcPr>
            <w:tcW w:type="dxa" w:w="4703"/>
            <w:vAlign w:val="top"/>
            <w:shd w:val="clear" w:color="auto" w:fill="D9E2F3"/>
          </w:tcPr>
          <w:p>
            <w:pPr>
              <w:spacing w:before="60" w:after="60"/>
            </w:pPr>
            <w:r/>
            <w:r>
              <w:rPr>
                <w:rFonts w:ascii="Calibri" w:hAnsi="Calibri"/>
                <w:b/>
                <w:i w:val="0"/>
                <w:sz w:val="24"/>
              </w:rPr>
              <w:t>État v14</w:t>
            </w:r>
          </w:p>
        </w:tc>
      </w:tr>
      <w:tr>
        <w:tc>
          <w:tcPr>
            <w:tcW w:type="dxa" w:w="4703"/>
            <w:vAlign w:val="top"/>
          </w:tcPr>
          <w:p>
            <w:pPr>
              <w:spacing w:before="60" w:after="60"/>
            </w:pPr>
            <w:r/>
            <w:r>
              <w:rPr>
                <w:rFonts w:ascii="Calibri" w:hAnsi="Calibri"/>
                <w:b w:val="0"/>
                <w:i w:val="0"/>
                <w:sz w:val="24"/>
              </w:rPr>
              <w:t>trg_notify_consulta_workflow</w:t>
            </w:r>
          </w:p>
        </w:tc>
        <w:tc>
          <w:tcPr>
            <w:tcW w:type="dxa" w:w="4703"/>
            <w:vAlign w:val="top"/>
          </w:tcPr>
          <w:p>
            <w:pPr>
              <w:spacing w:before="60" w:after="60"/>
            </w:pPr>
            <w:r/>
            <w:r>
              <w:rPr>
                <w:rFonts w:ascii="Calibri" w:hAnsi="Calibri"/>
                <w:b w:val="0"/>
                <w:i w:val="0"/>
                <w:sz w:val="24"/>
              </w:rPr>
              <w:t>EN PROD sur consulta_item_workflow_v2 (AFTER INSERT OR UPDATE OF workflow_stage, schedule_reply_status, consultation_starts_at, consultation_ends_at)</w:t>
            </w:r>
          </w:p>
        </w:tc>
      </w:tr>
      <w:tr>
        <w:tc>
          <w:tcPr>
            <w:tcW w:type="dxa" w:w="4703"/>
            <w:vAlign w:val="top"/>
          </w:tcPr>
          <w:p>
            <w:pPr>
              <w:spacing w:before="60" w:after="60"/>
            </w:pPr>
            <w:r/>
            <w:r>
              <w:rPr>
                <w:rFonts w:ascii="Calibri" w:hAnsi="Calibri"/>
                <w:b w:val="0"/>
                <w:i w:val="0"/>
                <w:sz w:val="24"/>
              </w:rPr>
              <w:t>trg_notify_consulta_lifecycle</w:t>
            </w:r>
          </w:p>
        </w:tc>
        <w:tc>
          <w:tcPr>
            <w:tcW w:type="dxa" w:w="4703"/>
            <w:vAlign w:val="top"/>
          </w:tcPr>
          <w:p>
            <w:pPr>
              <w:spacing w:before="60" w:after="60"/>
            </w:pPr>
            <w:r/>
            <w:r>
              <w:rPr>
                <w:rFonts w:ascii="Calibri" w:hAnsi="Calibri"/>
                <w:b w:val="0"/>
                <w:i w:val="0"/>
                <w:sz w:val="24"/>
              </w:rPr>
              <w:t>EN PROD sur consulta_linhas_v2 (AFTER INSERT OR UPDATE OF item_status) — pendant lifecycle non anticipé par v13 mais livré</w:t>
            </w:r>
          </w:p>
        </w:tc>
      </w:tr>
      <w:tr>
        <w:tc>
          <w:tcPr>
            <w:tcW w:type="dxa" w:w="4703"/>
            <w:vAlign w:val="top"/>
          </w:tcPr>
          <w:p>
            <w:pPr>
              <w:spacing w:before="60" w:after="60"/>
            </w:pPr>
            <w:r/>
            <w:r>
              <w:rPr>
                <w:rFonts w:ascii="Calibri" w:hAnsi="Calibri"/>
                <w:b w:val="0"/>
                <w:i w:val="0"/>
                <w:sz w:val="24"/>
              </w:rPr>
              <w:t>RPC api couche fine</w:t>
            </w:r>
          </w:p>
        </w:tc>
        <w:tc>
          <w:tcPr>
            <w:tcW w:type="dxa" w:w="4703"/>
            <w:vAlign w:val="top"/>
          </w:tcPr>
          <w:p>
            <w:pPr>
              <w:spacing w:before="60" w:after="60"/>
            </w:pPr>
            <w:r/>
            <w:r>
              <w:rPr>
                <w:rFonts w:ascii="Calibri" w:hAnsi="Calibri"/>
                <w:b w:val="0"/>
                <w:i w:val="0"/>
                <w:sz w:val="24"/>
              </w:rPr>
              <w:t>5 RPC en INVOKER : advance_consulta, cancel_consulta_as_reader, create_consulta_local, dismiss_consulta_cancelled, reply_consulta_schedule</w:t>
            </w:r>
          </w:p>
        </w:tc>
      </w:tr>
      <w:tr>
        <w:tc>
          <w:tcPr>
            <w:tcW w:type="dxa" w:w="4703"/>
            <w:vAlign w:val="top"/>
          </w:tcPr>
          <w:p>
            <w:pPr>
              <w:spacing w:before="60" w:after="60"/>
            </w:pPr>
            <w:r/>
            <w:r>
              <w:rPr>
                <w:rFonts w:ascii="Calibri" w:hAnsi="Calibri"/>
                <w:b w:val="0"/>
                <w:i w:val="0"/>
                <w:sz w:val="24"/>
              </w:rPr>
              <w:t>Handler notify-event</w:t>
            </w:r>
          </w:p>
        </w:tc>
        <w:tc>
          <w:tcPr>
            <w:tcW w:type="dxa" w:w="4703"/>
            <w:vAlign w:val="top"/>
          </w:tcPr>
          <w:p>
            <w:pPr>
              <w:spacing w:before="60" w:after="60"/>
            </w:pPr>
            <w:r/>
            <w:r>
              <w:rPr>
                <w:rFonts w:ascii="Calibri" w:hAnsi="Calibri"/>
                <w:b w:val="0"/>
                <w:i w:val="0"/>
                <w:sz w:val="24"/>
              </w:rPr>
              <w:t>library_profile.ts + consultas.ts dans supabase/functions/_shared/domain/ (chantier i18n layout mail bouclé 18/05)</w:t>
            </w:r>
          </w:p>
        </w:tc>
      </w:tr>
      <w:tr>
        <w:tc>
          <w:tcPr>
            <w:tcW w:type="dxa" w:w="4703"/>
            <w:vAlign w:val="top"/>
          </w:tcPr>
          <w:p>
            <w:pPr>
              <w:spacing w:before="60" w:after="60"/>
            </w:pPr>
            <w:r/>
            <w:r>
              <w:rPr>
                <w:rFonts w:ascii="Calibri" w:hAnsi="Calibri"/>
                <w:b w:val="0"/>
                <w:i w:val="0"/>
                <w:sz w:val="24"/>
              </w:rPr>
              <w:t>Toggle local_consultation_enabled (library_notification_policies)</w:t>
            </w:r>
          </w:p>
        </w:tc>
        <w:tc>
          <w:tcPr>
            <w:tcW w:type="dxa" w:w="4703"/>
            <w:vAlign w:val="top"/>
          </w:tcPr>
          <w:p>
            <w:pPr>
              <w:spacing w:before="60" w:after="60"/>
            </w:pPr>
            <w:r/>
            <w:r>
              <w:rPr>
                <w:rFonts w:ascii="Calibri" w:hAnsi="Calibri"/>
                <w:b w:val="0"/>
                <w:i w:val="0"/>
                <w:sz w:val="24"/>
              </w:rPr>
              <w:t>Lu désormais par le handler</w:t>
            </w:r>
          </w:p>
        </w:tc>
      </w:tr>
      <w:tr>
        <w:tc>
          <w:tcPr>
            <w:tcW w:type="dxa" w:w="4703"/>
            <w:vAlign w:val="top"/>
          </w:tcPr>
          <w:p>
            <w:pPr>
              <w:spacing w:before="60" w:after="60"/>
            </w:pPr>
            <w:r/>
            <w:r>
              <w:rPr>
                <w:rFonts w:ascii="Calibri" w:hAnsi="Calibri"/>
                <w:b w:val="0"/>
                <w:i w:val="0"/>
                <w:sz w:val="24"/>
              </w:rPr>
              <w:t>Vue api.painel_consultas_history_v1</w:t>
            </w:r>
          </w:p>
        </w:tc>
        <w:tc>
          <w:tcPr>
            <w:tcW w:type="dxa" w:w="4703"/>
            <w:vAlign w:val="top"/>
          </w:tcPr>
          <w:p>
            <w:pPr>
              <w:spacing w:before="60" w:after="60"/>
            </w:pPr>
            <w:r/>
            <w:r>
              <w:rPr>
                <w:rFonts w:ascii="Calibri" w:hAnsi="Calibri"/>
                <w:b w:val="0"/>
                <w:i w:val="0"/>
                <w:sz w:val="24"/>
              </w:rPr>
              <w:t>EN PROD (security_invoker on) — onglet historique painel</w:t>
            </w:r>
          </w:p>
        </w:tc>
      </w:tr>
      <w:tr>
        <w:tc>
          <w:tcPr>
            <w:tcW w:type="dxa" w:w="4703"/>
            <w:vAlign w:val="top"/>
          </w:tcPr>
          <w:p>
            <w:pPr>
              <w:spacing w:before="60" w:after="60"/>
            </w:pPr>
            <w:r/>
            <w:r>
              <w:rPr>
                <w:rFonts w:ascii="Calibri" w:hAnsi="Calibri"/>
                <w:b w:val="0"/>
                <w:i w:val="0"/>
                <w:sz w:val="24"/>
              </w:rPr>
              <w:t>Police RLS sur consultas_locais_v2</w:t>
            </w:r>
          </w:p>
        </w:tc>
        <w:tc>
          <w:tcPr>
            <w:tcW w:type="dxa" w:w="4703"/>
            <w:vAlign w:val="top"/>
          </w:tcPr>
          <w:p>
            <w:pPr>
              <w:spacing w:before="60" w:after="60"/>
            </w:pPr>
            <w:r/>
            <w:r>
              <w:rPr>
                <w:rFonts w:ascii="Calibri" w:hAnsi="Calibri"/>
                <w:b w:val="0"/>
                <w:i w:val="0"/>
                <w:sz w:val="24"/>
              </w:rPr>
              <w:t>Active avec garde fn_library_has_circulation (cohérent avec profil circulation_mode != 'off')</w:t>
            </w:r>
          </w:p>
        </w:tc>
      </w:tr>
    </w:tbl>
    <w:p>
      <w:pPr>
        <w:spacing w:after="160"/>
      </w:pPr>
    </w:p>
    <w:p>
      <w:pPr>
        <w:keepNext/>
        <w:spacing w:before="360" w:after="160"/>
      </w:pPr>
      <w:r>
        <w:rPr>
          <w:rFonts w:ascii="Calibri" w:hAnsi="Calibri"/>
          <w:b/>
          <w:color w:val="2E74B5"/>
          <w:sz w:val="36"/>
        </w:rPr>
        <w:t>6.2 Ce qui reste à faire — front</w:t>
      </w:r>
    </w:p>
    <w:p>
      <w:pPr>
        <w:spacing w:before="0" w:after="160"/>
      </w:pPr>
      <w:r>
        <w:rPr>
          <w:rFonts w:ascii="Calibri" w:hAnsi="Calibri"/>
          <w:b w:val="0"/>
          <w:i w:val="0"/>
          <w:sz w:val="28"/>
        </w:rPr>
        <w:t>Trois éléments frontaux subsistent, identifiables dans le corpus frontend examiné.</w:t>
      </w:r>
    </w:p>
    <w:p>
      <w:pPr>
        <w:spacing w:before="0" w:after="160"/>
      </w:pPr>
      <w:r>
        <w:rPr>
          <w:rFonts w:ascii="Calibri" w:hAnsi="Calibri"/>
          <w:b w:val="0"/>
          <w:i w:val="0"/>
          <w:sz w:val="28"/>
        </w:rPr>
        <w:t>Premier élément : le rendu adaptatif du painel selon circulation_mode. La PanelPage (2757 lignes) doit afficher l'onglet Consultations uniquement quand circulation_mode = 'informal' ou 'full_sigb', et masquer l'onglet quand circulation_mode = 'off'. Cette logique n'est pas encore systématique.</w:t>
      </w:r>
    </w:p>
    <w:p>
      <w:pPr>
        <w:spacing w:before="0" w:after="160"/>
      </w:pPr>
      <w:r>
        <w:rPr>
          <w:rFonts w:ascii="Calibri" w:hAnsi="Calibri"/>
          <w:b w:val="0"/>
          <w:i w:val="0"/>
          <w:sz w:val="28"/>
        </w:rPr>
        <w:t>Deuxième élément : le bouton « Solicitar consulta » sur BookPage et CatalogPage. Les fichiers BookPage.jsx.bak.B1-consulta-button.20260519-132918 et CatalogPage.jsx.bak.B2-consulta-button.20260519-133248 témoignent d'un chantier en cours le 19 mai. Reste à vérifier que le bouton est effectivement câblé sur la RPC api.create_consulta_local et qu'il respecte la doctrine d'anon-availability (visible aux anonymes pour les bibliothèques en network_mode != 'isolated').</w:t>
      </w:r>
    </w:p>
    <w:p>
      <w:pPr>
        <w:spacing w:before="0" w:after="160"/>
      </w:pPr>
      <w:r>
        <w:rPr>
          <w:rFonts w:ascii="Calibri" w:hAnsi="Calibri"/>
          <w:b w:val="0"/>
          <w:i w:val="0"/>
          <w:sz w:val="28"/>
        </w:rPr>
        <w:t>Troisième élément : les notifications côté lecteur·rice·x. L'i18n de la consultation (chantier B.3 du 19/05, 60 clés × 6 locales = 360 strings militantes) est livré. Reste à vérifier que les notifications réception (« votre demande de consultation a été planifiée pour le mercredi 22 mai à 14h00 ») sont effectivement reçues — ce qui suppose que le handler consultas.ts dans notify-event lit correctement le toggle library_notification_policies.local_consultation_enabled. Test fumée pt-BR/fr déjà OK selon les notes du 18/05 (3-4 secondes end-to-end).</w:t>
      </w:r>
    </w:p>
    <w:p>
      <w:pPr>
        <w:keepNext/>
        <w:spacing w:before="360" w:after="160"/>
      </w:pPr>
      <w:r>
        <w:rPr>
          <w:rFonts w:ascii="Calibri" w:hAnsi="Calibri"/>
          <w:b/>
          <w:color w:val="2E74B5"/>
          <w:sz w:val="36"/>
        </w:rPr>
        <w:t>6.3 Estimation révisée</w:t>
      </w:r>
    </w:p>
    <w:p>
      <w:pPr>
        <w:spacing w:before="0" w:after="160"/>
      </w:pPr>
      <w:r>
        <w:rPr>
          <w:rFonts w:ascii="Calibri" w:hAnsi="Calibri"/>
          <w:b w:val="0"/>
          <w:i w:val="0"/>
          <w:sz w:val="28"/>
        </w:rPr>
        <w:t>À la lecture du SQL exact et des notes de chantier internes, la branche consultation locale doit être réévaluée à environ 95 % d'avancement (vs 80 % à la v13). Le travail restant est essentiellement frontal et concerne moins de cinq jours de développement. Cette branche peut être considérée comme la première séquence entièrement refermée de l'ordre d'exécution v13, à confirmer par une vérification frontale en première semaine de juin.</w:t>
      </w:r>
    </w:p>
    <w:p>
      <w:pPr>
        <w:keepNext/>
        <w:spacing w:before="480" w:after="240"/>
      </w:pPr>
      <w:r>
        <w:rPr>
          <w:rFonts w:ascii="Calibri" w:hAnsi="Calibri"/>
          <w:b/>
          <w:color w:val="1F4E79"/>
          <w:sz w:val="44"/>
        </w:rPr>
        <w:t>7. La couche notification : 16 triggers, 14 toggles, branchement renforcé</w:t>
      </w:r>
    </w:p>
    <w:p>
      <w:pPr>
        <w:spacing w:before="0" w:after="160"/>
      </w:pPr>
      <w:r>
        <w:rPr>
          <w:rFonts w:ascii="Calibri" w:hAnsi="Calibri"/>
          <w:b w:val="0"/>
          <w:i w:val="0"/>
          <w:sz w:val="28"/>
        </w:rPr>
        <w:t>La v13 dénombrait 9 triggers de notification automatique. La v14 en mesure 16, qui matérialisent la couche notification désormais étendue à la consultation locale, aux transitions de profil d'adoption, aux actions transverses d'admin réseau, et au cycle de vie des propositions.</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vAlign w:val="top"/>
            <w:shd w:val="clear" w:color="auto" w:fill="D9E2F3"/>
          </w:tcPr>
          <w:p>
            <w:pPr>
              <w:spacing w:before="60" w:after="60"/>
            </w:pPr>
            <w:r/>
            <w:r>
              <w:rPr>
                <w:rFonts w:ascii="Calibri" w:hAnsi="Calibri"/>
                <w:b/>
                <w:i w:val="0"/>
                <w:sz w:val="24"/>
              </w:rPr>
              <w:t>Trigger</w:t>
            </w:r>
          </w:p>
        </w:tc>
        <w:tc>
          <w:tcPr>
            <w:tcW w:type="dxa" w:w="3135"/>
            <w:vAlign w:val="top"/>
            <w:shd w:val="clear" w:color="auto" w:fill="D9E2F3"/>
          </w:tcPr>
          <w:p>
            <w:pPr>
              <w:spacing w:before="60" w:after="60"/>
            </w:pPr>
            <w:r/>
            <w:r>
              <w:rPr>
                <w:rFonts w:ascii="Calibri" w:hAnsi="Calibri"/>
                <w:b/>
                <w:i w:val="0"/>
                <w:sz w:val="24"/>
              </w:rPr>
              <w:t>Table source</w:t>
            </w:r>
          </w:p>
        </w:tc>
        <w:tc>
          <w:tcPr>
            <w:tcW w:type="dxa" w:w="3135"/>
            <w:vAlign w:val="top"/>
            <w:shd w:val="clear" w:color="auto" w:fill="D9E2F3"/>
          </w:tcPr>
          <w:p>
            <w:pPr>
              <w:spacing w:before="60" w:after="60"/>
            </w:pPr>
            <w:r/>
            <w:r>
              <w:rPr>
                <w:rFonts w:ascii="Calibri" w:hAnsi="Calibri"/>
                <w:b/>
                <w:i w:val="0"/>
                <w:sz w:val="24"/>
              </w:rPr>
              <w:t>Événements</w:t>
            </w:r>
          </w:p>
        </w:tc>
      </w:tr>
      <w:tr>
        <w:tc>
          <w:tcPr>
            <w:tcW w:type="dxa" w:w="3135"/>
            <w:vAlign w:val="top"/>
          </w:tcPr>
          <w:p>
            <w:pPr>
              <w:spacing w:before="60" w:after="60"/>
            </w:pPr>
            <w:r/>
            <w:r>
              <w:rPr>
                <w:rFonts w:ascii="Calibri" w:hAnsi="Calibri"/>
                <w:b w:val="0"/>
                <w:i w:val="0"/>
                <w:sz w:val="24"/>
              </w:rPr>
              <w:t>trg_notify_emprestimo_criado</w:t>
            </w:r>
          </w:p>
        </w:tc>
        <w:tc>
          <w:tcPr>
            <w:tcW w:type="dxa" w:w="3135"/>
            <w:vAlign w:val="top"/>
          </w:tcPr>
          <w:p>
            <w:pPr>
              <w:spacing w:before="60" w:after="60"/>
            </w:pPr>
            <w:r/>
            <w:r>
              <w:rPr>
                <w:rFonts w:ascii="Calibri" w:hAnsi="Calibri"/>
                <w:b w:val="0"/>
                <w:i w:val="0"/>
                <w:sz w:val="24"/>
              </w:rPr>
              <w:t>emprestimos_v2</w:t>
            </w:r>
          </w:p>
        </w:tc>
        <w:tc>
          <w:tcPr>
            <w:tcW w:type="dxa" w:w="3135"/>
            <w:vAlign w:val="top"/>
          </w:tcPr>
          <w:p>
            <w:pPr>
              <w:spacing w:before="60" w:after="60"/>
            </w:pPr>
            <w:r/>
            <w:r>
              <w:rPr>
                <w:rFonts w:ascii="Calibri" w:hAnsi="Calibri"/>
                <w:b w:val="0"/>
                <w:i w:val="0"/>
                <w:sz w:val="24"/>
              </w:rPr>
              <w:t>AFTER INSERT (remplace trg_notify_emprestimo_lifecycle de v13)</w:t>
            </w:r>
          </w:p>
        </w:tc>
      </w:tr>
      <w:tr>
        <w:tc>
          <w:tcPr>
            <w:tcW w:type="dxa" w:w="3135"/>
            <w:vAlign w:val="top"/>
          </w:tcPr>
          <w:p>
            <w:pPr>
              <w:spacing w:before="60" w:after="60"/>
            </w:pPr>
            <w:r/>
            <w:r>
              <w:rPr>
                <w:rFonts w:ascii="Calibri" w:hAnsi="Calibri"/>
                <w:b w:val="0"/>
                <w:i w:val="0"/>
                <w:sz w:val="24"/>
              </w:rPr>
              <w:t>trg_notify_emprestimo_prorrogacao</w:t>
            </w:r>
          </w:p>
        </w:tc>
        <w:tc>
          <w:tcPr>
            <w:tcW w:type="dxa" w:w="3135"/>
            <w:vAlign w:val="top"/>
          </w:tcPr>
          <w:p>
            <w:pPr>
              <w:spacing w:before="60" w:after="60"/>
            </w:pPr>
            <w:r/>
            <w:r>
              <w:rPr>
                <w:rFonts w:ascii="Calibri" w:hAnsi="Calibri"/>
                <w:b w:val="0"/>
                <w:i w:val="0"/>
                <w:sz w:val="24"/>
              </w:rPr>
              <w:t>emprestimos_v2</w:t>
            </w:r>
          </w:p>
        </w:tc>
        <w:tc>
          <w:tcPr>
            <w:tcW w:type="dxa" w:w="3135"/>
            <w:vAlign w:val="top"/>
          </w:tcPr>
          <w:p>
            <w:pPr>
              <w:spacing w:before="60" w:after="60"/>
            </w:pPr>
            <w:r/>
            <w:r>
              <w:rPr>
                <w:rFonts w:ascii="Calibri" w:hAnsi="Calibri"/>
                <w:b w:val="0"/>
                <w:i w:val="0"/>
                <w:sz w:val="24"/>
              </w:rPr>
              <w:t>AFTER UPDATE OF renewals_used</w:t>
            </w:r>
          </w:p>
        </w:tc>
      </w:tr>
      <w:tr>
        <w:tc>
          <w:tcPr>
            <w:tcW w:type="dxa" w:w="3135"/>
            <w:vAlign w:val="top"/>
          </w:tcPr>
          <w:p>
            <w:pPr>
              <w:spacing w:before="60" w:after="60"/>
            </w:pPr>
            <w:r/>
            <w:r>
              <w:rPr>
                <w:rFonts w:ascii="Calibri" w:hAnsi="Calibri"/>
                <w:b w:val="0"/>
                <w:i w:val="0"/>
                <w:sz w:val="24"/>
              </w:rPr>
              <w:t>trg_notify_reserva_workflow</w:t>
            </w:r>
          </w:p>
        </w:tc>
        <w:tc>
          <w:tcPr>
            <w:tcW w:type="dxa" w:w="3135"/>
            <w:vAlign w:val="top"/>
          </w:tcPr>
          <w:p>
            <w:pPr>
              <w:spacing w:before="60" w:after="60"/>
            </w:pPr>
            <w:r/>
            <w:r>
              <w:rPr>
                <w:rFonts w:ascii="Calibri" w:hAnsi="Calibri"/>
                <w:b w:val="0"/>
                <w:i w:val="0"/>
                <w:sz w:val="24"/>
              </w:rPr>
              <w:t>reserva_item_workflow_v2</w:t>
            </w:r>
          </w:p>
        </w:tc>
        <w:tc>
          <w:tcPr>
            <w:tcW w:type="dxa" w:w="3135"/>
            <w:vAlign w:val="top"/>
          </w:tcPr>
          <w:p>
            <w:pPr>
              <w:spacing w:before="60" w:after="60"/>
            </w:pPr>
            <w:r/>
            <w:r>
              <w:rPr>
                <w:rFonts w:ascii="Calibri" w:hAnsi="Calibri"/>
                <w:b w:val="0"/>
                <w:i w:val="0"/>
                <w:sz w:val="24"/>
              </w:rPr>
              <w:t>AFTER INSERT OR UPDATE OF workflow_stage, pickup_reply_status</w:t>
            </w:r>
          </w:p>
        </w:tc>
      </w:tr>
      <w:tr>
        <w:tc>
          <w:tcPr>
            <w:tcW w:type="dxa" w:w="3135"/>
            <w:vAlign w:val="top"/>
          </w:tcPr>
          <w:p>
            <w:pPr>
              <w:spacing w:before="60" w:after="60"/>
            </w:pPr>
            <w:r/>
            <w:r>
              <w:rPr>
                <w:rFonts w:ascii="Calibri" w:hAnsi="Calibri"/>
                <w:b w:val="0"/>
                <w:i w:val="0"/>
                <w:sz w:val="24"/>
              </w:rPr>
              <w:t>trg_notify_consulta_workflow (NOUVEAU)</w:t>
            </w:r>
          </w:p>
        </w:tc>
        <w:tc>
          <w:tcPr>
            <w:tcW w:type="dxa" w:w="3135"/>
            <w:vAlign w:val="top"/>
          </w:tcPr>
          <w:p>
            <w:pPr>
              <w:spacing w:before="60" w:after="60"/>
            </w:pPr>
            <w:r/>
            <w:r>
              <w:rPr>
                <w:rFonts w:ascii="Calibri" w:hAnsi="Calibri"/>
                <w:b w:val="0"/>
                <w:i w:val="0"/>
                <w:sz w:val="24"/>
              </w:rPr>
              <w:t>consulta_item_workflow_v2</w:t>
            </w:r>
          </w:p>
        </w:tc>
        <w:tc>
          <w:tcPr>
            <w:tcW w:type="dxa" w:w="3135"/>
            <w:vAlign w:val="top"/>
          </w:tcPr>
          <w:p>
            <w:pPr>
              <w:spacing w:before="60" w:after="60"/>
            </w:pPr>
            <w:r/>
            <w:r>
              <w:rPr>
                <w:rFonts w:ascii="Calibri" w:hAnsi="Calibri"/>
                <w:b w:val="0"/>
                <w:i w:val="0"/>
                <w:sz w:val="24"/>
              </w:rPr>
              <w:t>AFTER INSERT OR UPDATE OF workflow_stage, schedule_reply_status, consultation_starts_at, consultation_ends_at</w:t>
            </w:r>
          </w:p>
        </w:tc>
      </w:tr>
      <w:tr>
        <w:tc>
          <w:tcPr>
            <w:tcW w:type="dxa" w:w="3135"/>
            <w:vAlign w:val="top"/>
          </w:tcPr>
          <w:p>
            <w:pPr>
              <w:spacing w:before="60" w:after="60"/>
            </w:pPr>
            <w:r/>
            <w:r>
              <w:rPr>
                <w:rFonts w:ascii="Calibri" w:hAnsi="Calibri"/>
                <w:b w:val="0"/>
                <w:i w:val="0"/>
                <w:sz w:val="24"/>
              </w:rPr>
              <w:t>trg_notify_consulta_lifecycle (NOUVEAU)</w:t>
            </w:r>
          </w:p>
        </w:tc>
        <w:tc>
          <w:tcPr>
            <w:tcW w:type="dxa" w:w="3135"/>
            <w:vAlign w:val="top"/>
          </w:tcPr>
          <w:p>
            <w:pPr>
              <w:spacing w:before="60" w:after="60"/>
            </w:pPr>
            <w:r/>
            <w:r>
              <w:rPr>
                <w:rFonts w:ascii="Calibri" w:hAnsi="Calibri"/>
                <w:b w:val="0"/>
                <w:i w:val="0"/>
                <w:sz w:val="24"/>
              </w:rPr>
              <w:t>consulta_linhas_v2</w:t>
            </w:r>
          </w:p>
        </w:tc>
        <w:tc>
          <w:tcPr>
            <w:tcW w:type="dxa" w:w="3135"/>
            <w:vAlign w:val="top"/>
          </w:tcPr>
          <w:p>
            <w:pPr>
              <w:spacing w:before="60" w:after="60"/>
            </w:pPr>
            <w:r/>
            <w:r>
              <w:rPr>
                <w:rFonts w:ascii="Calibri" w:hAnsi="Calibri"/>
                <w:b w:val="0"/>
                <w:i w:val="0"/>
                <w:sz w:val="24"/>
              </w:rPr>
              <w:t>AFTER INSERT OR UPDATE OF item_status</w:t>
            </w:r>
          </w:p>
        </w:tc>
      </w:tr>
      <w:tr>
        <w:tc>
          <w:tcPr>
            <w:tcW w:type="dxa" w:w="3135"/>
            <w:vAlign w:val="top"/>
          </w:tcPr>
          <w:p>
            <w:pPr>
              <w:spacing w:before="60" w:after="60"/>
            </w:pPr>
            <w:r/>
            <w:r>
              <w:rPr>
                <w:rFonts w:ascii="Calibri" w:hAnsi="Calibri"/>
                <w:b w:val="0"/>
                <w:i w:val="0"/>
                <w:sz w:val="24"/>
              </w:rPr>
              <w:t>trg_interlibrary_loan_enqueue_notifications</w:t>
            </w:r>
          </w:p>
        </w:tc>
        <w:tc>
          <w:tcPr>
            <w:tcW w:type="dxa" w:w="3135"/>
            <w:vAlign w:val="top"/>
          </w:tcPr>
          <w:p>
            <w:pPr>
              <w:spacing w:before="60" w:after="60"/>
            </w:pPr>
            <w:r/>
            <w:r>
              <w:rPr>
                <w:rFonts w:ascii="Calibri" w:hAnsi="Calibri"/>
                <w:b w:val="0"/>
                <w:i w:val="0"/>
                <w:sz w:val="24"/>
              </w:rPr>
              <w:t>interlibrary_loans_v2</w:t>
            </w:r>
          </w:p>
        </w:tc>
        <w:tc>
          <w:tcPr>
            <w:tcW w:type="dxa" w:w="3135"/>
            <w:vAlign w:val="top"/>
          </w:tcPr>
          <w:p>
            <w:pPr>
              <w:spacing w:before="60" w:after="60"/>
            </w:pPr>
            <w:r/>
            <w:r>
              <w:rPr>
                <w:rFonts w:ascii="Calibri" w:hAnsi="Calibri"/>
                <w:b w:val="0"/>
                <w:i w:val="0"/>
                <w:sz w:val="24"/>
              </w:rPr>
              <w:t>AFTER INSERT OR UPDATE</w:t>
            </w:r>
          </w:p>
        </w:tc>
      </w:tr>
      <w:tr>
        <w:tc>
          <w:tcPr>
            <w:tcW w:type="dxa" w:w="3135"/>
            <w:vAlign w:val="top"/>
          </w:tcPr>
          <w:p>
            <w:pPr>
              <w:spacing w:before="60" w:after="60"/>
            </w:pPr>
            <w:r/>
            <w:r>
              <w:rPr>
                <w:rFonts w:ascii="Calibri" w:hAnsi="Calibri"/>
                <w:b w:val="0"/>
                <w:i w:val="0"/>
                <w:sz w:val="24"/>
              </w:rPr>
              <w:t>trg_document_permission_request_notifications</w:t>
            </w:r>
          </w:p>
        </w:tc>
        <w:tc>
          <w:tcPr>
            <w:tcW w:type="dxa" w:w="3135"/>
            <w:vAlign w:val="top"/>
          </w:tcPr>
          <w:p>
            <w:pPr>
              <w:spacing w:before="60" w:after="60"/>
            </w:pPr>
            <w:r/>
            <w:r>
              <w:rPr>
                <w:rFonts w:ascii="Calibri" w:hAnsi="Calibri"/>
                <w:b w:val="0"/>
                <w:i w:val="0"/>
                <w:sz w:val="24"/>
              </w:rPr>
              <w:t>document_permission_requests</w:t>
            </w:r>
          </w:p>
        </w:tc>
        <w:tc>
          <w:tcPr>
            <w:tcW w:type="dxa" w:w="3135"/>
            <w:vAlign w:val="top"/>
          </w:tcPr>
          <w:p>
            <w:pPr>
              <w:spacing w:before="60" w:after="60"/>
            </w:pPr>
            <w:r/>
            <w:r>
              <w:rPr>
                <w:rFonts w:ascii="Calibri" w:hAnsi="Calibri"/>
                <w:b w:val="0"/>
                <w:i w:val="0"/>
                <w:sz w:val="24"/>
              </w:rPr>
              <w:t>AFTER INSERT OR UPDATE OF status, response_note</w:t>
            </w:r>
          </w:p>
        </w:tc>
      </w:tr>
      <w:tr>
        <w:tc>
          <w:tcPr>
            <w:tcW w:type="dxa" w:w="3135"/>
            <w:vAlign w:val="top"/>
          </w:tcPr>
          <w:p>
            <w:pPr>
              <w:spacing w:before="60" w:after="60"/>
            </w:pPr>
            <w:r/>
            <w:r>
              <w:rPr>
                <w:rFonts w:ascii="Calibri" w:hAnsi="Calibri"/>
                <w:b w:val="0"/>
                <w:i w:val="0"/>
                <w:sz w:val="24"/>
              </w:rPr>
              <w:t>trg_auto_dispatch_task_invitation_outbox</w:t>
            </w:r>
          </w:p>
        </w:tc>
        <w:tc>
          <w:tcPr>
            <w:tcW w:type="dxa" w:w="3135"/>
            <w:vAlign w:val="top"/>
          </w:tcPr>
          <w:p>
            <w:pPr>
              <w:spacing w:before="60" w:after="60"/>
            </w:pPr>
            <w:r/>
            <w:r>
              <w:rPr>
                <w:rFonts w:ascii="Calibri" w:hAnsi="Calibri"/>
                <w:b w:val="0"/>
                <w:i w:val="0"/>
                <w:sz w:val="24"/>
              </w:rPr>
              <w:t>painel_internal_task_invitation_outbox</w:t>
            </w:r>
          </w:p>
        </w:tc>
        <w:tc>
          <w:tcPr>
            <w:tcW w:type="dxa" w:w="3135"/>
            <w:vAlign w:val="top"/>
          </w:tcPr>
          <w:p>
            <w:pPr>
              <w:spacing w:before="60" w:after="60"/>
            </w:pPr>
            <w:r/>
            <w:r>
              <w:rPr>
                <w:rFonts w:ascii="Calibri" w:hAnsi="Calibri"/>
                <w:b w:val="0"/>
                <w:i w:val="0"/>
                <w:sz w:val="24"/>
              </w:rPr>
              <w:t>AFTER INSERT (statement-level)</w:t>
            </w:r>
          </w:p>
        </w:tc>
      </w:tr>
      <w:tr>
        <w:tc>
          <w:tcPr>
            <w:tcW w:type="dxa" w:w="3135"/>
            <w:vAlign w:val="top"/>
          </w:tcPr>
          <w:p>
            <w:pPr>
              <w:spacing w:before="60" w:after="60"/>
            </w:pPr>
            <w:r/>
            <w:r>
              <w:rPr>
                <w:rFonts w:ascii="Calibri" w:hAnsi="Calibri"/>
                <w:b w:val="0"/>
                <w:i w:val="0"/>
                <w:sz w:val="24"/>
              </w:rPr>
              <w:t>trg_auto_dispatch_task_notification_outbox</w:t>
            </w:r>
          </w:p>
        </w:tc>
        <w:tc>
          <w:tcPr>
            <w:tcW w:type="dxa" w:w="3135"/>
            <w:vAlign w:val="top"/>
          </w:tcPr>
          <w:p>
            <w:pPr>
              <w:spacing w:before="60" w:after="60"/>
            </w:pPr>
            <w:r/>
            <w:r>
              <w:rPr>
                <w:rFonts w:ascii="Calibri" w:hAnsi="Calibri"/>
                <w:b w:val="0"/>
                <w:i w:val="0"/>
                <w:sz w:val="24"/>
              </w:rPr>
              <w:t>painel_internal_task_notification_outbox</w:t>
            </w:r>
          </w:p>
        </w:tc>
        <w:tc>
          <w:tcPr>
            <w:tcW w:type="dxa" w:w="3135"/>
            <w:vAlign w:val="top"/>
          </w:tcPr>
          <w:p>
            <w:pPr>
              <w:spacing w:before="60" w:after="60"/>
            </w:pPr>
            <w:r/>
            <w:r>
              <w:rPr>
                <w:rFonts w:ascii="Calibri" w:hAnsi="Calibri"/>
                <w:b w:val="0"/>
                <w:i w:val="0"/>
                <w:sz w:val="24"/>
              </w:rPr>
              <w:t>AFTER INSERT (statement-level)</w:t>
            </w:r>
          </w:p>
        </w:tc>
      </w:tr>
      <w:tr>
        <w:tc>
          <w:tcPr>
            <w:tcW w:type="dxa" w:w="3135"/>
            <w:vAlign w:val="top"/>
          </w:tcPr>
          <w:p>
            <w:pPr>
              <w:spacing w:before="60" w:after="60"/>
            </w:pPr>
            <w:r/>
            <w:r>
              <w:rPr>
                <w:rFonts w:ascii="Calibri" w:hAnsi="Calibri"/>
                <w:b w:val="0"/>
                <w:i w:val="0"/>
                <w:sz w:val="24"/>
              </w:rPr>
              <w:t>trg_enqueue_task_level_notifications_from_task</w:t>
            </w:r>
          </w:p>
        </w:tc>
        <w:tc>
          <w:tcPr>
            <w:tcW w:type="dxa" w:w="3135"/>
            <w:vAlign w:val="top"/>
          </w:tcPr>
          <w:p>
            <w:pPr>
              <w:spacing w:before="60" w:after="60"/>
            </w:pPr>
            <w:r/>
            <w:r>
              <w:rPr>
                <w:rFonts w:ascii="Calibri" w:hAnsi="Calibri"/>
                <w:b w:val="0"/>
                <w:i w:val="0"/>
                <w:sz w:val="24"/>
              </w:rPr>
              <w:t>painel_internal_tasks</w:t>
            </w:r>
          </w:p>
        </w:tc>
        <w:tc>
          <w:tcPr>
            <w:tcW w:type="dxa" w:w="3135"/>
            <w:vAlign w:val="top"/>
          </w:tcPr>
          <w:p>
            <w:pPr>
              <w:spacing w:before="60" w:after="60"/>
            </w:pPr>
            <w:r/>
            <w:r>
              <w:rPr>
                <w:rFonts w:ascii="Calibri" w:hAnsi="Calibri"/>
                <w:b w:val="0"/>
                <w:i w:val="0"/>
                <w:sz w:val="24"/>
              </w:rPr>
              <w:t>AFTER INSERT OR UPDATE OF due_date, priority, status, owner, owner_user_id</w:t>
            </w:r>
          </w:p>
        </w:tc>
      </w:tr>
      <w:tr>
        <w:tc>
          <w:tcPr>
            <w:tcW w:type="dxa" w:w="3135"/>
            <w:vAlign w:val="top"/>
          </w:tcPr>
          <w:p>
            <w:pPr>
              <w:spacing w:before="60" w:after="60"/>
            </w:pPr>
            <w:r/>
            <w:r>
              <w:rPr>
                <w:rFonts w:ascii="Calibri" w:hAnsi="Calibri"/>
                <w:b w:val="0"/>
                <w:i w:val="0"/>
                <w:sz w:val="24"/>
              </w:rPr>
              <w:t>trg_team_outbox_dispatch (NOUVEAU)</w:t>
            </w:r>
          </w:p>
        </w:tc>
        <w:tc>
          <w:tcPr>
            <w:tcW w:type="dxa" w:w="3135"/>
            <w:vAlign w:val="top"/>
          </w:tcPr>
          <w:p>
            <w:pPr>
              <w:spacing w:before="60" w:after="60"/>
            </w:pPr>
            <w:r/>
            <w:r>
              <w:rPr>
                <w:rFonts w:ascii="Calibri" w:hAnsi="Calibri"/>
                <w:b w:val="0"/>
                <w:i w:val="0"/>
                <w:sz w:val="24"/>
              </w:rPr>
              <w:t>team_notification_outbox</w:t>
            </w:r>
          </w:p>
        </w:tc>
        <w:tc>
          <w:tcPr>
            <w:tcW w:type="dxa" w:w="3135"/>
            <w:vAlign w:val="top"/>
          </w:tcPr>
          <w:p>
            <w:pPr>
              <w:spacing w:before="60" w:after="60"/>
            </w:pPr>
            <w:r/>
            <w:r>
              <w:rPr>
                <w:rFonts w:ascii="Calibri" w:hAnsi="Calibri"/>
                <w:b w:val="0"/>
                <w:i w:val="0"/>
                <w:sz w:val="24"/>
              </w:rPr>
              <w:t>AFTER INSERT (point de fan-out central vers EF notify-event)</w:t>
            </w:r>
          </w:p>
        </w:tc>
      </w:tr>
      <w:tr>
        <w:tc>
          <w:tcPr>
            <w:tcW w:type="dxa" w:w="3135"/>
            <w:vAlign w:val="top"/>
          </w:tcPr>
          <w:p>
            <w:pPr>
              <w:spacing w:before="60" w:after="60"/>
            </w:pPr>
            <w:r/>
            <w:r>
              <w:rPr>
                <w:rFonts w:ascii="Calibri" w:hAnsi="Calibri"/>
                <w:b w:val="0"/>
                <w:i w:val="0"/>
                <w:sz w:val="24"/>
              </w:rPr>
              <w:t>trg_lph_notify_executed (NOUVEAU)</w:t>
            </w:r>
          </w:p>
        </w:tc>
        <w:tc>
          <w:tcPr>
            <w:tcW w:type="dxa" w:w="3135"/>
            <w:vAlign w:val="top"/>
          </w:tcPr>
          <w:p>
            <w:pPr>
              <w:spacing w:before="60" w:after="60"/>
            </w:pPr>
            <w:r/>
            <w:r>
              <w:rPr>
                <w:rFonts w:ascii="Calibri" w:hAnsi="Calibri"/>
                <w:b w:val="0"/>
                <w:i w:val="0"/>
                <w:sz w:val="24"/>
              </w:rPr>
              <w:t>library_profile_history</w:t>
            </w:r>
          </w:p>
        </w:tc>
        <w:tc>
          <w:tcPr>
            <w:tcW w:type="dxa" w:w="3135"/>
            <w:vAlign w:val="top"/>
          </w:tcPr>
          <w:p>
            <w:pPr>
              <w:spacing w:before="60" w:after="60"/>
            </w:pPr>
            <w:r/>
            <w:r>
              <w:rPr>
                <w:rFonts w:ascii="Calibri" w:hAnsi="Calibri"/>
                <w:b w:val="0"/>
                <w:i w:val="0"/>
                <w:sz w:val="24"/>
              </w:rPr>
              <w:t>AFTER INSERT (notifie le résultat d'une transition de profil)</w:t>
            </w:r>
          </w:p>
        </w:tc>
      </w:tr>
      <w:tr>
        <w:tc>
          <w:tcPr>
            <w:tcW w:type="dxa" w:w="3135"/>
            <w:vAlign w:val="top"/>
          </w:tcPr>
          <w:p>
            <w:pPr>
              <w:spacing w:before="60" w:after="60"/>
            </w:pPr>
            <w:r/>
            <w:r>
              <w:rPr>
                <w:rFonts w:ascii="Calibri" w:hAnsi="Calibri"/>
                <w:b w:val="0"/>
                <w:i w:val="0"/>
                <w:sz w:val="24"/>
              </w:rPr>
              <w:t>trg_lpp_notify_lifecycle (NOUVEAU)</w:t>
            </w:r>
          </w:p>
        </w:tc>
        <w:tc>
          <w:tcPr>
            <w:tcW w:type="dxa" w:w="3135"/>
            <w:vAlign w:val="top"/>
          </w:tcPr>
          <w:p>
            <w:pPr>
              <w:spacing w:before="60" w:after="60"/>
            </w:pPr>
            <w:r/>
            <w:r>
              <w:rPr>
                <w:rFonts w:ascii="Calibri" w:hAnsi="Calibri"/>
                <w:b w:val="0"/>
                <w:i w:val="0"/>
                <w:sz w:val="24"/>
              </w:rPr>
              <w:t>library_profile_proposals</w:t>
            </w:r>
          </w:p>
        </w:tc>
        <w:tc>
          <w:tcPr>
            <w:tcW w:type="dxa" w:w="3135"/>
            <w:vAlign w:val="top"/>
          </w:tcPr>
          <w:p>
            <w:pPr>
              <w:spacing w:before="60" w:after="60"/>
            </w:pPr>
            <w:r/>
            <w:r>
              <w:rPr>
                <w:rFonts w:ascii="Calibri" w:hAnsi="Calibri"/>
                <w:b w:val="0"/>
                <w:i w:val="0"/>
                <w:sz w:val="24"/>
              </w:rPr>
              <w:t>AFTER INSERT OR UPDATE (cycle de vie des propositions de transition)</w:t>
            </w:r>
          </w:p>
        </w:tc>
      </w:tr>
      <w:tr>
        <w:tc>
          <w:tcPr>
            <w:tcW w:type="dxa" w:w="3135"/>
            <w:vAlign w:val="top"/>
          </w:tcPr>
          <w:p>
            <w:pPr>
              <w:spacing w:before="60" w:after="60"/>
            </w:pPr>
            <w:r/>
            <w:r>
              <w:rPr>
                <w:rFonts w:ascii="Calibri" w:hAnsi="Calibri"/>
                <w:b w:val="0"/>
                <w:i w:val="0"/>
                <w:sz w:val="24"/>
              </w:rPr>
              <w:t>trg_lpv_notify_cast (NOUVEAU)</w:t>
            </w:r>
          </w:p>
        </w:tc>
        <w:tc>
          <w:tcPr>
            <w:tcW w:type="dxa" w:w="3135"/>
            <w:vAlign w:val="top"/>
          </w:tcPr>
          <w:p>
            <w:pPr>
              <w:spacing w:before="60" w:after="60"/>
            </w:pPr>
            <w:r/>
            <w:r>
              <w:rPr>
                <w:rFonts w:ascii="Calibri" w:hAnsi="Calibri"/>
                <w:b w:val="0"/>
                <w:i w:val="0"/>
                <w:sz w:val="24"/>
              </w:rPr>
              <w:t>library_profile_votes</w:t>
            </w:r>
          </w:p>
        </w:tc>
        <w:tc>
          <w:tcPr>
            <w:tcW w:type="dxa" w:w="3135"/>
            <w:vAlign w:val="top"/>
          </w:tcPr>
          <w:p>
            <w:pPr>
              <w:spacing w:before="60" w:after="60"/>
            </w:pPr>
            <w:r/>
            <w:r>
              <w:rPr>
                <w:rFonts w:ascii="Calibri" w:hAnsi="Calibri"/>
                <w:b w:val="0"/>
                <w:i w:val="0"/>
                <w:sz w:val="24"/>
              </w:rPr>
              <w:t>AFTER INSERT (vote individuel sur une proposition)</w:t>
            </w:r>
          </w:p>
        </w:tc>
      </w:tr>
      <w:tr>
        <w:tc>
          <w:tcPr>
            <w:tcW w:type="dxa" w:w="3135"/>
            <w:vAlign w:val="top"/>
          </w:tcPr>
          <w:p>
            <w:pPr>
              <w:spacing w:before="60" w:after="60"/>
            </w:pPr>
            <w:r/>
            <w:r>
              <w:rPr>
                <w:rFonts w:ascii="Calibri" w:hAnsi="Calibri"/>
                <w:b w:val="0"/>
                <w:i w:val="0"/>
                <w:sz w:val="24"/>
              </w:rPr>
              <w:t>trg_check_cooptation_completion_after_vote (NOUVEAU)</w:t>
            </w:r>
          </w:p>
        </w:tc>
        <w:tc>
          <w:tcPr>
            <w:tcW w:type="dxa" w:w="3135"/>
            <w:vAlign w:val="top"/>
          </w:tcPr>
          <w:p>
            <w:pPr>
              <w:spacing w:before="60" w:after="60"/>
            </w:pPr>
            <w:r/>
            <w:r>
              <w:rPr>
                <w:rFonts w:ascii="Calibri" w:hAnsi="Calibri"/>
                <w:b w:val="0"/>
                <w:i w:val="0"/>
                <w:sz w:val="24"/>
              </w:rPr>
              <w:t>network_administrator_cooptation_votes</w:t>
            </w:r>
          </w:p>
        </w:tc>
        <w:tc>
          <w:tcPr>
            <w:tcW w:type="dxa" w:w="3135"/>
            <w:vAlign w:val="top"/>
          </w:tcPr>
          <w:p>
            <w:pPr>
              <w:spacing w:before="60" w:after="60"/>
            </w:pPr>
            <w:r/>
            <w:r>
              <w:rPr>
                <w:rFonts w:ascii="Calibri" w:hAnsi="Calibri"/>
                <w:b w:val="0"/>
                <w:i w:val="0"/>
                <w:sz w:val="24"/>
              </w:rPr>
              <w:t>AFTER INSERT OR UPDATE (déclenche la complétion de cooptation à unanimité)</w:t>
            </w:r>
          </w:p>
        </w:tc>
      </w:tr>
      <w:tr>
        <w:tc>
          <w:tcPr>
            <w:tcW w:type="dxa" w:w="3135"/>
            <w:vAlign w:val="top"/>
          </w:tcPr>
          <w:p>
            <w:pPr>
              <w:spacing w:before="60" w:after="60"/>
            </w:pPr>
            <w:r/>
            <w:r>
              <w:rPr>
                <w:rFonts w:ascii="Calibri" w:hAnsi="Calibri"/>
                <w:b w:val="0"/>
                <w:i w:val="0"/>
                <w:sz w:val="24"/>
              </w:rPr>
              <w:t>trg_cross_lib_log_critical_notification (NOUVEAU)</w:t>
            </w:r>
          </w:p>
        </w:tc>
        <w:tc>
          <w:tcPr>
            <w:tcW w:type="dxa" w:w="3135"/>
            <w:vAlign w:val="top"/>
          </w:tcPr>
          <w:p>
            <w:pPr>
              <w:spacing w:before="60" w:after="60"/>
            </w:pPr>
            <w:r/>
            <w:r>
              <w:rPr>
                <w:rFonts w:ascii="Calibri" w:hAnsi="Calibri"/>
                <w:b w:val="0"/>
                <w:i w:val="0"/>
                <w:sz w:val="24"/>
              </w:rPr>
              <w:t>network_admin_cross_library_actions_log</w:t>
            </w:r>
          </w:p>
        </w:tc>
        <w:tc>
          <w:tcPr>
            <w:tcW w:type="dxa" w:w="3135"/>
            <w:vAlign w:val="top"/>
          </w:tcPr>
          <w:p>
            <w:pPr>
              <w:spacing w:before="60" w:after="60"/>
            </w:pPr>
            <w:r/>
            <w:r>
              <w:rPr>
                <w:rFonts w:ascii="Calibri" w:hAnsi="Calibri"/>
                <w:b w:val="0"/>
                <w:i w:val="0"/>
                <w:sz w:val="24"/>
              </w:rPr>
              <w:t>AFTER INSERT (notifie les actions transverses critiques)</w:t>
            </w:r>
          </w:p>
        </w:tc>
      </w:tr>
      <w:tr>
        <w:tc>
          <w:tcPr>
            <w:tcW w:type="dxa" w:w="3135"/>
            <w:vAlign w:val="top"/>
          </w:tcPr>
          <w:p>
            <w:pPr>
              <w:spacing w:before="60" w:after="60"/>
            </w:pPr>
            <w:r/>
            <w:r>
              <w:rPr>
                <w:rFonts w:ascii="Calibri" w:hAnsi="Calibri"/>
                <w:b w:val="0"/>
                <w:i w:val="0"/>
                <w:sz w:val="24"/>
              </w:rPr>
              <w:t>trg_library_requests_notify</w:t>
            </w:r>
          </w:p>
        </w:tc>
        <w:tc>
          <w:tcPr>
            <w:tcW w:type="dxa" w:w="3135"/>
            <w:vAlign w:val="top"/>
          </w:tcPr>
          <w:p>
            <w:pPr>
              <w:spacing w:before="60" w:after="60"/>
            </w:pPr>
            <w:r/>
            <w:r>
              <w:rPr>
                <w:rFonts w:ascii="Calibri" w:hAnsi="Calibri"/>
                <w:b w:val="0"/>
                <w:i w:val="0"/>
                <w:sz w:val="24"/>
              </w:rPr>
              <w:t>library_requests</w:t>
            </w:r>
          </w:p>
        </w:tc>
        <w:tc>
          <w:tcPr>
            <w:tcW w:type="dxa" w:w="3135"/>
            <w:vAlign w:val="top"/>
          </w:tcPr>
          <w:p>
            <w:pPr>
              <w:spacing w:before="60" w:after="60"/>
            </w:pPr>
            <w:r/>
            <w:r>
              <w:rPr>
                <w:rFonts w:ascii="Calibri" w:hAnsi="Calibri"/>
                <w:b w:val="0"/>
                <w:i w:val="0"/>
                <w:sz w:val="24"/>
              </w:rPr>
              <w:t>AFTER INSERT OR UPDATE OF request_status, review_notes (déjà documenté en v13 mais à reconfirmer)</w:t>
            </w:r>
          </w:p>
        </w:tc>
      </w:tr>
    </w:tbl>
    <w:p>
      <w:pPr>
        <w:spacing w:after="160"/>
      </w:pPr>
    </w:p>
    <w:p>
      <w:pPr>
        <w:spacing w:before="0" w:after="160"/>
      </w:pPr>
      <w:r>
        <w:rPr>
          <w:rFonts w:ascii="Calibri" w:hAnsi="Calibri"/>
          <w:b w:val="0"/>
          <w:i w:val="0"/>
          <w:sz w:val="28"/>
        </w:rPr>
        <w:t>La couche notification est désormais complète à l'exception du parcours de la couche profils d'adoption en frontend (les notifications partent backend, mais l'utilisateur final n'a pas encore d'écran de suivi des transitions en cours). Le pattern team_notification_outbox (paquet D.6bis documenté) consolide un fan-out central : un INSERT unique par event, résolution side-effect dans l'Edge Function notify-event qui lit le payload library_id. Helpers symétriques : fn_team_notify_event (events team.</w:t>
      </w:r>
      <w:r>
        <w:rPr>
          <w:rFonts w:ascii="Calibri" w:hAnsi="Calibri"/>
          <w:b w:val="0"/>
          <w:i/>
          <w:sz w:val="28"/>
        </w:rPr>
        <w:t>) et fn_network_notify_event (events network.</w:t>
      </w:r>
      <w:r>
        <w:rPr>
          <w:rFonts w:ascii="Calibri" w:hAnsi="Calibri"/>
          <w:b w:val="0"/>
          <w:i w:val="0"/>
          <w:sz w:val="28"/>
        </w:rPr>
        <w:t>). Cette architecture est saine et n'est pas un goulot d'étranglement à craindre.</w:t>
      </w:r>
    </w:p>
    <w:p>
      <w:pPr>
        <w:keepNext/>
        <w:spacing w:before="480" w:after="240"/>
      </w:pPr>
      <w:r>
        <w:rPr>
          <w:rFonts w:ascii="Calibri" w:hAnsi="Calibri"/>
          <w:b/>
          <w:color w:val="1F4E79"/>
          <w:sz w:val="44"/>
        </w:rPr>
        <w:t>8. La dette d'index et de policies : remise à zéro statistique, FK à instrumenter</w:t>
      </w:r>
    </w:p>
    <w:p>
      <w:pPr>
        <w:keepNext/>
        <w:spacing w:before="360" w:after="160"/>
      </w:pPr>
      <w:r>
        <w:rPr>
          <w:rFonts w:ascii="Calibri" w:hAnsi="Calibri"/>
          <w:b/>
          <w:color w:val="2E74B5"/>
          <w:sz w:val="36"/>
        </w:rPr>
        <w:t>8.1 Indexes — la remise à zéro statistique invalide la mesure v13</w:t>
      </w:r>
    </w:p>
    <w:p>
      <w:pPr>
        <w:spacing w:before="0" w:after="160"/>
      </w:pPr>
      <w:r>
        <w:rPr>
          <w:rFonts w:ascii="Calibri" w:hAnsi="Calibri"/>
          <w:b w:val="0"/>
          <w:i w:val="0"/>
          <w:sz w:val="28"/>
        </w:rPr>
        <w:t>La v13 mesurait 210 indexes dont 88 marqués inutilisés par les advisors. La v14 mesure 384 indexes, mais tous portent idx_scan = 0 dans pg_stat_user_indexes. C'est l'effet d'un reset des statistiques qu'on peut dater des migrations massives des 18-19 mai. Cette remise à zéro ne signifie pas que les indexes sont inutiles : elle signifie qu'aucune lecture n'a été enregistrée depuis le reset. La métrique d'utilisation des indexes ne sera de nouveau lisible qu'après plusieurs semaines d'usage réel, idéalement par les bibliothèques tierces visées par le projet.</w:t>
      </w:r>
    </w:p>
    <w:p>
      <w:pPr>
        <w:spacing w:before="0" w:after="160"/>
      </w:pPr>
      <w:r>
        <w:rPr>
          <w:rFonts w:ascii="Calibri" w:hAnsi="Calibri"/>
          <w:b w:val="0"/>
          <w:i w:val="0"/>
          <w:sz w:val="28"/>
        </w:rPr>
        <w:t>Le sur-indexage observé (deux indexes trigram lourds sur mv_books_catalog_list_network_v1 à 320 ko et 456 ko, plusieurs indexes trigram sur books, plusieurs indexes GIN sur library_circulation_policy_*_metadata) reste cohérent avec l'optimisation anticipée du catalogue public. La doctrine v13 (reset des statistiques après l'arrivée d'usagers tiers pour réévaluer) s'applique toujours, simplement avec une fenêtre repoussée à juin/juillet 2026.</w:t>
      </w:r>
    </w:p>
    <w:p>
      <w:pPr>
        <w:keepNext/>
        <w:spacing w:before="360" w:after="160"/>
      </w:pPr>
      <w:r>
        <w:rPr>
          <w:rFonts w:ascii="Calibri" w:hAnsi="Calibri"/>
          <w:b/>
          <w:color w:val="2E74B5"/>
          <w:sz w:val="36"/>
        </w:rPr>
        <w:t>8.2 Clés étrangères — chantier identifiable et borné</w:t>
      </w:r>
    </w:p>
    <w:p>
      <w:pPr>
        <w:spacing w:before="0" w:after="160"/>
      </w:pPr>
      <w:r>
        <w:rPr>
          <w:rFonts w:ascii="Calibri" w:hAnsi="Calibri"/>
          <w:b w:val="0"/>
          <w:i w:val="0"/>
          <w:sz w:val="28"/>
        </w:rPr>
        <w:t>L'inventaire des clés étrangères sans index supportant compte au moins 67 entrées visibles (sur 187 FK totales). La concentration est claire : la majorité concernent des colonnes d'audit qui pointent vers auth.users (created_by, updated_by, recorded_by, actor_user_id, target_user_id, proposed_by, cancelled_by, triggered_by_user_id, changed_by, unarchived_by). Les autres concernent surtout les tables ingest (5 FK), les tables auth.</w:t>
      </w:r>
      <w:r>
        <w:rPr>
          <w:rFonts w:ascii="Calibri" w:hAnsi="Calibri"/>
          <w:b w:val="0"/>
          <w:i/>
          <w:sz w:val="28"/>
        </w:rPr>
        <w:t xml:space="preserve"> internes (5 FK), les tables storage.</w:t>
      </w:r>
      <w:r>
        <w:rPr>
          <w:rFonts w:ascii="Calibri" w:hAnsi="Calibri"/>
          <w:b w:val="0"/>
          <w:i w:val="0"/>
          <w:sz w:val="28"/>
        </w:rPr>
        <w:t xml:space="preserve"> internes (2 FK), et quelques liens fonctionnels de circulation (emprestimo_itens_v2.reserva_id_fkey, emprestimo_itens_v2.return_scheduled_by_fkey, etc.).</w:t>
      </w:r>
    </w:p>
    <w:p>
      <w:pPr>
        <w:spacing w:before="0" w:after="160"/>
      </w:pPr>
      <w:r>
        <w:rPr>
          <w:rFonts w:ascii="Calibri" w:hAnsi="Calibri"/>
          <w:b w:val="0"/>
          <w:i w:val="0"/>
          <w:sz w:val="28"/>
        </w:rPr>
        <w:t>Ces FK sans index ne posent pas problème en lecture (qui passe par le pkey du côté pointé), mais peuvent dégrader DELETE et UPDATE en cascade. C'est un risque mesurable mais pas critique. Une seule migration de génération d'indexes en lot, sur les colonnes d'audit pointant vers auth.users, traiterait à elle seule probablement 40 des 67 entrées. Effort estimé : une demi-journée de rédaction de la migration, une nuit de surveillance après application.</w:t>
      </w:r>
    </w:p>
    <w:p>
      <w:pPr>
        <w:keepNext/>
        <w:spacing w:before="360" w:after="160"/>
      </w:pPr>
      <w:r>
        <w:rPr>
          <w:rFonts w:ascii="Calibri" w:hAnsi="Calibri"/>
          <w:b/>
          <w:color w:val="2E74B5"/>
          <w:sz w:val="36"/>
        </w:rPr>
        <w:t>8.3 Policies — 144 policies sur 100 tables RLS-actives</w:t>
      </w:r>
    </w:p>
    <w:p>
      <w:pPr>
        <w:spacing w:before="0" w:after="160"/>
      </w:pPr>
      <w:r>
        <w:rPr>
          <w:rFonts w:ascii="Calibri" w:hAnsi="Calibri"/>
          <w:b w:val="0"/>
          <w:i w:val="0"/>
          <w:sz w:val="28"/>
        </w:rPr>
        <w:t>La v13 mesurait 108 policies sur 82 tables. La v14 mesure 144 policies sur ≈100 tables (toutes les tables public sauf les 7 ingest qui ne le sont pas par décision, plus auth_rate_limits qui est en RLS sans policy par décision aussi). La densité moyenne est restée stable à environ 1,4 policy par table, ce qui est cohérent avec un modèle multi-rôles (lecture pour authenticated, lecture pour anon sur certaines tables publiques, écriture pour rôles bibliothèque).</w:t>
      </w:r>
    </w:p>
    <w:p>
      <w:pPr>
        <w:spacing w:before="0" w:after="160"/>
      </w:pPr>
      <w:r>
        <w:rPr>
          <w:rFonts w:ascii="Calibri" w:hAnsi="Calibri"/>
          <w:b w:val="0"/>
          <w:i w:val="0"/>
          <w:sz w:val="28"/>
        </w:rPr>
        <w:t>Le pattern dominant des policies v14, particulièrement net pour les nouvelles couches, est le couplage à api.my_access ou à un helper fn_library_*_mode. Cette convergence est saine : elle signifie que la politique de visibilité (qui voit quoi) est centralisée dans quelques helpers SECURITY DEFINER stables, plutôt que dispersée dans chaque policy. Le coût d'évolution est ainsi maintenu bas : modifier la sémantique de can_access_catalogacao met à jour automatiquement les policies de book_drafts, author_drafts, exemplar_drafts, catalog_batches, etc.</w:t>
      </w:r>
    </w:p>
    <w:p>
      <w:pPr>
        <w:keepNext/>
        <w:spacing w:before="480" w:after="240"/>
      </w:pPr>
      <w:r>
        <w:rPr>
          <w:rFonts w:ascii="Calibri" w:hAnsi="Calibri"/>
          <w:b/>
          <w:color w:val="1F4E79"/>
          <w:sz w:val="44"/>
        </w:rPr>
        <w:t>9. Doctrine v14 : ce que la cadence d'expansion change pour la fermeture</w:t>
      </w:r>
    </w:p>
    <w:p>
      <w:pPr>
        <w:spacing w:before="0" w:after="160"/>
      </w:pPr>
      <w:r>
        <w:rPr>
          <w:rFonts w:ascii="Calibri" w:hAnsi="Calibri"/>
          <w:b w:val="0"/>
          <w:i w:val="0"/>
          <w:sz w:val="28"/>
        </w:rPr>
        <w:t>La v14 ne propose pas de doctrine de rupture. Elle ajoute trois précisions doctrinales qui découlent directement de la mesure de la cadence v13 → v14.</w:t>
      </w:r>
    </w:p>
    <w:p>
      <w:pPr>
        <w:spacing w:before="0" w:after="160"/>
      </w:pPr>
      <w:r>
        <w:rPr>
          <w:rFonts w:ascii="Calibri" w:hAnsi="Calibri"/>
          <w:b w:val="0"/>
          <w:i w:val="0"/>
          <w:sz w:val="28"/>
        </w:rPr>
        <w:t xml:space="preserve">— </w:t>
      </w:r>
      <w:r>
        <w:rPr>
          <w:rFonts w:ascii="Calibri" w:hAnsi="Calibri"/>
          <w:b/>
          <w:i w:val="0"/>
          <w:sz w:val="28"/>
        </w:rPr>
        <w:t xml:space="preserve">Précision 1 : la fermeture backend ne suffit plus. </w:t>
      </w:r>
      <w:r>
        <w:rPr>
          <w:rFonts w:ascii="Calibri" w:hAnsi="Calibri"/>
          <w:b w:val="0"/>
          <w:i w:val="0"/>
          <w:sz w:val="28"/>
        </w:rPr>
        <w:t>Le chantier consultation locale (séquence #2 v13) est désormais fermé backend. Le chantier admin réseau est livré backend ET frontend en même temps. Le chantier profils d'adoption est livré backend à 90 % mais frontend à 10 %. Cette divergence n'est pas neutre : tant qu'un chantier n'est pas accompagné en frontend, sa fermeture backend reste partielle pour les usagers réels. La doctrine v14 ajoute que toute future séquence d'exécution doit explicitement chiffrer les deux versants (backend + frontend) et ne considérer un chantier comme clos qu'à la jonction des deux. Cela ne signifie pas que les chantiers doivent attendre — la livraison incrémentale backend reste légitime — mais que la lecture chiffrée d'avancement doit refléter cette dualité.</w:t>
      </w:r>
    </w:p>
    <w:p>
      <w:pPr>
        <w:spacing w:before="0" w:after="160"/>
      </w:pPr>
      <w:r>
        <w:rPr>
          <w:rFonts w:ascii="Calibri" w:hAnsi="Calibri"/>
          <w:b w:val="0"/>
          <w:i w:val="0"/>
          <w:sz w:val="28"/>
        </w:rPr>
        <w:t xml:space="preserve">— </w:t>
      </w:r>
      <w:r>
        <w:rPr>
          <w:rFonts w:ascii="Calibri" w:hAnsi="Calibri"/>
          <w:b/>
          <w:i w:val="0"/>
          <w:sz w:val="28"/>
        </w:rPr>
        <w:t xml:space="preserve">Précision 2 : la dette SECURITY DEFINER n'est plus une dette globale, c'est une dette par famille. </w:t>
      </w:r>
      <w:r>
        <w:rPr>
          <w:rFonts w:ascii="Calibri" w:hAnsi="Calibri"/>
          <w:b w:val="0"/>
          <w:i w:val="0"/>
          <w:sz w:val="28"/>
        </w:rPr>
        <w:t>La v13 envisageait un triage fonction par fonction (146 fonctions à examiner). La v14 mesure que cette approche n'est plus tenable à 250 fonctions et qu'elle ne le sera plus jamais. La doctrine v14 propose donc un cadre nouveau : classer les fonctions SECURITY DEFINER en trois catégories (« légitime par construction », « légitime par décision politique », « dette stricte »), traiter les deux premières comme acquises et documenter leur justification, ne durcir que la troisième. À la lecture v14, la dette stricte se réduit à environ 7 items isolés plus environ 67 clés étrangères sans index — soit un chantier bornable en deux semaines.</w:t>
      </w:r>
    </w:p>
    <w:p>
      <w:pPr>
        <w:spacing w:before="0" w:after="160"/>
      </w:pPr>
      <w:r>
        <w:rPr>
          <w:rFonts w:ascii="Calibri" w:hAnsi="Calibri"/>
          <w:b w:val="0"/>
          <w:i w:val="0"/>
          <w:sz w:val="28"/>
        </w:rPr>
        <w:t xml:space="preserve">— </w:t>
      </w:r>
      <w:r>
        <w:rPr>
          <w:rFonts w:ascii="Calibri" w:hAnsi="Calibri"/>
          <w:b/>
          <w:i w:val="0"/>
          <w:sz w:val="28"/>
        </w:rPr>
        <w:t xml:space="preserve">Précision 3 : la doctrine de création d'objets backend v2 du 18 mai est désormais la norme. </w:t>
      </w:r>
      <w:r>
        <w:rPr>
          <w:rFonts w:ascii="Calibri" w:hAnsi="Calibri"/>
          <w:b w:val="0"/>
          <w:i w:val="0"/>
          <w:sz w:val="28"/>
        </w:rPr>
        <w:t>REVOKE étendu obligatoire (FROM PUBLIC, anon, authenticated, service_role) pour les fonctions privées. Triggers non-DEFINER appelant SECURITY DEFINER REVOKE-ed : patcher SECURITY DEFINER + search_path AVANT REVOKE. DO-block de vérification obligatoire. Hook git pré-commit bloque les violations (avec faux positif documenté sur SECURITY DEFINER en commentaires, à bypasser avec --no-verify). Cette doctrine est outillée et auto-vérifiée, elle ne demande plus de discipline individuelle pour être respectée. C'est l'aboutissement de la doctrine de lecture exacte v13 : la lecture exacte est devenue une exigence machine, pas seulement une exigence intellectuelle.</w:t>
      </w:r>
    </w:p>
    <w:tbl>
      <w:tblPr>
        <w:tblStyle w:val="TableGrid"/>
        <w:tblW w:type="auto" w:w="0"/>
        <w:tblLayout w:type="autofit"/>
        <w:tblLook w:firstColumn="1" w:firstRow="1" w:lastColumn="0" w:lastRow="0" w:noHBand="0" w:noVBand="1" w:val="04A0"/>
      </w:tblPr>
      <w:tblGrid>
        <w:gridCol w:w="9406"/>
      </w:tblGrid>
      <w:tr>
        <w:tc>
          <w:tcPr>
            <w:tcW w:type="dxa" w:w="9406"/>
            <w:vAlign w:val="top"/>
            <w:shd w:val="clear" w:color="auto" w:fill="D9E2F3"/>
          </w:tcPr>
          <w:p>
            <w:pPr>
              <w:spacing w:before="60" w:after="60"/>
            </w:pPr>
            <w:r/>
            <w:r>
              <w:rPr>
                <w:rFonts w:ascii="Calibri" w:hAnsi="Calibri"/>
                <w:b/>
                <w:i w:val="0"/>
                <w:sz w:val="24"/>
              </w:rPr>
              <w:t>Ajout doctrinal v14 :</w:t>
            </w:r>
            <w:r>
              <w:rPr>
                <w:rFonts w:ascii="Calibri" w:hAnsi="Calibri"/>
                <w:b/>
                <w:i w:val="0"/>
                <w:sz w:val="24"/>
              </w:rPr>
              <w:t xml:space="preserve"> le primat de la concordance backend / frontend dans toute lecture chiffrée d'achèvement. La v13 disait que toute fermeture devait s'appuyer sur la lecture exacte du backend. La v14 ajoute que toute fermeture doit également s'appuyer sur la lecture exacte du frontend qui l'accompagne. Un chantier fermé backend dont le frontend ignore les RPC n'est pas un chantier fermé pour les usagers réels — il est un chantier en attente de jonction. Cette précision doctrinale modifie l'arbitrage des priorités : la séquence frontend PEB du backlog #PEB-1 doit être traitée avant l'ouverture de tout nouveau chantier backend de circulation, et le branchement frontal des profils d'adoption avant toute extension de leurs modes.</w:t>
            </w:r>
          </w:p>
        </w:tc>
      </w:tr>
    </w:tbl>
    <w:p>
      <w:pPr>
        <w:spacing w:after="160"/>
      </w:pPr>
    </w:p>
    <w:p>
      <w:pPr>
        <w:keepNext/>
        <w:spacing w:before="480" w:after="240"/>
      </w:pPr>
      <w:r>
        <w:rPr>
          <w:rFonts w:ascii="Calibri" w:hAnsi="Calibri"/>
          <w:b/>
          <w:color w:val="1F4E79"/>
          <w:sz w:val="44"/>
        </w:rPr>
        <w:t>9. bis. Acquis doctrinaux du chantier Biblioteca (21 mai 2026)</w:t>
      </w:r>
    </w:p>
    <w:p>
      <w:pPr>
        <w:spacing w:before="0" w:after="160"/>
      </w:pPr>
      <w:r>
        <w:rPr>
          <w:rFonts w:ascii="Calibri" w:hAnsi="Calibri"/>
          <w:b w:val="0"/>
          <w:i w:val="0"/>
          <w:sz w:val="28"/>
        </w:rPr>
        <w:t>Cette section est un addendum à la v14, versé après la v14 mais avant la rédaction d’une v15 intégrante. Elle inscrit les acquis doctrinaux produits par le chantier-cadre Biblioteca, ouvert le 21 mai 2026 : un audit de parité fonctionnelle, qualitative et doctrinale de la page Biblioteca, conduit en dix étapes. Ce chantier est, par construction, un chantier de jonction backend / frontend — exactement le type d’avancement que la Précision 1 du chapitre 9 exigeait avant qu’une v15 puisse légitimement être produite. Les étapes livrées (EA-12 phase 1 notamment) réalisent la jonction frontend PEB que la formule de clôture v14 nommait comme condition. La présente section ne modifie pas la cartographie backend du corps de la v14, qui reste valide ; elle y ajoute trois acquis doctrinaux.</w:t>
      </w:r>
    </w:p>
    <w:p>
      <w:pPr>
        <w:keepNext/>
        <w:spacing w:before="480" w:after="240"/>
      </w:pPr>
      <w:r>
        <w:rPr>
          <w:rFonts w:ascii="Calibri" w:hAnsi="Calibri"/>
          <w:b/>
          <w:color w:val="1F4E79"/>
          <w:sz w:val="44"/>
        </w:rPr>
        <w:t>9. bis.1 Doctrine RPC v3 nuancée — doctrine transversale</w:t>
      </w:r>
    </w:p>
    <w:p>
      <w:pPr>
        <w:spacing w:before="0" w:after="160"/>
      </w:pPr>
      <w:r>
        <w:rPr>
          <w:rFonts w:ascii="Calibri" w:hAnsi="Calibri"/>
          <w:b w:val="0"/>
          <w:i w:val="0"/>
          <w:sz w:val="28"/>
        </w:rPr>
        <w:t>La doctrine de création d’objets backend v2 du 18 mai (chapitre 9, Précision 3) portait sur la création côté base. Le chantier Biblioteca a fait émerger une question symétrique côté frontend : quand un composant React doit-il passer par une RPC, et quand peut-il interroger la base directement ? L’audit post-chantier #150 avait laissé planer une lecture maximaliste — tout passer par RPC. La doctrine RPC v3, actée le 21 mai, la nuance et la rend opérationnelle.</w:t>
      </w:r>
    </w:p>
    <w:tbl>
      <w:tblPr>
        <w:tblStyle w:val="TableGrid"/>
        <w:tblW w:type="auto" w:w="0"/>
        <w:tblLayout w:type="autofit"/>
        <w:tblLook w:firstColumn="1" w:firstRow="1" w:lastColumn="0" w:lastRow="0" w:noHBand="0" w:noVBand="1" w:val="04A0"/>
      </w:tblPr>
      <w:tblGrid>
        <w:gridCol w:w="9406"/>
      </w:tblGrid>
      <w:tr>
        <w:tc>
          <w:tcPr>
            <w:tcW w:type="dxa" w:w="9406"/>
            <w:vAlign w:val="top"/>
            <w:shd w:val="clear" w:color="auto" w:fill="D9E2F3"/>
          </w:tcPr>
          <w:p>
            <w:pPr>
              <w:spacing w:before="60" w:after="60"/>
            </w:pPr>
            <w:r/>
            <w:r>
              <w:rPr>
                <w:rFonts w:ascii="Calibri" w:hAnsi="Calibri"/>
                <w:b/>
                <w:i w:val="0"/>
                <w:sz w:val="24"/>
              </w:rPr>
              <w:t>Doctrine RPC v3 nuancée (actée 21/05/2026).</w:t>
            </w:r>
            <w:r>
              <w:rPr>
                <w:rFonts w:ascii="Calibri" w:hAnsi="Calibri"/>
                <w:b/>
                <w:i w:val="0"/>
                <w:sz w:val="24"/>
              </w:rPr>
              <w:t xml:space="preserve"> Trois règles délimitent l’accès du frontend à la base. </w:t>
            </w:r>
            <w:r>
              <w:rPr>
                <w:rFonts w:ascii="Calibri" w:hAnsi="Calibri"/>
                <w:b/>
                <w:i w:val="0"/>
                <w:sz w:val="24"/>
              </w:rPr>
              <w:t xml:space="preserve">(1) RPC obligatoire pour les actions DB. </w:t>
            </w:r>
            <w:r>
              <w:rPr>
                <w:rFonts w:ascii="Calibri" w:hAnsi="Calibri"/>
                <w:b/>
                <w:i w:val="0"/>
                <w:sz w:val="24"/>
              </w:rPr>
              <w:t xml:space="preserve">Toute écriture (insert, update, delete), toute opération multi-tables, toute opération portant une validation métier passe impérativement par une RPC. Le frontend n’écrit jamais en base par appel direct. </w:t>
            </w:r>
            <w:r>
              <w:rPr>
                <w:rFonts w:ascii="Calibri" w:hAnsi="Calibri"/>
                <w:b/>
                <w:i w:val="0"/>
                <w:sz w:val="24"/>
              </w:rPr>
              <w:t xml:space="preserve">(2) Lecture simple autorisée en accès direct. </w:t>
            </w:r>
            <w:r>
              <w:rPr>
                <w:rFonts w:ascii="Calibri" w:hAnsi="Calibri"/>
                <w:b/>
                <w:i w:val="0"/>
                <w:sz w:val="24"/>
              </w:rPr>
              <w:t xml:space="preserve">Une lecture simple, protégée par une politique RLS, peut se faire par supabase.from() sans passer par une RPC. Alourdir les lectures triviales d’une couche RPC n’apporte aucune sécurité supplémentaire dès lors que la RLS filtre déjà. </w:t>
            </w:r>
            <w:r>
              <w:rPr>
                <w:rFonts w:ascii="Calibri" w:hAnsi="Calibri"/>
                <w:b/>
                <w:i w:val="0"/>
                <w:sz w:val="24"/>
              </w:rPr>
              <w:t xml:space="preserve">(3) Storage hors périmètre. </w:t>
            </w:r>
            <w:r>
              <w:rPr>
                <w:rFonts w:ascii="Calibri" w:hAnsi="Calibri"/>
                <w:b/>
                <w:i w:val="0"/>
                <w:sz w:val="24"/>
              </w:rPr>
              <w:t>supabase.storage.from() relève de l’API native de Storage : il est hors du périmètre de la doctrine RPC. Cette doctrine est cohérente avec l’esprit post-#150 : concentrer l’effort de sécurité sur les opérations risquées plutôt que de ritualiser un passage par RPC sur des lectures sans enjeu. Le chantier Biblioteca l’a appliquée dès EA-08, EA-05 et EA-06 : lectures de configuration en accès direct, écritures par RPC dédiée.</w:t>
            </w:r>
          </w:p>
        </w:tc>
      </w:tr>
    </w:tbl>
    <w:p>
      <w:pPr>
        <w:spacing w:after="160"/>
      </w:pPr>
    </w:p>
    <w:p>
      <w:pPr>
        <w:keepNext/>
        <w:spacing w:before="480" w:after="240"/>
      </w:pPr>
      <w:r>
        <w:rPr>
          <w:rFonts w:ascii="Calibri" w:hAnsi="Calibri"/>
          <w:b/>
          <w:color w:val="1F4E79"/>
          <w:sz w:val="44"/>
        </w:rPr>
        <w:t>9. bis.2 Deux refontes tacites actées pour la traçabilité</w:t>
      </w:r>
    </w:p>
    <w:p>
      <w:pPr>
        <w:spacing w:before="0" w:after="160"/>
      </w:pPr>
      <w:r>
        <w:rPr>
          <w:rFonts w:ascii="Calibri" w:hAnsi="Calibri"/>
          <w:b w:val="0"/>
          <w:i w:val="0"/>
          <w:sz w:val="28"/>
        </w:rPr>
        <w:t>Les deux points qui suivent ne sont pas des doctrines transversales : ce sont des décisions de produit déjà en production, validées par l’usage, mais qui n’avaient jamais été inscrites dans une spécification. Le chantier Biblioteca les a identifiées comme écarts de traçabilité (EA-04 et EA-18). Les acter ici clôt l’écart : la décision n’est plus tacite, elle est écrite.</w:t>
      </w:r>
    </w:p>
    <w:p>
      <w:pPr>
        <w:spacing w:before="0" w:after="160"/>
      </w:pPr>
      <w:r>
        <w:rPr>
          <w:rFonts w:ascii="Calibri" w:hAnsi="Calibri"/>
          <w:b/>
          <w:i w:val="0"/>
          <w:sz w:val="28"/>
        </w:rPr>
        <w:t xml:space="preserve">EA-04 — négociation symétrique des créneaux. </w:t>
      </w:r>
      <w:r>
        <w:rPr>
          <w:rFonts w:ascii="Calibri" w:hAnsi="Calibri"/>
          <w:b w:val="0"/>
          <w:i w:val="0"/>
          <w:sz w:val="28"/>
        </w:rPr>
        <w:t>Le patch du 8 mai a introduit, dans l’onglet de communication de la page Biblioteca, un paquet de négociation symétrique des créneaux : l’une et l’autre des deux bibliothèques peuvent proposer un créneau, avec un délai de réponse de 7 à 60 jours. Le HTML d’origine ne portait rien d’équivalent. C’est une refonte politique implicite — le passage d’une logique asymétrique à une logique symétrique des réservations entre bibliothèques. La décision actée : cette refonte est validée par l’usage en production ; la doctrine de symétrie des réservations est explicitée ici comme acquise.</w:t>
      </w:r>
    </w:p>
    <w:p>
      <w:pPr>
        <w:spacing w:before="0" w:after="160"/>
      </w:pPr>
      <w:r>
        <w:rPr>
          <w:rFonts w:ascii="Calibri" w:hAnsi="Calibri"/>
          <w:b/>
          <w:i w:val="0"/>
          <w:sz w:val="28"/>
        </w:rPr>
        <w:t xml:space="preserve">EA-18 — deux onglets en refonte tacite. </w:t>
      </w:r>
      <w:r>
        <w:rPr>
          <w:rFonts w:ascii="Calibri" w:hAnsi="Calibri"/>
          <w:b w:val="0"/>
          <w:i w:val="0"/>
          <w:sz w:val="28"/>
        </w:rPr>
        <w:t>Deux onglets de la page Biblioteca ont évolué sans que la spécification correspondante soit mise à jour. L’onglet identité est passé d’un paradigme de lecture à un paradigme d’édition. L’onglet de communication est passé d’une grille clé-valeur à quatre sous-sections structurées, dont le paquet 3A de négociation symétrique mentionné ci-dessus. Ces deux refontes sont validées par l’usage en production. La décision actée : elles sont inscrites ici comme « refontes validées par l’usage », en attendant leur report dans une spécification dédiée à la page Biblioteca, à créer.</w:t>
      </w:r>
    </w:p>
    <w:p>
      <w:pPr>
        <w:keepNext/>
        <w:spacing w:before="480" w:after="240"/>
      </w:pPr>
      <w:r>
        <w:rPr>
          <w:rFonts w:ascii="Calibri" w:hAnsi="Calibri"/>
          <w:b/>
          <w:color w:val="1F4E79"/>
          <w:sz w:val="44"/>
        </w:rPr>
        <w:t>9. ter. Acquis doctrinaux du chantier-cadre Painel (27 mai 2026)</w:t>
      </w:r>
    </w:p>
    <w:p>
      <w:pPr>
        <w:spacing w:before="0" w:after="160"/>
      </w:pPr>
      <w:r>
        <w:rPr>
          <w:rFonts w:ascii="Calibri" w:hAnsi="Calibri"/>
          <w:b w:val="0"/>
          <w:i/>
          <w:sz w:val="28"/>
        </w:rPr>
        <w:t>Cette section est un second addendum à la v14, versé après l'addendum v15 (chantier Biblioteca) et en symétrie de celui-ci. Elle inscrit les acquis doctrinaux produits par le chantier-cadre Painel, ouvert le 25 mai 2026 et clos sur son chantier A le 27 mai 2026. Ce second chantier-cadre réplique sur la page Painel la méthode parité fonctionnelle + qualitative + audit doctrinal posée à Biblioteca : audit de la grande page, identification d'écarts (EA-</w:t>
      </w:r>
      <w:r>
        <w:rPr>
          <w:rFonts w:ascii="Calibri" w:hAnsi="Calibri"/>
          <w:b w:val="0"/>
          <w:i w:val="0"/>
          <w:sz w:val="28"/>
        </w:rPr>
        <w:t xml:space="preserve"> et OT-</w:t>
      </w:r>
      <w:r>
        <w:rPr>
          <w:rFonts w:ascii="Calibri" w:hAnsi="Calibri"/>
          <w:b w:val="0"/>
          <w:i/>
          <w:sz w:val="28"/>
        </w:rPr>
        <w:t xml:space="preserve"> dans la nomenclature du chantier), arbitrage en amont avant tout patch, fermeture par lots. La présence de ce second chantier-cadre, conduit selon exactement la même méthode que le premier, valide la doctrine de jonction v14 comme méthode de travail répétée plutôt que comme événement isolé. La v16 ne modifie pas la cartographie backend du corps de la v14, qui reste valide ; elle y ajoute trois acquis doctrinaux propres au chantier Painel.</w:t>
      </w:r>
    </w:p>
    <w:p>
      <w:pPr>
        <w:keepNext/>
        <w:spacing w:before="480" w:after="240"/>
      </w:pPr>
      <w:r>
        <w:rPr>
          <w:rFonts w:ascii="Calibri" w:hAnsi="Calibri"/>
          <w:b/>
          <w:color w:val="1F4E79"/>
          <w:sz w:val="44"/>
        </w:rPr>
        <w:t>9. ter.1 Lecture des écarts du Painel : nature plus diffuse, méthode identique</w:t>
      </w:r>
    </w:p>
    <w:p>
      <w:pPr>
        <w:spacing w:before="0" w:after="160"/>
      </w:pPr>
      <w:r>
        <w:rPr>
          <w:rFonts w:ascii="Calibri" w:hAnsi="Calibri"/>
          <w:b w:val="0"/>
          <w:i w:val="0"/>
          <w:sz w:val="28"/>
        </w:rPr>
        <w:t>Le chantier-cadre Biblioteca avait identifié dix-neuf écarts (EA-00 à EA-18) sur une page de configuration : EA-00 portait la doctrine RPC v3 transverse, les EA-01 à EA-18 étaient principalement structurels (refontes tacites d'onglets, doubles nomenclatures, traçabilité des décisions tacites). La page Painel, à l'inverse, est une page d'action quotidienne avec un flux de travail intense : ses écarts, identifiés sous la même nomenclature (EA-01 à EA-18 + OT-1 à OT-4 + PN-1 à PN-2), sont par nature plus diffus — du vocabulaire technique affleurant à l'écran (EA-13), des messages d'erreur non harmonisés (EA-05), de la nomenclature exposée vers le lecteur (EA-09), des écarts de filtre et de tri (EA-04, EA-08), des restrictions non tracées à l'écran (EA-10, EA-12), des saisies d'identifiants manuelles (EA-02 + OT-3). Aucun de ces écarts ne réclame de refonte schéma, et aucun ne touche à la doctrine politique. La méthode est en revanche identique : pour chaque écart, un arbitrage est arrêté en amont, le périmètre d'application est borné, et le patch est délivré par sous-chantier.</w:t>
      </w:r>
    </w:p>
    <w:p>
      <w:pPr>
        <w:keepNext/>
        <w:spacing w:before="480" w:after="240"/>
      </w:pPr>
      <w:r>
        <w:rPr>
          <w:rFonts w:ascii="Calibri" w:hAnsi="Calibri"/>
          <w:b/>
          <w:color w:val="1F4E79"/>
          <w:sz w:val="44"/>
        </w:rPr>
        <w:t>9. ter.2 Fermeture du chantier A : trois écarts livrés ensemble</w:t>
      </w:r>
    </w:p>
    <w:p>
      <w:pPr>
        <w:spacing w:before="0" w:after="160"/>
      </w:pPr>
      <w:r>
        <w:rPr>
          <w:rFonts w:ascii="Calibri" w:hAnsi="Calibri"/>
          <w:b w:val="0"/>
          <w:i w:val="0"/>
          <w:sz w:val="28"/>
        </w:rPr>
        <w:t>Le chantier A du chantier-cadre Painel a été clos le 27 mai 2026 par la livraison conjointe de trois écarts en deux commits Codeberg (#728 cadrage + recensement, #729 application + locales), tous deux verts à CI.</w:t>
      </w:r>
    </w:p>
    <w:p>
      <w:pPr>
        <w:spacing w:before="0" w:after="160"/>
      </w:pPr>
      <w:r>
        <w:rPr>
          <w:rFonts w:ascii="Calibri" w:hAnsi="Calibri"/>
          <w:b w:val="0"/>
          <w:i w:val="0"/>
          <w:sz w:val="28"/>
        </w:rPr>
        <w:t xml:space="preserve">— </w:t>
      </w:r>
      <w:r>
        <w:rPr>
          <w:rFonts w:ascii="Calibri" w:hAnsi="Calibri"/>
          <w:b/>
          <w:i w:val="0"/>
          <w:sz w:val="28"/>
        </w:rPr>
        <w:t xml:space="preserve">EA-05 — Harmonisation des messages d'erreur. </w:t>
      </w:r>
      <w:r>
        <w:rPr>
          <w:rFonts w:ascii="Calibri" w:hAnsi="Calibri"/>
          <w:b w:val="0"/>
          <w:i w:val="0"/>
          <w:sz w:val="28"/>
        </w:rPr>
        <w:t>Tous les `setMsg(...)` du PanelPage (67 occurrences vérifiées) passent désormais par le mécanisme i18n unifié (`localizeError` + `apiErrors`). Aucun message en dur, aucune chaîne hardcodée résiduelle. La parité de message d'erreur entre les huit locales du projet est désormais effective sur cette page.</w:t>
      </w:r>
    </w:p>
    <w:p>
      <w:pPr>
        <w:spacing w:before="0" w:after="160"/>
      </w:pPr>
      <w:r>
        <w:rPr>
          <w:rFonts w:ascii="Calibri" w:hAnsi="Calibri"/>
          <w:b w:val="0"/>
          <w:i w:val="0"/>
          <w:sz w:val="28"/>
        </w:rPr>
        <w:t xml:space="preserve">— </w:t>
      </w:r>
      <w:r>
        <w:rPr>
          <w:rFonts w:ascii="Calibri" w:hAnsi="Calibri"/>
          <w:b/>
          <w:i w:val="0"/>
          <w:sz w:val="28"/>
        </w:rPr>
        <w:t xml:space="preserve">EA-09 — Terminologie emprestimo_id côté lecteur. </w:t>
      </w:r>
      <w:r>
        <w:rPr>
          <w:rFonts w:ascii="Calibri" w:hAnsi="Calibri"/>
          <w:b w:val="0"/>
          <w:i w:val="0"/>
          <w:sz w:val="28"/>
        </w:rPr>
        <w:t>Le PanelPage n'expose plus le préfixe technique `emprestimo_id` ni le préfixe `consulta_id` dans les libellés visibles au lecteur. Le vocabulaire arbitré (« Empréstimo no X » en pt-BR, « Prêt no X » en fr, etc.) a été déployé dans les huit locales et inscrit dans les dictionnaires WORKFLOW_LABELS et EMPRESTIMO_STATUS_LABELS du fichier.</w:t>
      </w:r>
    </w:p>
    <w:p>
      <w:pPr>
        <w:spacing w:before="0" w:after="160"/>
      </w:pPr>
      <w:r>
        <w:rPr>
          <w:rFonts w:ascii="Calibri" w:hAnsi="Calibri"/>
          <w:b w:val="0"/>
          <w:i w:val="0"/>
          <w:sz w:val="28"/>
        </w:rPr>
        <w:t xml:space="preserve">— </w:t>
      </w:r>
      <w:r>
        <w:rPr>
          <w:rFonts w:ascii="Calibri" w:hAnsi="Calibri"/>
          <w:b/>
          <w:i w:val="0"/>
          <w:sz w:val="28"/>
        </w:rPr>
        <w:t xml:space="preserve">EA-13 — Vocabulaire technique affleurant à l'écran. </w:t>
      </w:r>
      <w:r>
        <w:rPr>
          <w:rFonts w:ascii="Calibri" w:hAnsi="Calibri"/>
          <w:b w:val="0"/>
          <w:i w:val="0"/>
          <w:sz w:val="28"/>
        </w:rPr>
        <w:t>Le recensement intégral de PanelPage.jsx (2930 lignes parcourues sur ses neuf onglets) a établi quatre cas confirmés et quatre cas marginaux. Les cinq clés vocabulaire réellement utiles (`panel.stage.unknown` filet, `panel.loan.status.devolvido`, `reservation.stage.ativa`, `reservation.stage.retirada_no_show`, `consultation.stage.ativa`) ont été ajoutées aux huit locales (2 994 → 2 999 clés par locale). Les dictionnaires côté code (`WORKFLOW_LABELS`, `CONSULT_WORKFLOW`, `EMPRESTIMO_STATUS_LABELS`) ont été complétés. La `StageFilterBar` accepte désormais une prop `unknownLabel` et la propage à ses deux call-sites.</w:t>
      </w:r>
    </w:p>
    <w:p>
      <w:pPr>
        <w:spacing w:before="0" w:after="160"/>
      </w:pPr>
      <w:r>
        <w:rPr>
          <w:rFonts w:ascii="Calibri" w:hAnsi="Calibri"/>
          <w:b w:val="0"/>
          <w:i w:val="0"/>
          <w:sz w:val="28"/>
        </w:rPr>
        <w:t>Avec la clôture de ce chantier A, le chantier-cadre Painel passe en chantier B (filtres et tris : EA-04 + EA-08), puis chantier C (saisies d'identifiants), chantier D (restrictions et paiements), et chantier E (les cinq écarts lourds restants). Le chantier F documentaire (EA-06 doctrine transverse, livré ce soir au chapitre 0 du présent v16) est en cours par la rédaction même de cette v16.</w:t>
      </w:r>
    </w:p>
    <w:p>
      <w:pPr>
        <w:keepNext/>
        <w:spacing w:before="480" w:after="240"/>
      </w:pPr>
      <w:r>
        <w:rPr>
          <w:rFonts w:ascii="Calibri" w:hAnsi="Calibri"/>
          <w:b/>
          <w:color w:val="1F4E79"/>
          <w:sz w:val="44"/>
        </w:rPr>
        <w:t>9. ter.3 Le chapitre 0 comme acquis doctrinal du chantier F</w:t>
      </w:r>
    </w:p>
    <w:p>
      <w:pPr>
        <w:spacing w:before="0" w:after="160"/>
      </w:pPr>
      <w:r>
        <w:rPr>
          <w:rFonts w:ascii="Calibri" w:hAnsi="Calibri"/>
          <w:b w:val="0"/>
          <w:i w:val="0"/>
          <w:sz w:val="28"/>
        </w:rPr>
        <w:t>L'écart EA-06 (double nomenclature item_status / workflow_stage) a été arbitré non par refonte schéma mais par doctrinalisation, comme indiqué au chapitre 0. Cet arbitrage est l'acquis doctrinal principal du chantier-cadre Painel, et il dépasse en portée la page Painel elle-même : la doctrine du chapitre 0 s'applique aux réservations, aux consultations, aux emprunts, et à toute future couche métier introduite avec un cycle de vie composite. C'est le second acquis doctrinal transverse versé en Livre blanc depuis l'addendum v15 (doctrine RPC v3 nuancée du chantier Biblioteca), avec une portée comparable : les deux doctrines ne sont pas des décisions nouvelles, mais l'inscription écrite de schémas opérationnels que le projet portait sans les avoir formalisés.</w:t>
      </w:r>
    </w:p>
    <w:p>
      <w:pPr>
        <w:keepNext/>
        <w:spacing w:before="480" w:after="240"/>
      </w:pPr>
      <w:r>
        <w:rPr>
          <w:rFonts w:ascii="Calibri" w:hAnsi="Calibri"/>
          <w:b/>
          <w:color w:val="1F4E79"/>
          <w:sz w:val="44"/>
        </w:rPr>
        <w:t>9. ter.4 La leçon du dump du 27 mai : retrouver la précision sans ajouter de chantier</w:t>
      </w:r>
    </w:p>
    <w:p>
      <w:pPr>
        <w:spacing w:before="0" w:after="160"/>
      </w:pPr>
      <w:r>
        <w:rPr>
          <w:rFonts w:ascii="Calibri" w:hAnsi="Calibri"/>
          <w:b w:val="0"/>
          <w:i w:val="0"/>
          <w:sz w:val="28"/>
        </w:rPr>
        <w:t>La rédaction de la v16 a permis de retrouver l'accès au dump SQL exact que la v14 et la v15 avaient laissé de côté. Cette précision retrouvée n'a produit aucune surprise structurelle : les 104 tables, 73 vues, 380 fonctions, 247 SECURITY DEFINER, 160 policies, 78 triggers, 241 indexes explicites + ≈125 implicites, 180 clés étrangères sont exactement dans l'épaisseur attendue de la v15 (107 tables / 72 vues / 373 fonctions / 250 SD / 144 policies / 79 triggers / 384 indexes / 187 FK). Les écarts apparents sont des effets de méthode de comptage (les indexes ont été chiffrés cette fois en explicites + implicites séparément), de consolidation (3 tables fusionnées dans le chantier #153), et de progression continue (+7 fonctions, +16 policies, –1 trigger sur huit jours).</w:t>
      </w:r>
    </w:p>
    <w:tbl>
      <w:tblPr>
        <w:tblStyle w:val="TableGrid"/>
        <w:tblW w:type="auto" w:w="0"/>
        <w:tblLayout w:type="autofit"/>
        <w:tblLook w:firstColumn="1" w:firstRow="1" w:lastColumn="0" w:lastRow="0" w:noHBand="0" w:noVBand="1" w:val="04A0"/>
      </w:tblPr>
      <w:tblGrid>
        <w:gridCol w:w="9406"/>
      </w:tblGrid>
      <w:tr>
        <w:tc>
          <w:tcPr>
            <w:tcW w:type="dxa" w:w="9406"/>
            <w:vAlign w:val="top"/>
            <w:shd w:val="clear" w:color="auto" w:fill="D9E2F3"/>
          </w:tcPr>
          <w:p>
            <w:pPr>
              <w:spacing w:before="60" w:after="60"/>
            </w:pPr>
            <w:r/>
            <w:r>
              <w:rPr>
                <w:rFonts w:ascii="Calibri" w:hAnsi="Calibri"/>
                <w:b/>
                <w:i w:val="0"/>
                <w:sz w:val="24"/>
              </w:rPr>
              <w:t>Acquis doctrinal v16 (chantier-cadre Painel) :</w:t>
            </w:r>
            <w:r>
              <w:rPr>
                <w:rFonts w:ascii="Calibri" w:hAnsi="Calibri"/>
                <w:b/>
                <w:i w:val="0"/>
                <w:sz w:val="24"/>
              </w:rPr>
              <w:t xml:space="preserve"> la méthode parité fonctionnelle + qualitative + audit doctrinal, posée à Biblioteca en mai 2026, est désormais réplicable comme méthode de travail. Le second chantier-cadre Painel l'a confirmée par son ouverture, son arbitrage en amont, et la fermeture nette de son premier lot (EA-05 + EA-09 + EA-13). La stratégie d'extension de la méthode à Importações puis Catalogação (séquentielle, ≈ 6 mois calendaires au total, dont la présentation Bologna FICEDL de septembre 2026 marque une étape revendiquée plutôt qu'une deadline) reste valide. Aucune doctrine nouvelle ne s'ajoute en v16 au-delà des deux acquis du chapitre 0 et de la confirmation que la méthode tient.</w:t>
            </w:r>
          </w:p>
        </w:tc>
      </w:tr>
    </w:tbl>
    <w:p>
      <w:pPr>
        <w:spacing w:after="160"/>
      </w:pPr>
    </w:p>
    <w:p>
      <w:pPr>
        <w:keepNext/>
        <w:spacing w:before="480" w:after="240"/>
      </w:pPr>
      <w:r>
        <w:rPr>
          <w:rFonts w:ascii="Calibri" w:hAnsi="Calibri"/>
          <w:b/>
          <w:color w:val="1F4E79"/>
          <w:sz w:val="44"/>
        </w:rPr>
        <w:t>10. Ordre d'exécution impératif v14, mis à jour v16</w:t>
      </w:r>
    </w:p>
    <w:p>
      <w:pPr>
        <w:spacing w:before="0" w:after="160"/>
      </w:pPr>
      <w:r>
        <w:rPr>
          <w:rFonts w:ascii="Calibri" w:hAnsi="Calibri"/>
          <w:b w:val="0"/>
          <w:i w:val="0"/>
          <w:sz w:val="28"/>
        </w:rPr>
        <w:t>L'ordre v14 v15 v16 conserve sa colonne vertébrale et accuse trois mises à jour : la séquence #1 (jonction frontend PEB) est ré-évaluée à la lumière du chantier-cadre Biblioteca clos sur EA-12 phase 1 ; la séquence #2 (jonction profils d'adoption) reste prioritaire ; une séquence #11 nouvelle est introduite — la suite du chantier-cadre Painel, désormais piloté comme item de plein droit. Les chantiers Biblioteca et Painel chantier A sortent du tableau (acquis).</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vAlign w:val="top"/>
            <w:shd w:val="clear" w:color="auto" w:fill="D9E2F3"/>
          </w:tcPr>
          <w:p>
            <w:pPr>
              <w:spacing w:before="60" w:after="60"/>
            </w:pPr>
            <w:r/>
            <w:r>
              <w:rPr>
                <w:rFonts w:ascii="Calibri" w:hAnsi="Calibri"/>
                <w:b/>
                <w:i w:val="0"/>
                <w:sz w:val="24"/>
              </w:rPr>
              <w:t>#</w:t>
            </w:r>
          </w:p>
        </w:tc>
        <w:tc>
          <w:tcPr>
            <w:tcW w:type="dxa" w:w="2351"/>
            <w:vAlign w:val="top"/>
            <w:shd w:val="clear" w:color="auto" w:fill="D9E2F3"/>
          </w:tcPr>
          <w:p>
            <w:pPr>
              <w:spacing w:before="60" w:after="60"/>
            </w:pPr>
            <w:r/>
            <w:r>
              <w:rPr>
                <w:rFonts w:ascii="Calibri" w:hAnsi="Calibri"/>
                <w:b/>
                <w:i w:val="0"/>
                <w:sz w:val="24"/>
              </w:rPr>
              <w:t>Séquence</w:t>
            </w:r>
          </w:p>
        </w:tc>
        <w:tc>
          <w:tcPr>
            <w:tcW w:type="dxa" w:w="2351"/>
            <w:vAlign w:val="top"/>
            <w:shd w:val="clear" w:color="auto" w:fill="D9E2F3"/>
          </w:tcPr>
          <w:p>
            <w:pPr>
              <w:spacing w:before="60" w:after="60"/>
            </w:pPr>
            <w:r/>
            <w:r>
              <w:rPr>
                <w:rFonts w:ascii="Calibri" w:hAnsi="Calibri"/>
                <w:b/>
                <w:i w:val="0"/>
                <w:sz w:val="24"/>
              </w:rPr>
              <w:t>Statut v16</w:t>
            </w:r>
          </w:p>
        </w:tc>
        <w:tc>
          <w:tcPr>
            <w:tcW w:type="dxa" w:w="2351"/>
            <w:vAlign w:val="top"/>
            <w:shd w:val="clear" w:color="auto" w:fill="D9E2F3"/>
          </w:tcPr>
          <w:p>
            <w:pPr>
              <w:spacing w:before="60" w:after="60"/>
            </w:pPr>
            <w:r/>
            <w:r>
              <w:rPr>
                <w:rFonts w:ascii="Calibri" w:hAnsi="Calibri"/>
                <w:b/>
                <w:i w:val="0"/>
                <w:sz w:val="24"/>
              </w:rPr>
              <w:t>Sortie attendue / vigilance</w:t>
            </w:r>
          </w:p>
        </w:tc>
      </w:tr>
      <w:tr>
        <w:tc>
          <w:tcPr>
            <w:tcW w:type="dxa" w:w="2351"/>
            <w:vAlign w:val="top"/>
          </w:tcPr>
          <w:p>
            <w:pPr>
              <w:spacing w:before="60" w:after="60"/>
            </w:pPr>
            <w:r/>
            <w:r>
              <w:rPr>
                <w:rFonts w:ascii="Calibri" w:hAnsi="Calibri"/>
                <w:b w:val="0"/>
                <w:i w:val="0"/>
                <w:sz w:val="24"/>
              </w:rPr>
              <w:t>0</w:t>
            </w:r>
          </w:p>
        </w:tc>
        <w:tc>
          <w:tcPr>
            <w:tcW w:type="dxa" w:w="2351"/>
            <w:vAlign w:val="top"/>
          </w:tcPr>
          <w:p>
            <w:pPr>
              <w:spacing w:before="60" w:after="60"/>
            </w:pPr>
            <w:r/>
            <w:r>
              <w:rPr>
                <w:rFonts w:ascii="Calibri" w:hAnsi="Calibri"/>
                <w:b w:val="0"/>
                <w:i w:val="0"/>
                <w:sz w:val="24"/>
              </w:rPr>
              <w:t>Doctrine, sécurité, nomenclature et vocabulaire</w:t>
            </w:r>
          </w:p>
        </w:tc>
        <w:tc>
          <w:tcPr>
            <w:tcW w:type="dxa" w:w="2351"/>
            <w:vAlign w:val="top"/>
          </w:tcPr>
          <w:p>
            <w:pPr>
              <w:spacing w:before="60" w:after="60"/>
            </w:pPr>
            <w:r/>
            <w:r>
              <w:rPr>
                <w:rFonts w:ascii="Calibri" w:hAnsi="Calibri"/>
                <w:b w:val="0"/>
                <w:i w:val="0"/>
                <w:sz w:val="24"/>
              </w:rPr>
              <w:t>Renforcée par chapitre 0 v16 (item_status / workflow_stage) et doctrine RPC v3 (v15)</w:t>
            </w:r>
          </w:p>
        </w:tc>
        <w:tc>
          <w:tcPr>
            <w:tcW w:type="dxa" w:w="2351"/>
            <w:vAlign w:val="top"/>
          </w:tcPr>
          <w:p>
            <w:pPr>
              <w:spacing w:before="60" w:after="60"/>
            </w:pPr>
            <w:r/>
            <w:r>
              <w:rPr>
                <w:rFonts w:ascii="Calibri" w:hAnsi="Calibri"/>
                <w:b w:val="0"/>
                <w:i w:val="0"/>
                <w:sz w:val="24"/>
              </w:rPr>
              <w:t>Maintenir tous les invariants. Aucun pivot doctrinal rouvert.</w:t>
            </w:r>
          </w:p>
        </w:tc>
      </w:tr>
      <w:tr>
        <w:tc>
          <w:tcPr>
            <w:tcW w:type="dxa" w:w="2351"/>
            <w:vAlign w:val="top"/>
          </w:tcPr>
          <w:p>
            <w:pPr>
              <w:spacing w:before="60" w:after="60"/>
            </w:pPr>
            <w:r/>
            <w:r>
              <w:rPr>
                <w:rFonts w:ascii="Calibri" w:hAnsi="Calibri"/>
                <w:b w:val="0"/>
                <w:i w:val="0"/>
                <w:sz w:val="24"/>
              </w:rPr>
              <w:t>1</w:t>
            </w:r>
          </w:p>
        </w:tc>
        <w:tc>
          <w:tcPr>
            <w:tcW w:type="dxa" w:w="2351"/>
            <w:vAlign w:val="top"/>
          </w:tcPr>
          <w:p>
            <w:pPr>
              <w:spacing w:before="60" w:after="60"/>
            </w:pPr>
            <w:r/>
            <w:r>
              <w:rPr>
                <w:rFonts w:ascii="Calibri" w:hAnsi="Calibri"/>
                <w:b w:val="0"/>
                <w:i w:val="0"/>
                <w:sz w:val="24"/>
              </w:rPr>
              <w:t>Jonction frontend PEB (#PEB-1)</w:t>
            </w:r>
          </w:p>
        </w:tc>
        <w:tc>
          <w:tcPr>
            <w:tcW w:type="dxa" w:w="2351"/>
            <w:vAlign w:val="top"/>
          </w:tcPr>
          <w:p>
            <w:pPr>
              <w:spacing w:before="60" w:after="60"/>
            </w:pPr>
            <w:r/>
            <w:r>
              <w:rPr>
                <w:rFonts w:ascii="Calibri" w:hAnsi="Calibri"/>
                <w:b w:val="0"/>
                <w:i w:val="0"/>
                <w:sz w:val="24"/>
              </w:rPr>
              <w:t>EA-12 phase 1 du chantier Biblioteca a livré la RPC PEB en frontend. Phase 2 (4 dettes résiduelles) en attente.</w:t>
            </w:r>
          </w:p>
        </w:tc>
        <w:tc>
          <w:tcPr>
            <w:tcW w:type="dxa" w:w="2351"/>
            <w:vAlign w:val="top"/>
          </w:tcPr>
          <w:p>
            <w:pPr>
              <w:spacing w:before="60" w:after="60"/>
            </w:pPr>
            <w:r/>
            <w:r>
              <w:rPr>
                <w:rFonts w:ascii="Calibri" w:hAnsi="Calibri"/>
                <w:b w:val="0"/>
                <w:i w:val="0"/>
                <w:sz w:val="24"/>
              </w:rPr>
              <w:t>Compléter les 4 dettes résiduelles d'EA-12. ≈3-5h.</w:t>
            </w:r>
          </w:p>
        </w:tc>
      </w:tr>
      <w:tr>
        <w:tc>
          <w:tcPr>
            <w:tcW w:type="dxa" w:w="2351"/>
            <w:vAlign w:val="top"/>
          </w:tcPr>
          <w:p>
            <w:pPr>
              <w:spacing w:before="60" w:after="60"/>
            </w:pPr>
            <w:r/>
            <w:r>
              <w:rPr>
                <w:rFonts w:ascii="Calibri" w:hAnsi="Calibri"/>
                <w:b w:val="0"/>
                <w:i w:val="0"/>
                <w:sz w:val="24"/>
              </w:rPr>
              <w:t>2</w:t>
            </w:r>
          </w:p>
        </w:tc>
        <w:tc>
          <w:tcPr>
            <w:tcW w:type="dxa" w:w="2351"/>
            <w:vAlign w:val="top"/>
          </w:tcPr>
          <w:p>
            <w:pPr>
              <w:spacing w:before="60" w:after="60"/>
            </w:pPr>
            <w:r/>
            <w:r>
              <w:rPr>
                <w:rFonts w:ascii="Calibri" w:hAnsi="Calibri"/>
                <w:b w:val="0"/>
                <w:i w:val="0"/>
                <w:sz w:val="24"/>
              </w:rPr>
              <w:t>Jonction frontend profils d'adoption (paquet E + F du chantier #98)</w:t>
            </w:r>
          </w:p>
        </w:tc>
        <w:tc>
          <w:tcPr>
            <w:tcW w:type="dxa" w:w="2351"/>
            <w:vAlign w:val="top"/>
          </w:tcPr>
          <w:p>
            <w:pPr>
              <w:spacing w:before="60" w:after="60"/>
            </w:pPr>
            <w:r/>
            <w:r>
              <w:rPr>
                <w:rFonts w:ascii="Calibri" w:hAnsi="Calibri"/>
                <w:b w:val="0"/>
                <w:i w:val="0"/>
                <w:sz w:val="24"/>
              </w:rPr>
              <w:t>Prioritaire — backend livré, frontend painel adaptatif inexistant</w:t>
            </w:r>
          </w:p>
        </w:tc>
        <w:tc>
          <w:tcPr>
            <w:tcW w:type="dxa" w:w="2351"/>
            <w:vAlign w:val="top"/>
          </w:tcPr>
          <w:p>
            <w:pPr>
              <w:spacing w:before="60" w:after="60"/>
            </w:pPr>
            <w:r/>
            <w:r>
              <w:rPr>
                <w:rFonts w:ascii="Calibri" w:hAnsi="Calibri"/>
                <w:b w:val="0"/>
                <w:i w:val="0"/>
                <w:sz w:val="24"/>
              </w:rPr>
              <w:t>Rendre les onglets painel adaptatifs selon catalog_mode, circulation_mode, network_mode, governance_mode. Refondre l'onboarding pour proposer un profil par défaut. ≈5 jours.</w:t>
            </w:r>
          </w:p>
        </w:tc>
      </w:tr>
      <w:tr>
        <w:tc>
          <w:tcPr>
            <w:tcW w:type="dxa" w:w="2351"/>
            <w:vAlign w:val="top"/>
          </w:tcPr>
          <w:p>
            <w:pPr>
              <w:spacing w:before="60" w:after="60"/>
            </w:pPr>
            <w:r/>
            <w:r>
              <w:rPr>
                <w:rFonts w:ascii="Calibri" w:hAnsi="Calibri"/>
                <w:b w:val="0"/>
                <w:i w:val="0"/>
                <w:sz w:val="24"/>
              </w:rPr>
              <w:t>3</w:t>
            </w:r>
          </w:p>
        </w:tc>
        <w:tc>
          <w:tcPr>
            <w:tcW w:type="dxa" w:w="2351"/>
            <w:vAlign w:val="top"/>
          </w:tcPr>
          <w:p>
            <w:pPr>
              <w:spacing w:before="60" w:after="60"/>
            </w:pPr>
            <w:r/>
            <w:r>
              <w:rPr>
                <w:rFonts w:ascii="Calibri" w:hAnsi="Calibri"/>
                <w:b w:val="0"/>
                <w:i w:val="0"/>
                <w:sz w:val="24"/>
              </w:rPr>
              <w:t>Durcissement de la dette stricte (7 items + indexes FK)</w:t>
            </w:r>
          </w:p>
        </w:tc>
        <w:tc>
          <w:tcPr>
            <w:tcW w:type="dxa" w:w="2351"/>
            <w:vAlign w:val="top"/>
          </w:tcPr>
          <w:p>
            <w:pPr>
              <w:spacing w:before="60" w:after="60"/>
            </w:pPr>
            <w:r/>
            <w:r>
              <w:rPr>
                <w:rFonts w:ascii="Calibri" w:hAnsi="Calibri"/>
                <w:b w:val="0"/>
                <w:i w:val="0"/>
                <w:sz w:val="24"/>
              </w:rPr>
              <w:t>Bornable, planifiable en lot</w:t>
            </w:r>
          </w:p>
        </w:tc>
        <w:tc>
          <w:tcPr>
            <w:tcW w:type="dxa" w:w="2351"/>
            <w:vAlign w:val="top"/>
          </w:tcPr>
          <w:p>
            <w:pPr>
              <w:spacing w:before="60" w:after="60"/>
            </w:pPr>
            <w:r/>
            <w:r>
              <w:rPr>
                <w:rFonts w:ascii="Calibri" w:hAnsi="Calibri"/>
                <w:b w:val="0"/>
                <w:i w:val="0"/>
                <w:sz w:val="24"/>
              </w:rPr>
              <w:t>Wrapper v_active_memberships ; api.library_email_identity → INVOKER ; SET search_path sur fn_block_lph_modification ; restreindre policies SELECT sur 2 buckets storage ; clarifier statut des 5 vues v_author_alias_</w:t>
            </w:r>
            <w:r>
              <w:rPr>
                <w:rFonts w:ascii="Calibri" w:hAnsi="Calibri"/>
                <w:b w:val="0"/>
                <w:i/>
                <w:sz w:val="24"/>
              </w:rPr>
              <w:t xml:space="preserve"> et v_terra_livre_</w:t>
            </w:r>
            <w:r>
              <w:rPr>
                <w:rFonts w:ascii="Calibri" w:hAnsi="Calibri"/>
                <w:b w:val="0"/>
                <w:i w:val="0"/>
                <w:sz w:val="24"/>
              </w:rPr>
              <w:t xml:space="preserve"> ; migration d'indexes de support FK (≈67 FK).</w:t>
            </w:r>
          </w:p>
        </w:tc>
      </w:tr>
      <w:tr>
        <w:tc>
          <w:tcPr>
            <w:tcW w:type="dxa" w:w="2351"/>
            <w:vAlign w:val="top"/>
          </w:tcPr>
          <w:p>
            <w:pPr>
              <w:spacing w:before="60" w:after="60"/>
            </w:pPr>
            <w:r/>
            <w:r>
              <w:rPr>
                <w:rFonts w:ascii="Calibri" w:hAnsi="Calibri"/>
                <w:b w:val="0"/>
                <w:i w:val="0"/>
                <w:sz w:val="24"/>
              </w:rPr>
              <w:t>4</w:t>
            </w:r>
          </w:p>
        </w:tc>
        <w:tc>
          <w:tcPr>
            <w:tcW w:type="dxa" w:w="2351"/>
            <w:vAlign w:val="top"/>
          </w:tcPr>
          <w:p>
            <w:pPr>
              <w:spacing w:before="60" w:after="60"/>
            </w:pPr>
            <w:r/>
            <w:r>
              <w:rPr>
                <w:rFonts w:ascii="Calibri" w:hAnsi="Calibri"/>
                <w:b w:val="0"/>
                <w:i w:val="0"/>
                <w:sz w:val="24"/>
              </w:rPr>
              <w:t>Migration mail Brevo → Resend (#110 backlog)</w:t>
            </w:r>
          </w:p>
        </w:tc>
        <w:tc>
          <w:tcPr>
            <w:tcW w:type="dxa" w:w="2351"/>
            <w:vAlign w:val="top"/>
          </w:tcPr>
          <w:p>
            <w:pPr>
              <w:spacing w:before="60" w:after="60"/>
            </w:pPr>
            <w:r/>
            <w:r>
              <w:rPr>
                <w:rFonts w:ascii="Calibri" w:hAnsi="Calibri"/>
                <w:b w:val="0"/>
                <w:i w:val="0"/>
                <w:sz w:val="24"/>
              </w:rPr>
              <w:t>En attente, spec committed (`docs/specs/spec-migration-mail-resend.md`), implémentation à reprendre.</w:t>
            </w:r>
          </w:p>
        </w:tc>
        <w:tc>
          <w:tcPr>
            <w:tcW w:type="dxa" w:w="2351"/>
            <w:vAlign w:val="top"/>
          </w:tcPr>
          <w:p>
            <w:pPr>
              <w:spacing w:before="60" w:after="60"/>
            </w:pPr>
            <w:r/>
            <w:r>
              <w:rPr>
                <w:rFonts w:ascii="Calibri" w:hAnsi="Calibri"/>
                <w:b w:val="0"/>
                <w:i w:val="0"/>
                <w:sz w:val="24"/>
              </w:rPr>
              <w:t>Décision politique tracée (Brevo tracké via sendibt3.com inaccessible aux usagers VPN). Implémentation à reprendre après séquences #1 phase 2 et #2.</w:t>
            </w:r>
          </w:p>
        </w:tc>
      </w:tr>
      <w:tr>
        <w:tc>
          <w:tcPr>
            <w:tcW w:type="dxa" w:w="2351"/>
            <w:vAlign w:val="top"/>
          </w:tcPr>
          <w:p>
            <w:pPr>
              <w:spacing w:before="60" w:after="60"/>
            </w:pPr>
            <w:r/>
            <w:r>
              <w:rPr>
                <w:rFonts w:ascii="Calibri" w:hAnsi="Calibri"/>
                <w:b w:val="0"/>
                <w:i w:val="0"/>
                <w:sz w:val="24"/>
              </w:rPr>
              <w:t>5</w:t>
            </w:r>
          </w:p>
        </w:tc>
        <w:tc>
          <w:tcPr>
            <w:tcW w:type="dxa" w:w="2351"/>
            <w:vAlign w:val="top"/>
          </w:tcPr>
          <w:p>
            <w:pPr>
              <w:spacing w:before="60" w:after="60"/>
            </w:pPr>
            <w:r/>
            <w:r>
              <w:rPr>
                <w:rFonts w:ascii="Calibri" w:hAnsi="Calibri"/>
                <w:b w:val="0"/>
                <w:i w:val="0"/>
                <w:sz w:val="24"/>
              </w:rPr>
              <w:t>Gestion cotisations frontend (#33 backlog)</w:t>
            </w:r>
          </w:p>
        </w:tc>
        <w:tc>
          <w:tcPr>
            <w:tcW w:type="dxa" w:w="2351"/>
            <w:vAlign w:val="top"/>
          </w:tcPr>
          <w:p>
            <w:pPr>
              <w:spacing w:before="60" w:after="60"/>
            </w:pPr>
            <w:r/>
            <w:r>
              <w:rPr>
                <w:rFonts w:ascii="Calibri" w:hAnsi="Calibri"/>
                <w:b w:val="0"/>
                <w:i w:val="0"/>
                <w:sz w:val="24"/>
              </w:rPr>
              <w:t>Backend prêt, frontend à compléter</w:t>
            </w:r>
          </w:p>
        </w:tc>
        <w:tc>
          <w:tcPr>
            <w:tcW w:type="dxa" w:w="2351"/>
            <w:vAlign w:val="top"/>
          </w:tcPr>
          <w:p>
            <w:pPr>
              <w:spacing w:before="60" w:after="60"/>
            </w:pPr>
            <w:r/>
            <w:r>
              <w:rPr>
                <w:rFonts w:ascii="Calibri" w:hAnsi="Calibri"/>
                <w:b w:val="0"/>
                <w:i w:val="0"/>
                <w:sz w:val="24"/>
              </w:rPr>
              <w:t>Composant TeamPanel à enrichir, parcours lecteur·rice·x à exposer.</w:t>
            </w:r>
          </w:p>
        </w:tc>
      </w:tr>
      <w:tr>
        <w:tc>
          <w:tcPr>
            <w:tcW w:type="dxa" w:w="2351"/>
            <w:vAlign w:val="top"/>
          </w:tcPr>
          <w:p>
            <w:pPr>
              <w:spacing w:before="60" w:after="60"/>
            </w:pPr>
            <w:r/>
            <w:r>
              <w:rPr>
                <w:rFonts w:ascii="Calibri" w:hAnsi="Calibri"/>
                <w:b w:val="0"/>
                <w:i w:val="0"/>
                <w:sz w:val="24"/>
              </w:rPr>
              <w:t>6</w:t>
            </w:r>
          </w:p>
        </w:tc>
        <w:tc>
          <w:tcPr>
            <w:tcW w:type="dxa" w:w="2351"/>
            <w:vAlign w:val="top"/>
          </w:tcPr>
          <w:p>
            <w:pPr>
              <w:spacing w:before="60" w:after="60"/>
            </w:pPr>
            <w:r/>
            <w:r>
              <w:rPr>
                <w:rFonts w:ascii="Calibri" w:hAnsi="Calibri"/>
                <w:b w:val="0"/>
                <w:i w:val="0"/>
                <w:sz w:val="24"/>
              </w:rPr>
              <w:t>Onboarding CIRA Marseille (#36 backlog)</w:t>
            </w:r>
          </w:p>
        </w:tc>
        <w:tc>
          <w:tcPr>
            <w:tcW w:type="dxa" w:w="2351"/>
            <w:vAlign w:val="top"/>
          </w:tcPr>
          <w:p>
            <w:pPr>
              <w:spacing w:before="60" w:after="60"/>
            </w:pPr>
            <w:r/>
            <w:r>
              <w:rPr>
                <w:rFonts w:ascii="Calibri" w:hAnsi="Calibri"/>
                <w:b w:val="0"/>
                <w:i w:val="0"/>
                <w:sz w:val="24"/>
              </w:rPr>
              <w:t>Conditionné par #1 phase 2, #2 et #4</w:t>
            </w:r>
          </w:p>
        </w:tc>
        <w:tc>
          <w:tcPr>
            <w:tcW w:type="dxa" w:w="2351"/>
            <w:vAlign w:val="top"/>
          </w:tcPr>
          <w:p>
            <w:pPr>
              <w:spacing w:before="60" w:after="60"/>
            </w:pPr>
            <w:r/>
            <w:r>
              <w:rPr>
                <w:rFonts w:ascii="Calibri" w:hAnsi="Calibri"/>
                <w:b w:val="0"/>
                <w:i w:val="0"/>
                <w:sz w:val="24"/>
              </w:rPr>
              <w:t>Première bibliothèque tierce à activer après fermeture des trois séquences précédentes.</w:t>
            </w:r>
          </w:p>
        </w:tc>
      </w:tr>
      <w:tr>
        <w:tc>
          <w:tcPr>
            <w:tcW w:type="dxa" w:w="2351"/>
            <w:vAlign w:val="top"/>
          </w:tcPr>
          <w:p>
            <w:pPr>
              <w:spacing w:before="60" w:after="60"/>
            </w:pPr>
            <w:r/>
            <w:r>
              <w:rPr>
                <w:rFonts w:ascii="Calibri" w:hAnsi="Calibri"/>
                <w:b w:val="0"/>
                <w:i w:val="0"/>
                <w:sz w:val="24"/>
              </w:rPr>
              <w:t>7</w:t>
            </w:r>
          </w:p>
        </w:tc>
        <w:tc>
          <w:tcPr>
            <w:tcW w:type="dxa" w:w="2351"/>
            <w:vAlign w:val="top"/>
          </w:tcPr>
          <w:p>
            <w:pPr>
              <w:spacing w:before="60" w:after="60"/>
            </w:pPr>
            <w:r/>
            <w:r>
              <w:rPr>
                <w:rFonts w:ascii="Calibri" w:hAnsi="Calibri"/>
                <w:b w:val="0"/>
                <w:i w:val="0"/>
                <w:sz w:val="24"/>
              </w:rPr>
              <w:t>RBAC catalogação (#79 backlog, 12 sous-items)</w:t>
            </w:r>
          </w:p>
        </w:tc>
        <w:tc>
          <w:tcPr>
            <w:tcW w:type="dxa" w:w="2351"/>
            <w:vAlign w:val="top"/>
          </w:tcPr>
          <w:p>
            <w:pPr>
              <w:spacing w:before="60" w:after="60"/>
            </w:pPr>
            <w:r/>
            <w:r>
              <w:rPr>
                <w:rFonts w:ascii="Calibri" w:hAnsi="Calibri"/>
                <w:b w:val="0"/>
                <w:i w:val="0"/>
                <w:sz w:val="24"/>
              </w:rPr>
              <w:t>Non urgent</w:t>
            </w:r>
          </w:p>
        </w:tc>
        <w:tc>
          <w:tcPr>
            <w:tcW w:type="dxa" w:w="2351"/>
            <w:vAlign w:val="top"/>
          </w:tcPr>
          <w:p>
            <w:pPr>
              <w:spacing w:before="60" w:after="60"/>
            </w:pPr>
            <w:r/>
            <w:r>
              <w:rPr>
                <w:rFonts w:ascii="Calibri" w:hAnsi="Calibri"/>
                <w:b w:val="0"/>
                <w:i w:val="0"/>
                <w:sz w:val="24"/>
              </w:rPr>
              <w:t>Granularité de rôle dans la catalogação. Conserver SECURITY DEFINER, ajouter contrôles fins en début de fonction.</w:t>
            </w:r>
          </w:p>
        </w:tc>
      </w:tr>
      <w:tr>
        <w:tc>
          <w:tcPr>
            <w:tcW w:type="dxa" w:w="2351"/>
            <w:vAlign w:val="top"/>
          </w:tcPr>
          <w:p>
            <w:pPr>
              <w:spacing w:before="60" w:after="60"/>
            </w:pPr>
            <w:r/>
            <w:r>
              <w:rPr>
                <w:rFonts w:ascii="Calibri" w:hAnsi="Calibri"/>
                <w:b w:val="0"/>
                <w:i w:val="0"/>
                <w:sz w:val="24"/>
              </w:rPr>
              <w:t>8</w:t>
            </w:r>
          </w:p>
        </w:tc>
        <w:tc>
          <w:tcPr>
            <w:tcW w:type="dxa" w:w="2351"/>
            <w:vAlign w:val="top"/>
          </w:tcPr>
          <w:p>
            <w:pPr>
              <w:spacing w:before="60" w:after="60"/>
            </w:pPr>
            <w:r/>
            <w:r>
              <w:rPr>
                <w:rFonts w:ascii="Calibri" w:hAnsi="Calibri"/>
                <w:b w:val="0"/>
                <w:i w:val="0"/>
                <w:sz w:val="24"/>
              </w:rPr>
              <w:t>Audit i18n des 6 8 locales</w:t>
            </w:r>
          </w:p>
        </w:tc>
        <w:tc>
          <w:tcPr>
            <w:tcW w:type="dxa" w:w="2351"/>
            <w:vAlign w:val="top"/>
          </w:tcPr>
          <w:p>
            <w:pPr>
              <w:spacing w:before="60" w:after="60"/>
            </w:pPr>
            <w:r/>
            <w:r>
              <w:rPr>
                <w:rFonts w:ascii="Calibri" w:hAnsi="Calibri"/>
                <w:b w:val="0"/>
                <w:i w:val="0"/>
                <w:sz w:val="24"/>
              </w:rPr>
              <w:t>Permanent</w:t>
            </w:r>
          </w:p>
        </w:tc>
        <w:tc>
          <w:tcPr>
            <w:tcW w:type="dxa" w:w="2351"/>
            <w:vAlign w:val="top"/>
          </w:tcPr>
          <w:p>
            <w:pPr>
              <w:spacing w:before="60" w:after="60"/>
            </w:pPr>
            <w:r/>
            <w:r>
              <w:rPr>
                <w:rFonts w:ascii="Calibri" w:hAnsi="Calibri"/>
                <w:b w:val="0"/>
                <w:i w:val="0"/>
                <w:sz w:val="24"/>
              </w:rPr>
              <w:t>Vérifier que les 360 strings militantes du chantier B.3 (consultation), les ≈360 strings du chantier transitions profils et les 5 clés ajoutées au chantier A du Painel sont complètes sur les 8 locales. Recensement EA-13 a confirmé la parité 2999 clés/locale au 27/05.</w:t>
            </w:r>
          </w:p>
        </w:tc>
      </w:tr>
      <w:tr>
        <w:tc>
          <w:tcPr>
            <w:tcW w:type="dxa" w:w="2351"/>
            <w:vAlign w:val="top"/>
          </w:tcPr>
          <w:p>
            <w:pPr>
              <w:spacing w:before="60" w:after="60"/>
            </w:pPr>
            <w:r/>
            <w:r>
              <w:rPr>
                <w:rFonts w:ascii="Calibri" w:hAnsi="Calibri"/>
                <w:b w:val="0"/>
                <w:i w:val="0"/>
                <w:sz w:val="24"/>
              </w:rPr>
              <w:t>9</w:t>
            </w:r>
          </w:p>
        </w:tc>
        <w:tc>
          <w:tcPr>
            <w:tcW w:type="dxa" w:w="2351"/>
            <w:vAlign w:val="top"/>
          </w:tcPr>
          <w:p>
            <w:pPr>
              <w:spacing w:before="60" w:after="60"/>
            </w:pPr>
            <w:r/>
            <w:r>
              <w:rPr>
                <w:rFonts w:ascii="Calibri" w:hAnsi="Calibri"/>
                <w:b w:val="0"/>
                <w:i w:val="0"/>
                <w:sz w:val="24"/>
              </w:rPr>
              <w:t>Préparation pilotée des imports partenaires et lot pilote BTL</w:t>
            </w:r>
          </w:p>
        </w:tc>
        <w:tc>
          <w:tcPr>
            <w:tcW w:type="dxa" w:w="2351"/>
            <w:vAlign w:val="top"/>
          </w:tcPr>
          <w:p>
            <w:pPr>
              <w:spacing w:before="60" w:after="60"/>
            </w:pPr>
            <w:r/>
            <w:r>
              <w:rPr>
                <w:rFonts w:ascii="Calibri" w:hAnsi="Calibri"/>
                <w:b w:val="0"/>
                <w:i w:val="0"/>
                <w:sz w:val="24"/>
              </w:rPr>
              <w:t>Reste conditionnelle</w:t>
            </w:r>
          </w:p>
        </w:tc>
        <w:tc>
          <w:tcPr>
            <w:tcW w:type="dxa" w:w="2351"/>
            <w:vAlign w:val="top"/>
          </w:tcPr>
          <w:p>
            <w:pPr>
              <w:spacing w:before="60" w:after="60"/>
            </w:pPr>
            <w:r/>
            <w:r>
              <w:rPr>
                <w:rFonts w:ascii="Calibri" w:hAnsi="Calibri"/>
                <w:b w:val="0"/>
                <w:i w:val="0"/>
                <w:sz w:val="24"/>
              </w:rPr>
              <w:t>Avancer sur base de contrats stables, sans confondre import et fédération.</w:t>
            </w:r>
          </w:p>
        </w:tc>
      </w:tr>
      <w:tr>
        <w:tc>
          <w:tcPr>
            <w:tcW w:type="dxa" w:w="2351"/>
            <w:vAlign w:val="top"/>
          </w:tcPr>
          <w:p>
            <w:pPr>
              <w:spacing w:before="60" w:after="60"/>
            </w:pPr>
            <w:r/>
            <w:r>
              <w:rPr>
                <w:rFonts w:ascii="Calibri" w:hAnsi="Calibri"/>
                <w:b w:val="0"/>
                <w:i w:val="0"/>
                <w:sz w:val="24"/>
              </w:rPr>
              <w:t>10</w:t>
            </w:r>
          </w:p>
        </w:tc>
        <w:tc>
          <w:tcPr>
            <w:tcW w:type="dxa" w:w="2351"/>
            <w:vAlign w:val="top"/>
          </w:tcPr>
          <w:p>
            <w:pPr>
              <w:spacing w:before="60" w:after="60"/>
            </w:pPr>
            <w:r/>
            <w:r>
              <w:rPr>
                <w:rFonts w:ascii="Calibri" w:hAnsi="Calibri"/>
                <w:b w:val="0"/>
                <w:i w:val="0"/>
                <w:sz w:val="24"/>
              </w:rPr>
              <w:t>Diffusion multilingue et adoption élargie</w:t>
            </w:r>
          </w:p>
        </w:tc>
        <w:tc>
          <w:tcPr>
            <w:tcW w:type="dxa" w:w="2351"/>
            <w:vAlign w:val="top"/>
          </w:tcPr>
          <w:p>
            <w:pPr>
              <w:spacing w:before="60" w:after="60"/>
            </w:pPr>
            <w:r/>
            <w:r>
              <w:rPr>
                <w:rFonts w:ascii="Calibri" w:hAnsi="Calibri"/>
                <w:b w:val="0"/>
                <w:i w:val="0"/>
                <w:sz w:val="24"/>
              </w:rPr>
              <w:t>Activable après #6</w:t>
            </w:r>
          </w:p>
        </w:tc>
        <w:tc>
          <w:tcPr>
            <w:tcW w:type="dxa" w:w="2351"/>
            <w:vAlign w:val="top"/>
          </w:tcPr>
          <w:p>
            <w:pPr>
              <w:spacing w:before="60" w:after="60"/>
            </w:pPr>
            <w:r/>
            <w:r>
              <w:rPr>
                <w:rFonts w:ascii="Calibri" w:hAnsi="Calibri"/>
                <w:b w:val="0"/>
                <w:i w:val="0"/>
                <w:sz w:val="24"/>
              </w:rPr>
              <w:t>Compléter les strings manquantes, retirer les orphelines, rétablir la parité pt-BR.</w:t>
            </w:r>
          </w:p>
        </w:tc>
      </w:tr>
      <w:tr>
        <w:tc>
          <w:tcPr>
            <w:tcW w:type="dxa" w:w="2351"/>
            <w:vAlign w:val="top"/>
          </w:tcPr>
          <w:p>
            <w:pPr>
              <w:spacing w:before="60" w:after="60"/>
            </w:pPr>
            <w:r/>
            <w:r>
              <w:rPr>
                <w:rFonts w:ascii="Calibri" w:hAnsi="Calibri"/>
                <w:b w:val="0"/>
                <w:i w:val="0"/>
                <w:sz w:val="24"/>
              </w:rPr>
              <w:t>11 (NOUVEAU v16)</w:t>
            </w:r>
          </w:p>
        </w:tc>
        <w:tc>
          <w:tcPr>
            <w:tcW w:type="dxa" w:w="2351"/>
            <w:vAlign w:val="top"/>
          </w:tcPr>
          <w:p>
            <w:pPr>
              <w:spacing w:before="60" w:after="60"/>
            </w:pPr>
            <w:r/>
            <w:r>
              <w:rPr>
                <w:rFonts w:ascii="Calibri" w:hAnsi="Calibri"/>
                <w:b w:val="0"/>
                <w:i w:val="0"/>
                <w:sz w:val="24"/>
              </w:rPr>
              <w:t>Suite du chantier-cadre Painel</w:t>
            </w:r>
          </w:p>
        </w:tc>
        <w:tc>
          <w:tcPr>
            <w:tcW w:type="dxa" w:w="2351"/>
            <w:vAlign w:val="top"/>
          </w:tcPr>
          <w:p>
            <w:pPr>
              <w:spacing w:before="60" w:after="60"/>
            </w:pPr>
            <w:r/>
            <w:r>
              <w:rPr>
                <w:rFonts w:ascii="Calibri" w:hAnsi="Calibri"/>
                <w:b w:val="0"/>
                <w:i w:val="0"/>
                <w:sz w:val="24"/>
              </w:rPr>
              <w:t>Chantier A clos (EA-05 + EA-09 + EA-13), chantier B à C à D à E ouverts en séquence</w:t>
            </w:r>
          </w:p>
        </w:tc>
        <w:tc>
          <w:tcPr>
            <w:tcW w:type="dxa" w:w="2351"/>
            <w:vAlign w:val="top"/>
          </w:tcPr>
          <w:p>
            <w:pPr>
              <w:spacing w:before="60" w:after="60"/>
            </w:pPr>
            <w:r/>
            <w:r>
              <w:rPr>
                <w:rFonts w:ascii="Calibri" w:hAnsi="Calibri"/>
                <w:b w:val="0"/>
                <w:i w:val="0"/>
                <w:sz w:val="24"/>
              </w:rPr>
              <w:t>Suite des écarts EA-04 + EA-08 (chantier B : filtres et tris), EA-02 + OT-3 (chantier C : saisies), EA-10 + EA-12 (chantier D : restrictions et paiements), EA-01 + EA-07 + OT-1 + OT-2 + OT-4 (chantier E : écarts lourds), EA-03 + EA-11 + EA-14 (mineurs/cosmétiques hors séquence), PN-1 et PN-2 (hors séquence). Estimation ≈10-15 jours étalés.</w:t>
            </w:r>
          </w:p>
        </w:tc>
      </w:tr>
    </w:tbl>
    <w:p>
      <w:pPr>
        <w:spacing w:after="160"/>
      </w:pPr>
    </w:p>
    <w:p>
      <w:pPr>
        <w:keepNext/>
        <w:spacing w:before="480" w:after="240"/>
      </w:pPr>
      <w:r>
        <w:rPr>
          <w:rFonts w:ascii="Calibri" w:hAnsi="Calibri"/>
          <w:b/>
          <w:color w:val="1F4E79"/>
          <w:sz w:val="44"/>
        </w:rPr>
        <w:t>11. Registre des invariants, lignes rouges et arbitrages</w:t>
      </w:r>
    </w:p>
    <w:p>
      <w:pPr>
        <w:spacing w:before="0" w:after="160"/>
      </w:pPr>
      <w:r>
        <w:rPr>
          <w:rFonts w:ascii="Calibri" w:hAnsi="Calibri"/>
          <w:b w:val="0"/>
          <w:i w:val="0"/>
          <w:sz w:val="28"/>
        </w:rPr>
        <w:t>La v16 ne lève aucune ligne rouge. Elle ne propose pas de ligne rouge nouvelle au-delà des deux ajoutées en v14 et de l'inscription doctrinale du chapitre 0 v16.</w:t>
      </w:r>
    </w:p>
    <w:p>
      <w:pPr>
        <w:keepNext/>
        <w:spacing w:before="240" w:after="120"/>
      </w:pPr>
      <w:r>
        <w:rPr>
          <w:rFonts w:ascii="Calibri" w:hAnsi="Calibri"/>
          <w:b/>
          <w:i/>
          <w:color w:val="5B9BD5"/>
          <w:sz w:val="30"/>
        </w:rPr>
        <w:t>Lignes rouges maintenues (v13 + v14 + v16)</w:t>
      </w:r>
    </w:p>
    <w:p>
      <w:pPr>
        <w:spacing w:before="0" w:after="160"/>
      </w:pPr>
      <w:r>
        <w:rPr>
          <w:rFonts w:ascii="Calibri" w:hAnsi="Calibri"/>
          <w:b w:val="0"/>
          <w:i w:val="0"/>
          <w:sz w:val="28"/>
        </w:rPr>
        <w:t>— Patchs minimaux, localisés, réversibles, à partir des fichiers canoniques exacts.</w:t>
      </w:r>
    </w:p>
    <w:p>
      <w:pPr>
        <w:spacing w:before="0" w:after="160"/>
      </w:pPr>
      <w:r>
        <w:rPr>
          <w:rFonts w:ascii="Calibri" w:hAnsi="Calibri"/>
          <w:b w:val="0"/>
          <w:i w:val="0"/>
          <w:sz w:val="28"/>
        </w:rPr>
        <w:t>— Pas de logique localiste sous habillage réseau.</w:t>
      </w:r>
    </w:p>
    <w:p>
      <w:pPr>
        <w:spacing w:before="0" w:after="160"/>
      </w:pPr>
      <w:r>
        <w:rPr>
          <w:rFonts w:ascii="Calibri" w:hAnsi="Calibri"/>
          <w:b w:val="0"/>
          <w:i w:val="0"/>
          <w:sz w:val="28"/>
        </w:rPr>
        <w:t>— Pas de confusion entre matérialisation et fermeture de couche.</w:t>
      </w:r>
    </w:p>
    <w:p>
      <w:pPr>
        <w:spacing w:before="0" w:after="160"/>
      </w:pPr>
      <w:r>
        <w:rPr>
          <w:rFonts w:ascii="Calibri" w:hAnsi="Calibri"/>
          <w:b w:val="0"/>
          <w:i w:val="0"/>
          <w:sz w:val="28"/>
        </w:rPr>
        <w:t>— Pas de confusion entre montée du parc Edge Functions et fermeture de la refonte mails.</w:t>
      </w:r>
    </w:p>
    <w:p>
      <w:pPr>
        <w:spacing w:before="0" w:after="160"/>
      </w:pPr>
      <w:r>
        <w:rPr>
          <w:rFonts w:ascii="Calibri" w:hAnsi="Calibri"/>
          <w:b w:val="0"/>
          <w:i w:val="0"/>
          <w:sz w:val="28"/>
        </w:rPr>
        <w:t>— Pas de catalogação absorbant silencieusement la complexité réseau.</w:t>
      </w:r>
    </w:p>
    <w:p>
      <w:pPr>
        <w:spacing w:before="0" w:after="160"/>
      </w:pPr>
      <w:r>
        <w:rPr>
          <w:rFonts w:ascii="Calibri" w:hAnsi="Calibri"/>
          <w:b w:val="0"/>
          <w:i w:val="0"/>
          <w:sz w:val="28"/>
        </w:rPr>
        <w:t>— Aucune migration sans palier réversible.</w:t>
      </w:r>
    </w:p>
    <w:p>
      <w:pPr>
        <w:spacing w:before="0" w:after="160"/>
      </w:pPr>
      <w:r>
        <w:rPr>
          <w:rFonts w:ascii="Calibri" w:hAnsi="Calibri"/>
          <w:b w:val="0"/>
          <w:i w:val="0"/>
          <w:sz w:val="28"/>
        </w:rPr>
        <w:t>— Aucun déploiement Edge Function non rétro-compatible.</w:t>
      </w:r>
    </w:p>
    <w:p>
      <w:pPr>
        <w:spacing w:before="0" w:after="160"/>
      </w:pPr>
      <w:r>
        <w:rPr>
          <w:rFonts w:ascii="Calibri" w:hAnsi="Calibri"/>
          <w:b w:val="0"/>
          <w:i w:val="0"/>
          <w:sz w:val="28"/>
        </w:rPr>
        <w:t xml:space="preserve">— Aucun chantier nouveau ouvert au prétexte que le système est encore observé seul. </w:t>
      </w:r>
      <w:r>
        <w:rPr>
          <w:rFonts w:ascii="Calibri" w:hAnsi="Calibri"/>
          <w:b/>
          <w:i w:val="0"/>
          <w:sz w:val="28"/>
        </w:rPr>
        <w:t xml:space="preserve">Précision v16 : </w:t>
      </w:r>
      <w:r>
        <w:rPr>
          <w:rFonts w:ascii="Calibri" w:hAnsi="Calibri"/>
          <w:b w:val="0"/>
          <w:i w:val="0"/>
          <w:sz w:val="28"/>
        </w:rPr>
        <w:t>les chantiers-cadres (Biblioteca, Painel, à venir Importações et Catalogação) ne sont pas considérés comme chantiers nouveaux mais comme suites de la méthode d'audit par parité doctrinale, dont la légitimité est posée depuis le 21 mai 2026.</w:t>
      </w:r>
    </w:p>
    <w:p>
      <w:pPr>
        <w:spacing w:before="0" w:after="160"/>
      </w:pPr>
      <w:r>
        <w:rPr>
          <w:rFonts w:ascii="Calibri" w:hAnsi="Calibri"/>
          <w:b w:val="0"/>
          <w:i w:val="0"/>
          <w:sz w:val="28"/>
        </w:rPr>
        <w:t>— Aucune décision d'infrastructure sans lecture politique.</w:t>
      </w:r>
    </w:p>
    <w:p>
      <w:pPr>
        <w:spacing w:before="0" w:after="160"/>
      </w:pPr>
      <w:r>
        <w:rPr>
          <w:rFonts w:ascii="Calibri" w:hAnsi="Calibri"/>
          <w:b w:val="0"/>
          <w:i w:val="0"/>
          <w:sz w:val="28"/>
        </w:rPr>
        <w:t xml:space="preserve">— Aucune chaîne de texte hardcodée ajoutée, dans aucune langue. </w:t>
      </w:r>
      <w:r>
        <w:rPr>
          <w:rFonts w:ascii="Calibri" w:hAnsi="Calibri"/>
          <w:b/>
          <w:i w:val="0"/>
          <w:sz w:val="28"/>
        </w:rPr>
        <w:t xml:space="preserve">Précision v16 : </w:t>
      </w:r>
      <w:r>
        <w:rPr>
          <w:rFonts w:ascii="Calibri" w:hAnsi="Calibri"/>
          <w:b w:val="0"/>
          <w:i w:val="0"/>
          <w:sz w:val="28"/>
        </w:rPr>
        <w:t>le chantier EA-05 du Painel a démontré que le mécanisme i18n unifié (localizeError + apiErrors) est désormais l'unique passage légitime pour toute communication d'erreur côté utilisateur.</w:t>
      </w:r>
    </w:p>
    <w:p>
      <w:pPr>
        <w:spacing w:before="0" w:after="160"/>
      </w:pPr>
      <w:r>
        <w:rPr>
          <w:rFonts w:ascii="Calibri" w:hAnsi="Calibri"/>
          <w:b w:val="0"/>
          <w:i w:val="0"/>
          <w:sz w:val="28"/>
        </w:rPr>
        <w:t xml:space="preserve">— Aucun durcissement de sécurité sans lecture du dump à jour (ligne rouge v13). </w:t>
      </w:r>
      <w:r>
        <w:rPr>
          <w:rFonts w:ascii="Calibri" w:hAnsi="Calibri"/>
          <w:b/>
          <w:i w:val="0"/>
          <w:sz w:val="28"/>
        </w:rPr>
        <w:t xml:space="preserve">Précision v16 : </w:t>
      </w:r>
      <w:r>
        <w:rPr>
          <w:rFonts w:ascii="Calibri" w:hAnsi="Calibri"/>
          <w:b w:val="0"/>
          <w:i w:val="0"/>
          <w:sz w:val="28"/>
        </w:rPr>
        <w:t>la rédaction de la v16 a précisément exigé un nouveau dump (épisode pénible du 27 mai, finalement obtenu), et la v16 a pu inscrire le chapitre 0 sur la base de ce dump retrouvé. La ligne rouge tient.</w:t>
      </w:r>
    </w:p>
    <w:p>
      <w:pPr>
        <w:spacing w:before="0" w:after="160"/>
      </w:pPr>
      <w:r>
        <w:rPr>
          <w:rFonts w:ascii="Calibri" w:hAnsi="Calibri"/>
          <w:b w:val="0"/>
          <w:i w:val="0"/>
          <w:sz w:val="28"/>
        </w:rPr>
        <w:t xml:space="preserve">— </w:t>
      </w:r>
      <w:r>
        <w:rPr>
          <w:rFonts w:ascii="Calibri" w:hAnsi="Calibri"/>
          <w:b/>
          <w:i w:val="0"/>
          <w:sz w:val="28"/>
        </w:rPr>
        <w:t xml:space="preserve">(v14, maintenue) Aucune fermeture de chantier déclarée close avant audit frontend explicite. </w:t>
      </w:r>
      <w:r>
        <w:rPr>
          <w:rFonts w:ascii="Calibri" w:hAnsi="Calibri"/>
          <w:b w:val="0"/>
          <w:i w:val="0"/>
          <w:sz w:val="28"/>
        </w:rPr>
        <w:t>Cette ligne rouge s'est avérée prophétique : le chantier Biblioteca s'est précisément constitué comme méthode pour la respecter, et le chantier-cadre Painel l'applique à son tour.</w:t>
      </w:r>
    </w:p>
    <w:p>
      <w:pPr>
        <w:spacing w:before="0" w:after="160"/>
      </w:pPr>
      <w:r>
        <w:rPr>
          <w:rFonts w:ascii="Calibri" w:hAnsi="Calibri"/>
          <w:b w:val="0"/>
          <w:i w:val="0"/>
          <w:sz w:val="28"/>
        </w:rPr>
        <w:t xml:space="preserve">— </w:t>
      </w:r>
      <w:r>
        <w:rPr>
          <w:rFonts w:ascii="Calibri" w:hAnsi="Calibri"/>
          <w:b/>
          <w:i w:val="0"/>
          <w:sz w:val="28"/>
        </w:rPr>
        <w:t xml:space="preserve">(v14, maintenue) Aucun helper SECURITY DEFINER exposé à anon sans justification politique écrite. </w:t>
      </w:r>
      <w:r>
        <w:rPr>
          <w:rFonts w:ascii="Calibri" w:hAnsi="Calibri"/>
          <w:b w:val="0"/>
          <w:i w:val="0"/>
          <w:sz w:val="28"/>
        </w:rPr>
        <w:t>Les 24 fonctions WARN anon SECURITY DEFINER de v14 doivent toutes être documentées par un commentaire SQL explicite. État au 27 mai : la majorité l'est ; les rares qui ne le sont pas seront documentées dans la séquence #3 (durcissement de la dette stricte).</w:t>
      </w:r>
    </w:p>
    <w:p>
      <w:pPr>
        <w:spacing w:before="0" w:after="160"/>
      </w:pPr>
      <w:r>
        <w:rPr>
          <w:rFonts w:ascii="Calibri" w:hAnsi="Calibri"/>
          <w:b w:val="0"/>
          <w:i w:val="0"/>
          <w:sz w:val="28"/>
        </w:rPr>
        <w:t xml:space="preserve">— </w:t>
      </w:r>
      <w:r>
        <w:rPr>
          <w:rFonts w:ascii="Calibri" w:hAnsi="Calibri"/>
          <w:b/>
          <w:i w:val="0"/>
          <w:sz w:val="28"/>
        </w:rPr>
        <w:t xml:space="preserve">(v16, inscrite au chapitre 0) Le filtrage et le vocabulaire d'écran doivent respecter en toutes circonstances la dualité item_status (axe vie / mort) vs workflow_stage (axe avancement). </w:t>
      </w:r>
      <w:r>
        <w:rPr>
          <w:rFonts w:ascii="Calibri" w:hAnsi="Calibri"/>
          <w:b w:val="0"/>
          <w:i w:val="0"/>
          <w:sz w:val="28"/>
        </w:rPr>
        <w:t>Cette inscription n'est pas une ligne rouge nouvelle : c'est la formalisation d'une exigence transversale que le bug du 26 mai a illustrée par défaut.</w:t>
      </w:r>
    </w:p>
    <w:p>
      <w:pPr>
        <w:keepNext/>
        <w:spacing w:before="240" w:after="120"/>
      </w:pPr>
      <w:r>
        <w:rPr>
          <w:rFonts w:ascii="Calibri" w:hAnsi="Calibri"/>
          <w:b/>
          <w:i/>
          <w:color w:val="5B9BD5"/>
          <w:sz w:val="30"/>
        </w:rPr>
        <w:t>Arbitrages devenus pressants (v16)</w:t>
      </w:r>
    </w:p>
    <w:p>
      <w:pPr>
        <w:spacing w:before="0" w:after="160"/>
      </w:pPr>
      <w:r>
        <w:rPr>
          <w:rFonts w:ascii="Calibri" w:hAnsi="Calibri"/>
          <w:b w:val="0"/>
          <w:i w:val="0"/>
          <w:sz w:val="28"/>
        </w:rPr>
        <w:t>— Quel ordre exact entre la finalisation EA-12 phase 2 (séquence #1) et la jonction frontend profils d'adoption (séquence #2) ? La phase 2 d'EA-12 est plus courte (3-5h) et clôt définitivement le chantier Biblioteca ; le bloc profils d'adoption a plus de levier mais demande 5 jours.</w:t>
      </w:r>
    </w:p>
    <w:p>
      <w:pPr>
        <w:spacing w:before="0" w:after="160"/>
      </w:pPr>
      <w:r>
        <w:rPr>
          <w:rFonts w:ascii="Calibri" w:hAnsi="Calibri"/>
          <w:b w:val="0"/>
          <w:i w:val="0"/>
          <w:sz w:val="28"/>
        </w:rPr>
        <w:t>— Faut-il déclencher la première activation tierce (CIRA Marseille, #36 backlog) avant ou après la fermeture complète des séquences #1 phase 2, #2 et #4 ? La doctrine v14 (Précision 1) suggère d'attendre #2 a minima.</w:t>
      </w:r>
    </w:p>
    <w:p>
      <w:pPr>
        <w:spacing w:before="0" w:after="160"/>
      </w:pPr>
      <w:r>
        <w:rPr>
          <w:rFonts w:ascii="Calibri" w:hAnsi="Calibri"/>
          <w:b w:val="0"/>
          <w:i w:val="0"/>
          <w:sz w:val="28"/>
        </w:rPr>
        <w:t>— La vue v_active_memberships demande un traitement de bascule particulier — wrapper api en INVOKER, ou abandon au profit d'une RPC SECURITY DEFINER api.fn_get_my_active_membership avec contrôle d'identité ? La seconde option est plus propre architecturalement mais demande plus de refactoring frontend.</w:t>
      </w:r>
    </w:p>
    <w:p>
      <w:pPr>
        <w:spacing w:before="0" w:after="160"/>
      </w:pPr>
      <w:r>
        <w:rPr>
          <w:rFonts w:ascii="Calibri" w:hAnsi="Calibri"/>
          <w:b w:val="0"/>
          <w:i w:val="0"/>
          <w:sz w:val="28"/>
        </w:rPr>
        <w:t>— Le hook git pré-commit produit un faux positif sur SECURITY DEFINER en commentaires (item #80 du backlog). Faut-il l'améliorer ou maintenir l'usage de `--no-verify` documenté ?</w:t>
      </w:r>
    </w:p>
    <w:p>
      <w:pPr>
        <w:spacing w:before="0" w:after="160"/>
      </w:pPr>
      <w:r>
        <w:rPr>
          <w:rFonts w:ascii="Calibri" w:hAnsi="Calibri"/>
          <w:b w:val="0"/>
          <w:i w:val="0"/>
          <w:sz w:val="28"/>
        </w:rPr>
        <w:t xml:space="preserve">— </w:t>
      </w:r>
      <w:r>
        <w:rPr>
          <w:rFonts w:ascii="Calibri" w:hAnsi="Calibri"/>
          <w:b/>
          <w:i w:val="0"/>
          <w:sz w:val="28"/>
        </w:rPr>
        <w:t xml:space="preserve">(NOUVEAU v16) </w:t>
      </w:r>
      <w:r>
        <w:rPr>
          <w:rFonts w:ascii="Calibri" w:hAnsi="Calibri"/>
          <w:b w:val="0"/>
          <w:i w:val="0"/>
          <w:sz w:val="28"/>
        </w:rPr>
        <w:t>Quel rythme tenir pour la séquence #11 (suite du Painel) ? Le chantier A a été clos en deux jours (25-27/05) ; à ce rythme l'ensemble des cinq chantiers B-E serait clos en 10-15 jours ouvrés étalés. Ce rythme est-il à tenir au prix d'autres séquences, ou à étaler pour laisser respirer ?</w:t>
      </w:r>
    </w:p>
    <w:p>
      <w:pPr>
        <w:spacing w:before="0" w:after="160"/>
      </w:pPr>
      <w:r>
        <w:rPr>
          <w:rFonts w:ascii="Calibri" w:hAnsi="Calibri"/>
          <w:b w:val="0"/>
          <w:i w:val="0"/>
          <w:sz w:val="28"/>
        </w:rPr>
        <w:t xml:space="preserve">— </w:t>
      </w:r>
      <w:r>
        <w:rPr>
          <w:rFonts w:ascii="Calibri" w:hAnsi="Calibri"/>
          <w:b/>
          <w:i w:val="0"/>
          <w:sz w:val="28"/>
        </w:rPr>
        <w:t xml:space="preserve">(NOUVEAU v16) </w:t>
      </w:r>
      <w:r>
        <w:rPr>
          <w:rFonts w:ascii="Calibri" w:hAnsi="Calibri"/>
          <w:b w:val="0"/>
          <w:i w:val="0"/>
          <w:sz w:val="28"/>
        </w:rPr>
        <w:t>Quelle priorité donner aux deux items résiduels du chantier #153 sur les mails (code mort `res.refused` / `reserva_v2_recusada` à retirer ; dé-duplication de la copie autonome `_shared/` dans `notify-internal-task`) ? À traiter dans une session de finition dédiée, ou rattaché au chantier #154 ?</w:t>
      </w:r>
    </w:p>
    <w:p>
      <w:pPr>
        <w:spacing w:before="0" w:after="160"/>
      </w:pPr>
      <w:r>
        <w:rPr>
          <w:rFonts w:ascii="Calibri" w:hAnsi="Calibri"/>
          <w:b w:val="0"/>
          <w:i w:val="0"/>
          <w:sz w:val="28"/>
        </w:rPr>
        <w:t xml:space="preserve">— </w:t>
      </w:r>
      <w:r>
        <w:rPr>
          <w:rFonts w:ascii="Calibri" w:hAnsi="Calibri"/>
          <w:b/>
          <w:i w:val="0"/>
          <w:sz w:val="28"/>
        </w:rPr>
        <w:t xml:space="preserve">(NOUVEAU v16) </w:t>
      </w:r>
      <w:r>
        <w:rPr>
          <w:rFonts w:ascii="Calibri" w:hAnsi="Calibri"/>
          <w:b w:val="0"/>
          <w:i w:val="0"/>
          <w:sz w:val="28"/>
        </w:rPr>
        <w:t>Le chantier d'extension mobile et de mode terrain (cadrage `CHANTIER_extension_mobile_mode_terrain_2026-05-26.docx`) propose trois décisions doctrinales nouvelles (carte-lecteur comme capacité activable par bibliothèque, laissez-passer détachable révocable, PWA mono-codebase sans tracker). Ces décisions doivent-elles être actées maintenant pour pouvoir s'inscrire dans une v17, ou différées au-delà de la séquence Painel ?</w:t>
      </w:r>
    </w:p>
    <w:p>
      <w:pPr>
        <w:keepNext/>
        <w:spacing w:before="480" w:after="240"/>
      </w:pPr>
      <w:r>
        <w:rPr>
          <w:rFonts w:ascii="Calibri" w:hAnsi="Calibri"/>
          <w:b/>
          <w:color w:val="1F4E79"/>
          <w:sz w:val="44"/>
        </w:rPr>
        <w:t>12. Formule de clôture</w:t>
      </w:r>
    </w:p>
    <w:p>
      <w:pPr>
        <w:spacing w:before="0" w:after="160"/>
      </w:pPr>
      <w:r>
        <w:rPr>
          <w:rFonts w:ascii="Calibri" w:hAnsi="Calibri"/>
          <w:b w:val="0"/>
          <w:i w:val="0"/>
          <w:sz w:val="28"/>
        </w:rPr>
        <w:t>La v9.7 avait posé la colonne vertébrale stratégique. La v10 avait constaté qu'elle portait du volume. La v11 avait dit qu'elle s'était mise debout. La v12 avait dit qu'elle parlait désormais d'une voix politique alignée. La v13 avait dit qu'elle était lisible exactement, dans son anatomie complète. La v14 avait dit qu'elle avait poussé trois membres nouveaux et qu'il fallait les câbler au système nerveux frontal. La v15, en addendum, avait dit qu'un premier chantier-cadre de jonction (Biblioteca) tenait sa promesse et inscrivait deux doctrines transverses (RPC v3 nuancée + refontes tacites actées). La v16 doit dire encore autre chose : que la méthode parité + audit doctrinal n'est plus un chantier isolé mais une manière de travailler répétée, et qu'AnarBib peut désormais poser ses doctrines structurantes par écrit à mesure qu'elles émergent — la première étant la double nomenclature item_status / workflow_stage du chapitre 0.</w:t>
      </w:r>
    </w:p>
    <w:p>
      <w:pPr>
        <w:spacing w:before="0" w:after="160"/>
      </w:pPr>
      <w:r>
        <w:rPr>
          <w:rFonts w:ascii="Calibri" w:hAnsi="Calibri"/>
          <w:b w:val="0"/>
          <w:i w:val="0"/>
          <w:sz w:val="28"/>
        </w:rPr>
        <w:t>Ce que mesure la v16, pris sur huit jours, est modeste en chiffres et important en sens. Les chiffres : –3 tables (consolidation), +1 vue, +7 fonctions, –3 SECURITY DEFINER (en termes nets : la cadence d'expansion s'est ralentie à proportion de la stratégie de jonction posée en v14), +16 policies (densification de la couche métier), –1 trigger, –143 indexes explicites en apparence mais en réalité ≈ –18 indexes nets (l'écart résiduel étant un artefact de méthode de comptage). Le sens : deux chantiers-cadres conduits successivement selon la même méthode, deux doctrines transverses inscrites en moins de huit jours (RPC v3 le 21 mai, item_status / workflow_stage le 27 mai), un chantier A du Painel clos en deux jours par livraison conjointe de trois écarts. La fenêtre stratégique reste ouverte — aucun usager tiers nouveau ne s'est ajouté depuis la v15 — et la méthode tient.</w:t>
      </w:r>
    </w:p>
    <w:p>
      <w:pPr>
        <w:spacing w:before="0" w:after="160"/>
      </w:pPr>
      <w:r>
        <w:rPr>
          <w:rFonts w:ascii="Calibri" w:hAnsi="Calibri"/>
          <w:b w:val="0"/>
          <w:i w:val="0"/>
          <w:sz w:val="28"/>
        </w:rPr>
        <w:t>La conclusion juste reste, comme en v14 et v15, ni l'enthousiasme prématuré ni la prudence paralysante. Elle est, en v16, presque tautologique : la méthode d'audit par parité doctrinale, posée à Biblioteca, répliquée à Painel, à étendre à Importações puis Catalogação, est la forme effective qu'a prise la doctrine de jonction v14. Tenir cette forme, c'est tenir la stratégie. AnarBib peut continuer d'ajouter des doctrines structurantes par écrit, à mesure qu'elles émergent, à condition de ne pas en abuser : chaque doctrine inscrite en Livre blanc doit être la formalisation d'un schéma opérationnel déjà éprouvé en code, pas une décision spéculative.</w:t>
      </w:r>
    </w:p>
    <w:tbl>
      <w:tblPr>
        <w:tblStyle w:val="TableGrid"/>
        <w:tblW w:type="auto" w:w="0"/>
        <w:tblLayout w:type="autofit"/>
        <w:tblLook w:firstColumn="1" w:firstRow="1" w:lastColumn="0" w:lastRow="0" w:noHBand="0" w:noVBand="1" w:val="04A0"/>
      </w:tblPr>
      <w:tblGrid>
        <w:gridCol w:w="9406"/>
      </w:tblGrid>
      <w:tr>
        <w:tc>
          <w:tcPr>
            <w:tcW w:type="dxa" w:w="9406"/>
            <w:vAlign w:val="top"/>
            <w:shd w:val="clear" w:color="auto" w:fill="D9E2F3"/>
          </w:tcPr>
          <w:p>
            <w:pPr>
              <w:spacing w:before="60" w:after="60"/>
            </w:pPr>
            <w:r/>
            <w:r>
              <w:rPr>
                <w:rFonts w:ascii="Calibri" w:hAnsi="Calibri"/>
                <w:b/>
                <w:i w:val="0"/>
                <w:sz w:val="24"/>
              </w:rPr>
              <w:t>Formule courte du v16.</w:t>
            </w:r>
            <w:r>
              <w:rPr>
                <w:rFonts w:ascii="Calibri" w:hAnsi="Calibri"/>
                <w:b/>
                <w:i w:val="0"/>
                <w:sz w:val="24"/>
              </w:rPr>
              <w:t xml:space="preserve"> Huit jours après la v15, le projet a inscrit sa première doctrine transverse de nomenclature (item_status vs workflow_stage, chapitre 0), clos un chantier A du second chantier-cadre Painel (EA-05 + EA-09 + EA-13), et confirmé que la méthode parité + audit doctrinal n'est plus un événement mais une manière de travailler. Le backend a consolidé sans surprise. Le frontend a livré trois écarts en deux jours. La fenêtre stratégique reste ouverte ; la v16 mesure que la méthode de jonction se déploie comme prévu, à un rythme tenable, sans dette nouvelle de divergence. Reste à conduire les chantiers B à E du Painel, finir EA-12 phase 2 du Biblioteca, et continuer d'aligner frontend sur backend selon le même tempo.</w:t>
            </w:r>
          </w:p>
        </w:tc>
      </w:tr>
    </w:tbl>
    <w:p>
      <w:pPr>
        <w:spacing w:after="160"/>
      </w:pPr>
    </w:p>
    <w:p>
      <w:pPr>
        <w:keepNext/>
        <w:spacing w:before="480" w:after="240"/>
      </w:pPr>
      <w:r>
        <w:rPr>
          <w:rFonts w:ascii="Calibri" w:hAnsi="Calibri"/>
          <w:b/>
          <w:color w:val="1F4E79"/>
          <w:sz w:val="44"/>
        </w:rPr>
        <w:t>13. Bilan chiffré final, lecture v16</w:t>
      </w:r>
    </w:p>
    <w:tbl>
      <w:tblPr>
        <w:tblStyle w:val="TableGrid"/>
        <w:tblW w:type="auto" w:w="0"/>
        <w:tblLayout w:type="autofit"/>
        <w:tblLook w:firstColumn="1" w:firstRow="1" w:lastColumn="0" w:lastRow="0" w:noHBand="0" w:noVBand="1" w:val="04A0"/>
      </w:tblPr>
      <w:tblGrid>
        <w:gridCol w:w="9406"/>
      </w:tblGrid>
      <w:tr>
        <w:tc>
          <w:tcPr>
            <w:tcW w:type="dxa" w:w="9406"/>
            <w:vAlign w:val="top"/>
            <w:shd w:val="clear" w:color="auto" w:fill="D9E2F3"/>
          </w:tcPr>
          <w:p>
            <w:pPr>
              <w:spacing w:before="60" w:after="60"/>
            </w:pPr>
            <w:r/>
            <w:r>
              <w:rPr>
                <w:rFonts w:ascii="Calibri" w:hAnsi="Calibri"/>
                <w:b/>
                <w:i w:val="0"/>
                <w:sz w:val="24"/>
              </w:rPr>
              <w:t>Note méthodologique :</w:t>
            </w:r>
            <w:r>
              <w:rPr>
                <w:rFonts w:ascii="Calibri" w:hAnsi="Calibri"/>
                <w:b/>
                <w:i w:val="0"/>
                <w:sz w:val="24"/>
              </w:rPr>
              <w:t xml:space="preserve"> la v16 est la première version du Livre blanc qui dispose de trois lectures successives du même backend (v13 le 30 avril sur dump intégral, v14 le 19 mai sur inventaire structuré sans dump, v16 le 27 mai sur dump intégral retrouvé). La v15 avait été un addendum doctrinal sans relecture chiffrée. La v16 retrouve la précision du dump comme la v13, ce qui permet de revisiter et de stabiliser les ordres de grandeur. Les comptages v15 → v16 doivent être lus avec une note de méthode : les indexes ont été chiffrés en v13 et en v14 en comptant les indexes implicites (primary keys, unique constraints) avec les explicites ; la v16 les chiffre séparément (241 explicites + 98 PK + 27 UNIQUE = ≈366 effectifs, contre 384 mesurés en v15), ce qui crée un écart apparent qui n'en est pas un. À méthodologie comparable, le backend a consolidé plutôt qu'augmenté entre v15 et v16.</w:t>
            </w:r>
          </w:p>
        </w:tc>
      </w:tr>
    </w:tbl>
    <w:p>
      <w:pPr>
        <w:spacing w:after="160"/>
      </w:pPr>
    </w:p>
    <w:tbl>
      <w:tblPr>
        <w:tblStyle w:val="TableGrid"/>
        <w:tblW w:type="auto" w:w="0"/>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vAlign w:val="top"/>
            <w:shd w:val="clear" w:color="auto" w:fill="D9E2F3"/>
          </w:tcPr>
          <w:p>
            <w:pPr>
              <w:spacing w:before="60" w:after="60"/>
            </w:pPr>
            <w:r/>
            <w:r>
              <w:rPr>
                <w:rFonts w:ascii="Calibri" w:hAnsi="Calibri"/>
                <w:b/>
                <w:i w:val="0"/>
                <w:sz w:val="24"/>
              </w:rPr>
              <w:t>v9.7</w:t>
            </w:r>
          </w:p>
        </w:tc>
        <w:tc>
          <w:tcPr>
            <w:tcW w:type="dxa" w:w="1176"/>
            <w:vAlign w:val="top"/>
            <w:shd w:val="clear" w:color="auto" w:fill="D9E2F3"/>
          </w:tcPr>
          <w:p>
            <w:pPr>
              <w:spacing w:before="60" w:after="60"/>
            </w:pPr>
            <w:r/>
            <w:r>
              <w:rPr>
                <w:rFonts w:ascii="Calibri" w:hAnsi="Calibri"/>
                <w:b/>
                <w:i w:val="0"/>
                <w:sz w:val="24"/>
              </w:rPr>
              <w:t>v10</w:t>
            </w:r>
          </w:p>
        </w:tc>
        <w:tc>
          <w:tcPr>
            <w:tcW w:type="dxa" w:w="1176"/>
            <w:vAlign w:val="top"/>
            <w:shd w:val="clear" w:color="auto" w:fill="D9E2F3"/>
          </w:tcPr>
          <w:p>
            <w:pPr>
              <w:spacing w:before="60" w:after="60"/>
            </w:pPr>
            <w:r/>
            <w:r>
              <w:rPr>
                <w:rFonts w:ascii="Calibri" w:hAnsi="Calibri"/>
                <w:b/>
                <w:i w:val="0"/>
                <w:sz w:val="24"/>
              </w:rPr>
              <w:t>v11</w:t>
            </w:r>
          </w:p>
        </w:tc>
        <w:tc>
          <w:tcPr>
            <w:tcW w:type="dxa" w:w="1176"/>
            <w:vAlign w:val="top"/>
            <w:shd w:val="clear" w:color="auto" w:fill="D9E2F3"/>
          </w:tcPr>
          <w:p>
            <w:pPr>
              <w:spacing w:before="60" w:after="60"/>
            </w:pPr>
            <w:r/>
            <w:r>
              <w:rPr>
                <w:rFonts w:ascii="Calibri" w:hAnsi="Calibri"/>
                <w:b/>
                <w:i w:val="0"/>
                <w:sz w:val="24"/>
              </w:rPr>
              <w:t>v12</w:t>
            </w:r>
          </w:p>
        </w:tc>
        <w:tc>
          <w:tcPr>
            <w:tcW w:type="dxa" w:w="1176"/>
            <w:vAlign w:val="top"/>
            <w:shd w:val="clear" w:color="auto" w:fill="D9E2F3"/>
          </w:tcPr>
          <w:p>
            <w:pPr>
              <w:spacing w:before="60" w:after="60"/>
            </w:pPr>
            <w:r/>
            <w:r>
              <w:rPr>
                <w:rFonts w:ascii="Calibri" w:hAnsi="Calibri"/>
                <w:b/>
                <w:i w:val="0"/>
                <w:sz w:val="24"/>
              </w:rPr>
              <w:t>v13</w:t>
            </w:r>
          </w:p>
        </w:tc>
        <w:tc>
          <w:tcPr>
            <w:tcW w:type="dxa" w:w="1176"/>
            <w:vAlign w:val="top"/>
            <w:shd w:val="clear" w:color="auto" w:fill="D9E2F3"/>
          </w:tcPr>
          <w:p>
            <w:pPr>
              <w:spacing w:before="60" w:after="60"/>
            </w:pPr>
            <w:r/>
            <w:r>
              <w:rPr>
                <w:rFonts w:ascii="Calibri" w:hAnsi="Calibri"/>
                <w:b/>
                <w:i w:val="0"/>
                <w:sz w:val="24"/>
              </w:rPr>
              <w:t>v14</w:t>
            </w:r>
          </w:p>
        </w:tc>
        <w:tc>
          <w:tcPr>
            <w:tcW w:type="dxa" w:w="1176"/>
            <w:vAlign w:val="top"/>
            <w:shd w:val="clear" w:color="auto" w:fill="D9E2F3"/>
          </w:tcPr>
          <w:p>
            <w:pPr>
              <w:spacing w:before="60" w:after="60"/>
            </w:pPr>
            <w:r/>
            <w:r>
              <w:rPr>
                <w:rFonts w:ascii="Calibri" w:hAnsi="Calibri"/>
                <w:b/>
                <w:i w:val="0"/>
                <w:sz w:val="24"/>
              </w:rPr>
              <w:t>v15</w:t>
            </w:r>
          </w:p>
        </w:tc>
        <w:tc>
          <w:tcPr>
            <w:tcW w:type="dxa" w:w="1176"/>
            <w:vAlign w:val="top"/>
            <w:shd w:val="clear" w:color="auto" w:fill="D9E2F3"/>
          </w:tcPr>
          <w:p>
            <w:pPr>
              <w:spacing w:before="60" w:after="60"/>
            </w:pPr>
            <w:r/>
            <w:r>
              <w:rPr>
                <w:rFonts w:ascii="Calibri" w:hAnsi="Calibri"/>
                <w:b/>
                <w:i w:val="0"/>
                <w:sz w:val="24"/>
              </w:rPr>
              <w:t>v16</w:t>
            </w:r>
          </w:p>
        </w:tc>
      </w:tr>
      <w:tr>
        <w:tc>
          <w:tcPr>
            <w:tcW w:type="dxa" w:w="1176"/>
            <w:vAlign w:val="top"/>
          </w:tcPr>
          <w:p>
            <w:pPr>
              <w:spacing w:before="60" w:after="60"/>
            </w:pPr>
            <w:r/>
            <w:r>
              <w:rPr>
                <w:rFonts w:ascii="Calibri" w:hAnsi="Calibri"/>
                <w:b w:val="0"/>
                <w:i w:val="0"/>
                <w:sz w:val="24"/>
              </w:rPr>
              <w:t>61 %</w:t>
            </w:r>
          </w:p>
        </w:tc>
        <w:tc>
          <w:tcPr>
            <w:tcW w:type="dxa" w:w="1176"/>
            <w:vAlign w:val="top"/>
          </w:tcPr>
          <w:p>
            <w:pPr>
              <w:spacing w:before="60" w:after="60"/>
            </w:pPr>
            <w:r/>
            <w:r>
              <w:rPr>
                <w:rFonts w:ascii="Calibri" w:hAnsi="Calibri"/>
                <w:b w:val="0"/>
                <w:i w:val="0"/>
                <w:sz w:val="24"/>
              </w:rPr>
              <w:t>74 %</w:t>
            </w:r>
          </w:p>
        </w:tc>
        <w:tc>
          <w:tcPr>
            <w:tcW w:type="dxa" w:w="1176"/>
            <w:vAlign w:val="top"/>
          </w:tcPr>
          <w:p>
            <w:pPr>
              <w:spacing w:before="60" w:after="60"/>
            </w:pPr>
            <w:r/>
            <w:r>
              <w:rPr>
                <w:rFonts w:ascii="Calibri" w:hAnsi="Calibri"/>
                <w:b w:val="0"/>
                <w:i w:val="0"/>
                <w:sz w:val="24"/>
              </w:rPr>
              <w:t>≈86 %</w:t>
            </w:r>
          </w:p>
        </w:tc>
        <w:tc>
          <w:tcPr>
            <w:tcW w:type="dxa" w:w="1176"/>
            <w:vAlign w:val="top"/>
          </w:tcPr>
          <w:p>
            <w:pPr>
              <w:spacing w:before="60" w:after="60"/>
            </w:pPr>
            <w:r/>
            <w:r>
              <w:rPr>
                <w:rFonts w:ascii="Calibri" w:hAnsi="Calibri"/>
                <w:b w:val="0"/>
                <w:i w:val="0"/>
                <w:sz w:val="24"/>
              </w:rPr>
              <w:t>≈89 %</w:t>
            </w:r>
          </w:p>
        </w:tc>
        <w:tc>
          <w:tcPr>
            <w:tcW w:type="dxa" w:w="1176"/>
            <w:vAlign w:val="top"/>
          </w:tcPr>
          <w:p>
            <w:pPr>
              <w:spacing w:before="60" w:after="60"/>
            </w:pPr>
            <w:r/>
            <w:r>
              <w:rPr>
                <w:rFonts w:ascii="Calibri" w:hAnsi="Calibri"/>
                <w:b w:val="0"/>
                <w:i w:val="0"/>
                <w:sz w:val="24"/>
              </w:rPr>
              <w:t>≈90 %</w:t>
            </w:r>
          </w:p>
        </w:tc>
        <w:tc>
          <w:tcPr>
            <w:tcW w:type="dxa" w:w="1176"/>
            <w:vAlign w:val="top"/>
          </w:tcPr>
          <w:p>
            <w:pPr>
              <w:spacing w:before="60" w:after="60"/>
            </w:pPr>
            <w:r/>
            <w:r>
              <w:rPr>
                <w:rFonts w:ascii="Calibri" w:hAnsi="Calibri"/>
                <w:b w:val="0"/>
                <w:i w:val="0"/>
                <w:sz w:val="24"/>
              </w:rPr>
              <w:t>≈93 %</w:t>
            </w:r>
          </w:p>
        </w:tc>
        <w:tc>
          <w:tcPr>
            <w:tcW w:type="dxa" w:w="1176"/>
            <w:vAlign w:val="top"/>
          </w:tcPr>
          <w:p>
            <w:pPr>
              <w:spacing w:before="60" w:after="60"/>
            </w:pPr>
            <w:r/>
            <w:r>
              <w:rPr>
                <w:rFonts w:ascii="Calibri" w:hAnsi="Calibri"/>
                <w:b w:val="0"/>
                <w:i w:val="0"/>
                <w:sz w:val="24"/>
              </w:rPr>
              <w:t>≈94 %</w:t>
            </w:r>
          </w:p>
        </w:tc>
        <w:tc>
          <w:tcPr>
            <w:tcW w:type="dxa" w:w="1176"/>
            <w:vAlign w:val="top"/>
          </w:tcPr>
          <w:p>
            <w:pPr>
              <w:spacing w:before="60" w:after="60"/>
            </w:pPr>
            <w:r/>
            <w:r>
              <w:rPr>
                <w:rFonts w:ascii="Calibri" w:hAnsi="Calibri"/>
                <w:b w:val="0"/>
                <w:i w:val="0"/>
                <w:sz w:val="24"/>
              </w:rPr>
              <w:t>≈95 %</w:t>
            </w:r>
          </w:p>
        </w:tc>
      </w:tr>
    </w:tbl>
    <w:p>
      <w:pPr>
        <w:spacing w:after="160"/>
      </w:pPr>
    </w:p>
    <w:p>
      <w:pPr>
        <w:keepNext/>
        <w:spacing w:before="360" w:after="160"/>
      </w:pPr>
      <w:r>
        <w:rPr>
          <w:rFonts w:ascii="Calibri" w:hAnsi="Calibri"/>
          <w:b/>
          <w:color w:val="2E74B5"/>
          <w:sz w:val="36"/>
        </w:rPr>
        <w:t>13.1 Lecture v16 des 8 grandeurs structurantes (dump du 27 mai 2026)</w:t>
      </w:r>
    </w:p>
    <w:tbl>
      <w:tblPr>
        <w:tblStyle w:val="TableGrid"/>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vAlign w:val="top"/>
            <w:shd w:val="clear" w:color="auto" w:fill="D9E2F3"/>
          </w:tcPr>
          <w:p>
            <w:pPr>
              <w:spacing w:before="60" w:after="60"/>
            </w:pPr>
            <w:r/>
            <w:r>
              <w:rPr>
                <w:rFonts w:ascii="Calibri" w:hAnsi="Calibri"/>
                <w:b/>
                <w:i w:val="0"/>
                <w:sz w:val="24"/>
              </w:rPr>
              <w:t>Grandeur</w:t>
            </w:r>
          </w:p>
        </w:tc>
        <w:tc>
          <w:tcPr>
            <w:tcW w:type="dxa" w:w="1568"/>
            <w:vAlign w:val="top"/>
            <w:shd w:val="clear" w:color="auto" w:fill="D9E2F3"/>
          </w:tcPr>
          <w:p>
            <w:pPr>
              <w:spacing w:before="60" w:after="60"/>
            </w:pPr>
            <w:r/>
            <w:r>
              <w:rPr>
                <w:rFonts w:ascii="Calibri" w:hAnsi="Calibri"/>
                <w:b/>
                <w:i w:val="0"/>
                <w:sz w:val="24"/>
              </w:rPr>
              <w:t>v13 (30/04)</w:t>
            </w:r>
          </w:p>
        </w:tc>
        <w:tc>
          <w:tcPr>
            <w:tcW w:type="dxa" w:w="1568"/>
            <w:vAlign w:val="top"/>
            <w:shd w:val="clear" w:color="auto" w:fill="D9E2F3"/>
          </w:tcPr>
          <w:p>
            <w:pPr>
              <w:spacing w:before="60" w:after="60"/>
            </w:pPr>
            <w:r/>
            <w:r>
              <w:rPr>
                <w:rFonts w:ascii="Calibri" w:hAnsi="Calibri"/>
                <w:b/>
                <w:i w:val="0"/>
                <w:sz w:val="24"/>
              </w:rPr>
              <w:t>v14 (19/05)</w:t>
            </w:r>
          </w:p>
        </w:tc>
        <w:tc>
          <w:tcPr>
            <w:tcW w:type="dxa" w:w="1568"/>
            <w:vAlign w:val="top"/>
            <w:shd w:val="clear" w:color="auto" w:fill="D9E2F3"/>
          </w:tcPr>
          <w:p>
            <w:pPr>
              <w:spacing w:before="60" w:after="60"/>
            </w:pPr>
            <w:r/>
            <w:r>
              <w:rPr>
                <w:rFonts w:ascii="Calibri" w:hAnsi="Calibri"/>
                <w:b/>
                <w:i w:val="0"/>
                <w:sz w:val="24"/>
              </w:rPr>
              <w:t>v16 (27/05)</w:t>
            </w:r>
          </w:p>
        </w:tc>
        <w:tc>
          <w:tcPr>
            <w:tcW w:type="dxa" w:w="1568"/>
            <w:vAlign w:val="top"/>
            <w:shd w:val="clear" w:color="auto" w:fill="D9E2F3"/>
          </w:tcPr>
          <w:p>
            <w:pPr>
              <w:spacing w:before="60" w:after="60"/>
            </w:pPr>
            <w:r/>
            <w:r>
              <w:rPr>
                <w:rFonts w:ascii="Calibri" w:hAnsi="Calibri"/>
                <w:b/>
                <w:i w:val="0"/>
                <w:sz w:val="24"/>
              </w:rPr>
              <w:t>Variation v15 → v16</w:t>
            </w:r>
          </w:p>
        </w:tc>
        <w:tc>
          <w:tcPr>
            <w:tcW w:type="dxa" w:w="1568"/>
            <w:vAlign w:val="top"/>
            <w:shd w:val="clear" w:color="auto" w:fill="D9E2F3"/>
          </w:tcPr>
          <w:p>
            <w:pPr>
              <w:spacing w:before="60" w:after="60"/>
            </w:pPr>
            <w:r/>
            <w:r>
              <w:rPr>
                <w:rFonts w:ascii="Calibri" w:hAnsi="Calibri"/>
                <w:b/>
                <w:i w:val="0"/>
                <w:sz w:val="24"/>
              </w:rPr>
              <w:t>Lecture</w:t>
            </w:r>
          </w:p>
        </w:tc>
      </w:tr>
      <w:tr>
        <w:tc>
          <w:tcPr>
            <w:tcW w:type="dxa" w:w="1568"/>
            <w:vAlign w:val="top"/>
          </w:tcPr>
          <w:p>
            <w:pPr>
              <w:spacing w:before="60" w:after="60"/>
            </w:pPr>
            <w:r/>
            <w:r>
              <w:rPr>
                <w:rFonts w:ascii="Calibri" w:hAnsi="Calibri"/>
                <w:b w:val="0"/>
                <w:i w:val="0"/>
                <w:sz w:val="24"/>
              </w:rPr>
              <w:t>Tables (public + api)</w:t>
            </w:r>
          </w:p>
        </w:tc>
        <w:tc>
          <w:tcPr>
            <w:tcW w:type="dxa" w:w="1568"/>
            <w:vAlign w:val="top"/>
          </w:tcPr>
          <w:p>
            <w:pPr>
              <w:spacing w:before="60" w:after="60"/>
            </w:pPr>
            <w:r/>
            <w:r>
              <w:rPr>
                <w:rFonts w:ascii="Calibri" w:hAnsi="Calibri"/>
                <w:b w:val="0"/>
                <w:i w:val="0"/>
                <w:sz w:val="24"/>
              </w:rPr>
              <w:t>89</w:t>
            </w:r>
          </w:p>
        </w:tc>
        <w:tc>
          <w:tcPr>
            <w:tcW w:type="dxa" w:w="1568"/>
            <w:vAlign w:val="top"/>
          </w:tcPr>
          <w:p>
            <w:pPr>
              <w:spacing w:before="60" w:after="60"/>
            </w:pPr>
            <w:r/>
            <w:r>
              <w:rPr>
                <w:rFonts w:ascii="Calibri" w:hAnsi="Calibri"/>
                <w:b w:val="0"/>
                <w:i w:val="0"/>
                <w:sz w:val="24"/>
              </w:rPr>
              <w:t>107</w:t>
            </w:r>
          </w:p>
        </w:tc>
        <w:tc>
          <w:tcPr>
            <w:tcW w:type="dxa" w:w="1568"/>
            <w:vAlign w:val="top"/>
          </w:tcPr>
          <w:p>
            <w:pPr>
              <w:spacing w:before="60" w:after="60"/>
            </w:pPr>
            <w:r/>
            <w:r>
              <w:rPr>
                <w:rFonts w:ascii="Calibri" w:hAnsi="Calibri"/>
                <w:b w:val="0"/>
                <w:i w:val="0"/>
                <w:sz w:val="24"/>
              </w:rPr>
              <w:t>104</w:t>
            </w:r>
          </w:p>
        </w:tc>
        <w:tc>
          <w:tcPr>
            <w:tcW w:type="dxa" w:w="1568"/>
            <w:vAlign w:val="top"/>
          </w:tcPr>
          <w:p>
            <w:pPr>
              <w:spacing w:before="60" w:after="60"/>
            </w:pPr>
            <w:r/>
            <w:r>
              <w:rPr>
                <w:rFonts w:ascii="Calibri" w:hAnsi="Calibri"/>
                <w:b w:val="0"/>
                <w:i w:val="0"/>
                <w:sz w:val="24"/>
              </w:rPr>
              <w:t>–3</w:t>
            </w:r>
          </w:p>
        </w:tc>
        <w:tc>
          <w:tcPr>
            <w:tcW w:type="dxa" w:w="1568"/>
            <w:vAlign w:val="top"/>
          </w:tcPr>
          <w:p>
            <w:pPr>
              <w:spacing w:before="60" w:after="60"/>
            </w:pPr>
            <w:r/>
            <w:r>
              <w:rPr>
                <w:rFonts w:ascii="Calibri" w:hAnsi="Calibri"/>
                <w:b w:val="0"/>
                <w:i w:val="0"/>
                <w:sz w:val="24"/>
              </w:rPr>
              <w:t>Consolidation lors du chantier #153 (mails), fusion de 3 tables d'audit ou de staging. Pas d'extension nouvelle.</w:t>
            </w:r>
          </w:p>
        </w:tc>
      </w:tr>
      <w:tr>
        <w:tc>
          <w:tcPr>
            <w:tcW w:type="dxa" w:w="1568"/>
            <w:vAlign w:val="top"/>
          </w:tcPr>
          <w:p>
            <w:pPr>
              <w:spacing w:before="60" w:after="60"/>
            </w:pPr>
            <w:r/>
            <w:r>
              <w:rPr>
                <w:rFonts w:ascii="Calibri" w:hAnsi="Calibri"/>
                <w:b w:val="0"/>
                <w:i w:val="0"/>
                <w:sz w:val="24"/>
              </w:rPr>
              <w:t>Vues</w:t>
            </w:r>
          </w:p>
        </w:tc>
        <w:tc>
          <w:tcPr>
            <w:tcW w:type="dxa" w:w="1568"/>
            <w:vAlign w:val="top"/>
          </w:tcPr>
          <w:p>
            <w:pPr>
              <w:spacing w:before="60" w:after="60"/>
            </w:pPr>
            <w:r/>
            <w:r>
              <w:rPr>
                <w:rFonts w:ascii="Calibri" w:hAnsi="Calibri"/>
                <w:b w:val="0"/>
                <w:i w:val="0"/>
                <w:sz w:val="24"/>
              </w:rPr>
              <w:t>59 (34 api + 25 public)</w:t>
            </w:r>
          </w:p>
        </w:tc>
        <w:tc>
          <w:tcPr>
            <w:tcW w:type="dxa" w:w="1568"/>
            <w:vAlign w:val="top"/>
          </w:tcPr>
          <w:p>
            <w:pPr>
              <w:spacing w:before="60" w:after="60"/>
            </w:pPr>
            <w:r/>
            <w:r>
              <w:rPr>
                <w:rFonts w:ascii="Calibri" w:hAnsi="Calibri"/>
                <w:b w:val="0"/>
                <w:i w:val="0"/>
                <w:sz w:val="24"/>
              </w:rPr>
              <w:t>72 (45 api + 25 public + 2 mat.)</w:t>
            </w:r>
          </w:p>
        </w:tc>
        <w:tc>
          <w:tcPr>
            <w:tcW w:type="dxa" w:w="1568"/>
            <w:vAlign w:val="top"/>
          </w:tcPr>
          <w:p>
            <w:pPr>
              <w:spacing w:before="60" w:after="60"/>
            </w:pPr>
            <w:r/>
            <w:r>
              <w:rPr>
                <w:rFonts w:ascii="Calibri" w:hAnsi="Calibri"/>
                <w:b w:val="0"/>
                <w:i w:val="0"/>
                <w:sz w:val="24"/>
              </w:rPr>
              <w:t>73</w:t>
            </w:r>
          </w:p>
        </w:tc>
        <w:tc>
          <w:tcPr>
            <w:tcW w:type="dxa" w:w="1568"/>
            <w:vAlign w:val="top"/>
          </w:tcPr>
          <w:p>
            <w:pPr>
              <w:spacing w:before="60" w:after="60"/>
            </w:pPr>
            <w:r/>
            <w:r>
              <w:rPr>
                <w:rFonts w:ascii="Calibri" w:hAnsi="Calibri"/>
                <w:b w:val="0"/>
                <w:i w:val="0"/>
                <w:sz w:val="24"/>
              </w:rPr>
              <w:t>+1</w:t>
            </w:r>
          </w:p>
        </w:tc>
        <w:tc>
          <w:tcPr>
            <w:tcW w:type="dxa" w:w="1568"/>
            <w:vAlign w:val="top"/>
          </w:tcPr>
          <w:p>
            <w:pPr>
              <w:spacing w:before="60" w:after="60"/>
            </w:pPr>
            <w:r/>
            <w:r>
              <w:rPr>
                <w:rFonts w:ascii="Calibri" w:hAnsi="Calibri"/>
                <w:b w:val="0"/>
                <w:i w:val="0"/>
                <w:sz w:val="24"/>
              </w:rPr>
              <w:t>Continuité d'enrichissement de la couche api.</w:t>
            </w:r>
          </w:p>
        </w:tc>
      </w:tr>
      <w:tr>
        <w:tc>
          <w:tcPr>
            <w:tcW w:type="dxa" w:w="1568"/>
            <w:vAlign w:val="top"/>
          </w:tcPr>
          <w:p>
            <w:pPr>
              <w:spacing w:before="60" w:after="60"/>
            </w:pPr>
            <w:r/>
            <w:r>
              <w:rPr>
                <w:rFonts w:ascii="Calibri" w:hAnsi="Calibri"/>
                <w:b w:val="0"/>
                <w:i w:val="0"/>
                <w:sz w:val="24"/>
              </w:rPr>
              <w:t>Vues matérialisées</w:t>
            </w:r>
          </w:p>
        </w:tc>
        <w:tc>
          <w:tcPr>
            <w:tcW w:type="dxa" w:w="1568"/>
            <w:vAlign w:val="top"/>
          </w:tcPr>
          <w:p>
            <w:pPr>
              <w:spacing w:before="60" w:after="60"/>
            </w:pPr>
            <w:r/>
            <w:r>
              <w:rPr>
                <w:rFonts w:ascii="Calibri" w:hAnsi="Calibri"/>
                <w:b w:val="0"/>
                <w:i w:val="0"/>
                <w:sz w:val="24"/>
              </w:rPr>
              <w:t>2</w:t>
            </w:r>
          </w:p>
        </w:tc>
        <w:tc>
          <w:tcPr>
            <w:tcW w:type="dxa" w:w="1568"/>
            <w:vAlign w:val="top"/>
          </w:tcPr>
          <w:p>
            <w:pPr>
              <w:spacing w:before="60" w:after="60"/>
            </w:pPr>
            <w:r/>
            <w:r>
              <w:rPr>
                <w:rFonts w:ascii="Calibri" w:hAnsi="Calibri"/>
                <w:b w:val="0"/>
                <w:i w:val="0"/>
                <w:sz w:val="24"/>
              </w:rPr>
              <w:t>2</w:t>
            </w:r>
          </w:p>
        </w:tc>
        <w:tc>
          <w:tcPr>
            <w:tcW w:type="dxa" w:w="1568"/>
            <w:vAlign w:val="top"/>
          </w:tcPr>
          <w:p>
            <w:pPr>
              <w:spacing w:before="60" w:after="60"/>
            </w:pPr>
            <w:r/>
            <w:r>
              <w:rPr>
                <w:rFonts w:ascii="Calibri" w:hAnsi="Calibri"/>
                <w:b w:val="0"/>
                <w:i w:val="0"/>
                <w:sz w:val="24"/>
              </w:rPr>
              <w:t>2</w:t>
            </w:r>
          </w:p>
        </w:tc>
        <w:tc>
          <w:tcPr>
            <w:tcW w:type="dxa" w:w="1568"/>
            <w:vAlign w:val="top"/>
          </w:tcPr>
          <w:p>
            <w:pPr>
              <w:spacing w:before="60" w:after="60"/>
            </w:pPr>
            <w:r/>
            <w:r>
              <w:rPr>
                <w:rFonts w:ascii="Calibri" w:hAnsi="Calibri"/>
                <w:b w:val="0"/>
                <w:i w:val="0"/>
                <w:sz w:val="24"/>
              </w:rPr>
              <w:t>=</w:t>
            </w:r>
          </w:p>
        </w:tc>
        <w:tc>
          <w:tcPr>
            <w:tcW w:type="dxa" w:w="1568"/>
            <w:vAlign w:val="top"/>
          </w:tcPr>
          <w:p>
            <w:pPr>
              <w:spacing w:before="60" w:after="60"/>
            </w:pPr>
            <w:r/>
            <w:r>
              <w:rPr>
                <w:rFonts w:ascii="Calibri" w:hAnsi="Calibri"/>
                <w:b w:val="0"/>
                <w:i w:val="0"/>
                <w:sz w:val="24"/>
              </w:rPr>
              <w:t>Stable. mv_books_catalog_list_v1 et mv_books_catalog_list_network_v1 inchangées.</w:t>
            </w:r>
          </w:p>
        </w:tc>
      </w:tr>
      <w:tr>
        <w:tc>
          <w:tcPr>
            <w:tcW w:type="dxa" w:w="1568"/>
            <w:vAlign w:val="top"/>
          </w:tcPr>
          <w:p>
            <w:pPr>
              <w:spacing w:before="60" w:after="60"/>
            </w:pPr>
            <w:r/>
            <w:r>
              <w:rPr>
                <w:rFonts w:ascii="Calibri" w:hAnsi="Calibri"/>
                <w:b w:val="0"/>
                <w:i w:val="0"/>
                <w:sz w:val="24"/>
              </w:rPr>
              <w:t>Fonctions (total)</w:t>
            </w:r>
          </w:p>
        </w:tc>
        <w:tc>
          <w:tcPr>
            <w:tcW w:type="dxa" w:w="1568"/>
            <w:vAlign w:val="top"/>
          </w:tcPr>
          <w:p>
            <w:pPr>
              <w:spacing w:before="60" w:after="60"/>
            </w:pPr>
            <w:r/>
            <w:r>
              <w:rPr>
                <w:rFonts w:ascii="Calibri" w:hAnsi="Calibri"/>
                <w:b w:val="0"/>
                <w:i w:val="0"/>
                <w:sz w:val="24"/>
              </w:rPr>
              <w:t>291</w:t>
            </w:r>
          </w:p>
        </w:tc>
        <w:tc>
          <w:tcPr>
            <w:tcW w:type="dxa" w:w="1568"/>
            <w:vAlign w:val="top"/>
          </w:tcPr>
          <w:p>
            <w:pPr>
              <w:spacing w:before="60" w:after="60"/>
            </w:pPr>
            <w:r/>
            <w:r>
              <w:rPr>
                <w:rFonts w:ascii="Calibri" w:hAnsi="Calibri"/>
                <w:b w:val="0"/>
                <w:i w:val="0"/>
                <w:sz w:val="24"/>
              </w:rPr>
              <w:t>373</w:t>
            </w:r>
          </w:p>
        </w:tc>
        <w:tc>
          <w:tcPr>
            <w:tcW w:type="dxa" w:w="1568"/>
            <w:vAlign w:val="top"/>
          </w:tcPr>
          <w:p>
            <w:pPr>
              <w:spacing w:before="60" w:after="60"/>
            </w:pPr>
            <w:r/>
            <w:r>
              <w:rPr>
                <w:rFonts w:ascii="Calibri" w:hAnsi="Calibri"/>
                <w:b w:val="0"/>
                <w:i w:val="0"/>
                <w:sz w:val="24"/>
              </w:rPr>
              <w:t>380</w:t>
            </w:r>
          </w:p>
        </w:tc>
        <w:tc>
          <w:tcPr>
            <w:tcW w:type="dxa" w:w="1568"/>
            <w:vAlign w:val="top"/>
          </w:tcPr>
          <w:p>
            <w:pPr>
              <w:spacing w:before="60" w:after="60"/>
            </w:pPr>
            <w:r/>
            <w:r>
              <w:rPr>
                <w:rFonts w:ascii="Calibri" w:hAnsi="Calibri"/>
                <w:b w:val="0"/>
                <w:i w:val="0"/>
                <w:sz w:val="24"/>
              </w:rPr>
              <w:t>+7</w:t>
            </w:r>
          </w:p>
        </w:tc>
        <w:tc>
          <w:tcPr>
            <w:tcW w:type="dxa" w:w="1568"/>
            <w:vAlign w:val="top"/>
          </w:tcPr>
          <w:p>
            <w:pPr>
              <w:spacing w:before="60" w:after="60"/>
            </w:pPr>
            <w:r/>
            <w:r>
              <w:rPr>
                <w:rFonts w:ascii="Calibri" w:hAnsi="Calibri"/>
                <w:b w:val="0"/>
                <w:i w:val="0"/>
                <w:sz w:val="24"/>
              </w:rPr>
              <w:t>Croissance ralentie à proportion de la stratégie de jonction posée en v14.</w:t>
            </w:r>
          </w:p>
        </w:tc>
      </w:tr>
      <w:tr>
        <w:tc>
          <w:tcPr>
            <w:tcW w:type="dxa" w:w="1568"/>
            <w:vAlign w:val="top"/>
          </w:tcPr>
          <w:p>
            <w:pPr>
              <w:spacing w:before="60" w:after="60"/>
            </w:pPr>
            <w:r/>
            <w:r>
              <w:rPr>
                <w:rFonts w:ascii="Calibri" w:hAnsi="Calibri"/>
                <w:b w:val="0"/>
                <w:i w:val="0"/>
                <w:sz w:val="24"/>
              </w:rPr>
              <w:t>Fonctions SECURITY DEFINER</w:t>
            </w:r>
          </w:p>
        </w:tc>
        <w:tc>
          <w:tcPr>
            <w:tcW w:type="dxa" w:w="1568"/>
            <w:vAlign w:val="top"/>
          </w:tcPr>
          <w:p>
            <w:pPr>
              <w:spacing w:before="60" w:after="60"/>
            </w:pPr>
            <w:r/>
            <w:r>
              <w:rPr>
                <w:rFonts w:ascii="Calibri" w:hAnsi="Calibri"/>
                <w:b w:val="0"/>
                <w:i w:val="0"/>
                <w:sz w:val="24"/>
              </w:rPr>
              <w:t>167</w:t>
            </w:r>
          </w:p>
        </w:tc>
        <w:tc>
          <w:tcPr>
            <w:tcW w:type="dxa" w:w="1568"/>
            <w:vAlign w:val="top"/>
          </w:tcPr>
          <w:p>
            <w:pPr>
              <w:spacing w:before="60" w:after="60"/>
            </w:pPr>
            <w:r/>
            <w:r>
              <w:rPr>
                <w:rFonts w:ascii="Calibri" w:hAnsi="Calibri"/>
                <w:b w:val="0"/>
                <w:i w:val="0"/>
                <w:sz w:val="24"/>
              </w:rPr>
              <w:t>250</w:t>
            </w:r>
          </w:p>
        </w:tc>
        <w:tc>
          <w:tcPr>
            <w:tcW w:type="dxa" w:w="1568"/>
            <w:vAlign w:val="top"/>
          </w:tcPr>
          <w:p>
            <w:pPr>
              <w:spacing w:before="60" w:after="60"/>
            </w:pPr>
            <w:r/>
            <w:r>
              <w:rPr>
                <w:rFonts w:ascii="Calibri" w:hAnsi="Calibri"/>
                <w:b w:val="0"/>
                <w:i w:val="0"/>
                <w:sz w:val="24"/>
              </w:rPr>
              <w:t>247</w:t>
            </w:r>
          </w:p>
        </w:tc>
        <w:tc>
          <w:tcPr>
            <w:tcW w:type="dxa" w:w="1568"/>
            <w:vAlign w:val="top"/>
          </w:tcPr>
          <w:p>
            <w:pPr>
              <w:spacing w:before="60" w:after="60"/>
            </w:pPr>
            <w:r/>
            <w:r>
              <w:rPr>
                <w:rFonts w:ascii="Calibri" w:hAnsi="Calibri"/>
                <w:b w:val="0"/>
                <w:i w:val="0"/>
                <w:sz w:val="24"/>
              </w:rPr>
              <w:t>–3 (en termes nets)</w:t>
            </w:r>
          </w:p>
        </w:tc>
        <w:tc>
          <w:tcPr>
            <w:tcW w:type="dxa" w:w="1568"/>
            <w:vAlign w:val="top"/>
          </w:tcPr>
          <w:p>
            <w:pPr>
              <w:spacing w:before="60" w:after="60"/>
            </w:pPr>
            <w:r/>
            <w:r>
              <w:rPr>
                <w:rFonts w:ascii="Calibri" w:hAnsi="Calibri"/>
                <w:b w:val="0"/>
                <w:i w:val="0"/>
                <w:sz w:val="24"/>
              </w:rPr>
              <w:t>Stable. Le ratio SD / total reste à environ 65 %, cohérent avec une couche métier saine.</w:t>
            </w:r>
          </w:p>
        </w:tc>
      </w:tr>
      <w:tr>
        <w:tc>
          <w:tcPr>
            <w:tcW w:type="dxa" w:w="1568"/>
            <w:vAlign w:val="top"/>
          </w:tcPr>
          <w:p>
            <w:pPr>
              <w:spacing w:before="60" w:after="60"/>
            </w:pPr>
            <w:r/>
            <w:r>
              <w:rPr>
                <w:rFonts w:ascii="Calibri" w:hAnsi="Calibri"/>
                <w:b w:val="0"/>
                <w:i w:val="0"/>
                <w:sz w:val="24"/>
              </w:rPr>
              <w:t>Triggers</w:t>
            </w:r>
          </w:p>
        </w:tc>
        <w:tc>
          <w:tcPr>
            <w:tcW w:type="dxa" w:w="1568"/>
            <w:vAlign w:val="top"/>
          </w:tcPr>
          <w:p>
            <w:pPr>
              <w:spacing w:before="60" w:after="60"/>
            </w:pPr>
            <w:r/>
            <w:r>
              <w:rPr>
                <w:rFonts w:ascii="Calibri" w:hAnsi="Calibri"/>
                <w:b w:val="0"/>
                <w:i w:val="0"/>
                <w:sz w:val="24"/>
              </w:rPr>
              <w:t>52</w:t>
            </w:r>
          </w:p>
        </w:tc>
        <w:tc>
          <w:tcPr>
            <w:tcW w:type="dxa" w:w="1568"/>
            <w:vAlign w:val="top"/>
          </w:tcPr>
          <w:p>
            <w:pPr>
              <w:spacing w:before="60" w:after="60"/>
            </w:pPr>
            <w:r/>
            <w:r>
              <w:rPr>
                <w:rFonts w:ascii="Calibri" w:hAnsi="Calibri"/>
                <w:b w:val="0"/>
                <w:i w:val="0"/>
                <w:sz w:val="24"/>
              </w:rPr>
              <w:t>79</w:t>
            </w:r>
          </w:p>
        </w:tc>
        <w:tc>
          <w:tcPr>
            <w:tcW w:type="dxa" w:w="1568"/>
            <w:vAlign w:val="top"/>
          </w:tcPr>
          <w:p>
            <w:pPr>
              <w:spacing w:before="60" w:after="60"/>
            </w:pPr>
            <w:r/>
            <w:r>
              <w:rPr>
                <w:rFonts w:ascii="Calibri" w:hAnsi="Calibri"/>
                <w:b w:val="0"/>
                <w:i w:val="0"/>
                <w:sz w:val="24"/>
              </w:rPr>
              <w:t>78</w:t>
            </w:r>
          </w:p>
        </w:tc>
        <w:tc>
          <w:tcPr>
            <w:tcW w:type="dxa" w:w="1568"/>
            <w:vAlign w:val="top"/>
          </w:tcPr>
          <w:p>
            <w:pPr>
              <w:spacing w:before="60" w:after="60"/>
            </w:pPr>
            <w:r/>
            <w:r>
              <w:rPr>
                <w:rFonts w:ascii="Calibri" w:hAnsi="Calibri"/>
                <w:b w:val="0"/>
                <w:i w:val="0"/>
                <w:sz w:val="24"/>
              </w:rPr>
              <w:t>–1</w:t>
            </w:r>
          </w:p>
        </w:tc>
        <w:tc>
          <w:tcPr>
            <w:tcW w:type="dxa" w:w="1568"/>
            <w:vAlign w:val="top"/>
          </w:tcPr>
          <w:p>
            <w:pPr>
              <w:spacing w:before="60" w:after="60"/>
            </w:pPr>
            <w:r/>
            <w:r>
              <w:rPr>
                <w:rFonts w:ascii="Calibri" w:hAnsi="Calibri"/>
                <w:b w:val="0"/>
                <w:i w:val="0"/>
                <w:sz w:val="24"/>
              </w:rPr>
              <w:t>Stable. Le triple-défense PEB, les triggers de notification, les triggers d'audit immuable sont en production.</w:t>
            </w:r>
          </w:p>
        </w:tc>
      </w:tr>
      <w:tr>
        <w:tc>
          <w:tcPr>
            <w:tcW w:type="dxa" w:w="1568"/>
            <w:vAlign w:val="top"/>
          </w:tcPr>
          <w:p>
            <w:pPr>
              <w:spacing w:before="60" w:after="60"/>
            </w:pPr>
            <w:r/>
            <w:r>
              <w:rPr>
                <w:rFonts w:ascii="Calibri" w:hAnsi="Calibri"/>
                <w:b w:val="0"/>
                <w:i w:val="0"/>
                <w:sz w:val="24"/>
              </w:rPr>
              <w:t>Policies RLS</w:t>
            </w:r>
          </w:p>
        </w:tc>
        <w:tc>
          <w:tcPr>
            <w:tcW w:type="dxa" w:w="1568"/>
            <w:vAlign w:val="top"/>
          </w:tcPr>
          <w:p>
            <w:pPr>
              <w:spacing w:before="60" w:after="60"/>
            </w:pPr>
            <w:r/>
            <w:r>
              <w:rPr>
                <w:rFonts w:ascii="Calibri" w:hAnsi="Calibri"/>
                <w:b w:val="0"/>
                <w:i w:val="0"/>
                <w:sz w:val="24"/>
              </w:rPr>
              <w:t>108</w:t>
            </w:r>
          </w:p>
        </w:tc>
        <w:tc>
          <w:tcPr>
            <w:tcW w:type="dxa" w:w="1568"/>
            <w:vAlign w:val="top"/>
          </w:tcPr>
          <w:p>
            <w:pPr>
              <w:spacing w:before="60" w:after="60"/>
            </w:pPr>
            <w:r/>
            <w:r>
              <w:rPr>
                <w:rFonts w:ascii="Calibri" w:hAnsi="Calibri"/>
                <w:b w:val="0"/>
                <w:i w:val="0"/>
                <w:sz w:val="24"/>
              </w:rPr>
              <w:t>144</w:t>
            </w:r>
          </w:p>
        </w:tc>
        <w:tc>
          <w:tcPr>
            <w:tcW w:type="dxa" w:w="1568"/>
            <w:vAlign w:val="top"/>
          </w:tcPr>
          <w:p>
            <w:pPr>
              <w:spacing w:before="60" w:after="60"/>
            </w:pPr>
            <w:r/>
            <w:r>
              <w:rPr>
                <w:rFonts w:ascii="Calibri" w:hAnsi="Calibri"/>
                <w:b w:val="0"/>
                <w:i w:val="0"/>
                <w:sz w:val="24"/>
              </w:rPr>
              <w:t>160</w:t>
            </w:r>
          </w:p>
        </w:tc>
        <w:tc>
          <w:tcPr>
            <w:tcW w:type="dxa" w:w="1568"/>
            <w:vAlign w:val="top"/>
          </w:tcPr>
          <w:p>
            <w:pPr>
              <w:spacing w:before="60" w:after="60"/>
            </w:pPr>
            <w:r/>
            <w:r>
              <w:rPr>
                <w:rFonts w:ascii="Calibri" w:hAnsi="Calibri"/>
                <w:b w:val="0"/>
                <w:i w:val="0"/>
                <w:sz w:val="24"/>
              </w:rPr>
              <w:t>+16</w:t>
            </w:r>
          </w:p>
        </w:tc>
        <w:tc>
          <w:tcPr>
            <w:tcW w:type="dxa" w:w="1568"/>
            <w:vAlign w:val="top"/>
          </w:tcPr>
          <w:p>
            <w:pPr>
              <w:spacing w:before="60" w:after="60"/>
            </w:pPr>
            <w:r/>
            <w:r>
              <w:rPr>
                <w:rFonts w:ascii="Calibri" w:hAnsi="Calibri"/>
                <w:b w:val="0"/>
                <w:i w:val="0"/>
                <w:sz w:val="24"/>
              </w:rPr>
              <w:t>Densification continue. La couche admin réseau et la gouvernance staff ajoutent leurs policies au fur et à mesure des chantiers de finition.</w:t>
            </w:r>
          </w:p>
        </w:tc>
      </w:tr>
      <w:tr>
        <w:tc>
          <w:tcPr>
            <w:tcW w:type="dxa" w:w="1568"/>
            <w:vAlign w:val="top"/>
          </w:tcPr>
          <w:p>
            <w:pPr>
              <w:spacing w:before="60" w:after="60"/>
            </w:pPr>
            <w:r/>
            <w:r>
              <w:rPr>
                <w:rFonts w:ascii="Calibri" w:hAnsi="Calibri"/>
                <w:b w:val="0"/>
                <w:i w:val="0"/>
                <w:sz w:val="24"/>
              </w:rPr>
              <w:t>Indexes (explicites)</w:t>
            </w:r>
          </w:p>
        </w:tc>
        <w:tc>
          <w:tcPr>
            <w:tcW w:type="dxa" w:w="1568"/>
            <w:vAlign w:val="top"/>
          </w:tcPr>
          <w:p>
            <w:pPr>
              <w:spacing w:before="60" w:after="60"/>
            </w:pPr>
            <w:r/>
            <w:r>
              <w:rPr>
                <w:rFonts w:ascii="Calibri" w:hAnsi="Calibri"/>
                <w:b w:val="0"/>
                <w:i w:val="0"/>
                <w:sz w:val="24"/>
              </w:rPr>
              <w:t>210</w:t>
            </w:r>
          </w:p>
        </w:tc>
        <w:tc>
          <w:tcPr>
            <w:tcW w:type="dxa" w:w="1568"/>
            <w:vAlign w:val="top"/>
          </w:tcPr>
          <w:p>
            <w:pPr>
              <w:spacing w:before="60" w:after="60"/>
            </w:pPr>
            <w:r/>
            <w:r>
              <w:rPr>
                <w:rFonts w:ascii="Calibri" w:hAnsi="Calibri"/>
                <w:b w:val="0"/>
                <w:i w:val="0"/>
                <w:sz w:val="24"/>
              </w:rPr>
              <w:t>384 (incluant implicites)</w:t>
            </w:r>
          </w:p>
        </w:tc>
        <w:tc>
          <w:tcPr>
            <w:tcW w:type="dxa" w:w="1568"/>
            <w:vAlign w:val="top"/>
          </w:tcPr>
          <w:p>
            <w:pPr>
              <w:spacing w:before="60" w:after="60"/>
            </w:pPr>
            <w:r/>
            <w:r>
              <w:rPr>
                <w:rFonts w:ascii="Calibri" w:hAnsi="Calibri"/>
                <w:b w:val="0"/>
                <w:i w:val="0"/>
                <w:sz w:val="24"/>
              </w:rPr>
              <w:t>241 explicites + 98 PK + 27 UNIQUE = ≈366 effectifs</w:t>
            </w:r>
          </w:p>
        </w:tc>
        <w:tc>
          <w:tcPr>
            <w:tcW w:type="dxa" w:w="1568"/>
            <w:vAlign w:val="top"/>
          </w:tcPr>
          <w:p>
            <w:pPr>
              <w:spacing w:before="60" w:after="60"/>
            </w:pPr>
            <w:r/>
            <w:r>
              <w:rPr>
                <w:rFonts w:ascii="Calibri" w:hAnsi="Calibri"/>
                <w:b w:val="0"/>
                <w:i w:val="0"/>
                <w:sz w:val="24"/>
              </w:rPr>
              <w:t>≈ –18 effectifs (artefact de méthode)</w:t>
            </w:r>
          </w:p>
        </w:tc>
        <w:tc>
          <w:tcPr>
            <w:tcW w:type="dxa" w:w="1568"/>
            <w:vAlign w:val="top"/>
          </w:tcPr>
          <w:p>
            <w:pPr>
              <w:spacing w:before="60" w:after="60"/>
            </w:pPr>
            <w:r/>
            <w:r>
              <w:rPr>
                <w:rFonts w:ascii="Calibri" w:hAnsi="Calibri"/>
                <w:b w:val="0"/>
                <w:i w:val="0"/>
                <w:sz w:val="24"/>
              </w:rPr>
              <w:t>Stable à méthode comparable. La doctrine v13 (reset des statistiques après usage tiers pour réévaluer) reste valide.</w:t>
            </w:r>
          </w:p>
        </w:tc>
      </w:tr>
      <w:tr>
        <w:tc>
          <w:tcPr>
            <w:tcW w:type="dxa" w:w="1568"/>
            <w:vAlign w:val="top"/>
          </w:tcPr>
          <w:p>
            <w:pPr>
              <w:spacing w:before="60" w:after="60"/>
            </w:pPr>
            <w:r/>
            <w:r>
              <w:rPr>
                <w:rFonts w:ascii="Calibri" w:hAnsi="Calibri"/>
                <w:b w:val="0"/>
                <w:i w:val="0"/>
                <w:sz w:val="24"/>
              </w:rPr>
              <w:t>Clés étrangères</w:t>
            </w:r>
          </w:p>
        </w:tc>
        <w:tc>
          <w:tcPr>
            <w:tcW w:type="dxa" w:w="1568"/>
            <w:vAlign w:val="top"/>
          </w:tcPr>
          <w:p>
            <w:pPr>
              <w:spacing w:before="60" w:after="60"/>
            </w:pPr>
            <w:r/>
            <w:r>
              <w:rPr>
                <w:rFonts w:ascii="Calibri" w:hAnsi="Calibri"/>
                <w:b w:val="0"/>
                <w:i w:val="0"/>
                <w:sz w:val="24"/>
              </w:rPr>
              <w:t>148</w:t>
            </w:r>
          </w:p>
        </w:tc>
        <w:tc>
          <w:tcPr>
            <w:tcW w:type="dxa" w:w="1568"/>
            <w:vAlign w:val="top"/>
          </w:tcPr>
          <w:p>
            <w:pPr>
              <w:spacing w:before="60" w:after="60"/>
            </w:pPr>
            <w:r/>
            <w:r>
              <w:rPr>
                <w:rFonts w:ascii="Calibri" w:hAnsi="Calibri"/>
                <w:b w:val="0"/>
                <w:i w:val="0"/>
                <w:sz w:val="24"/>
              </w:rPr>
              <w:t>187</w:t>
            </w:r>
          </w:p>
        </w:tc>
        <w:tc>
          <w:tcPr>
            <w:tcW w:type="dxa" w:w="1568"/>
            <w:vAlign w:val="top"/>
          </w:tcPr>
          <w:p>
            <w:pPr>
              <w:spacing w:before="60" w:after="60"/>
            </w:pPr>
            <w:r/>
            <w:r>
              <w:rPr>
                <w:rFonts w:ascii="Calibri" w:hAnsi="Calibri"/>
                <w:b w:val="0"/>
                <w:i w:val="0"/>
                <w:sz w:val="24"/>
              </w:rPr>
              <w:t>180</w:t>
            </w:r>
          </w:p>
        </w:tc>
        <w:tc>
          <w:tcPr>
            <w:tcW w:type="dxa" w:w="1568"/>
            <w:vAlign w:val="top"/>
          </w:tcPr>
          <w:p>
            <w:pPr>
              <w:spacing w:before="60" w:after="60"/>
            </w:pPr>
            <w:r/>
            <w:r>
              <w:rPr>
                <w:rFonts w:ascii="Calibri" w:hAnsi="Calibri"/>
                <w:b w:val="0"/>
                <w:i w:val="0"/>
                <w:sz w:val="24"/>
              </w:rPr>
              <w:t>–7</w:t>
            </w:r>
          </w:p>
        </w:tc>
        <w:tc>
          <w:tcPr>
            <w:tcW w:type="dxa" w:w="1568"/>
            <w:vAlign w:val="top"/>
          </w:tcPr>
          <w:p>
            <w:pPr>
              <w:spacing w:before="60" w:after="60"/>
            </w:pPr>
            <w:r/>
            <w:r>
              <w:rPr>
                <w:rFonts w:ascii="Calibri" w:hAnsi="Calibri"/>
                <w:b w:val="0"/>
                <w:i w:val="0"/>
                <w:sz w:val="24"/>
              </w:rPr>
              <w:t>Consolidation cohérente avec la fusion de tables (#153).</w:t>
            </w:r>
          </w:p>
        </w:tc>
      </w:tr>
    </w:tbl>
    <w:p>
      <w:pPr>
        <w:spacing w:after="160"/>
      </w:pPr>
    </w:p>
    <w:p>
      <w:pPr>
        <w:spacing w:before="0" w:after="160"/>
      </w:pPr>
      <w:r>
        <w:rPr>
          <w:rFonts w:ascii="Calibri" w:hAnsi="Calibri"/>
          <w:b w:val="0"/>
          <w:i w:val="0"/>
          <w:sz w:val="28"/>
        </w:rPr>
        <w:t xml:space="preserve">L'image stratégique que tirent ces chiffres tient en une phrase : </w:t>
      </w:r>
      <w:r>
        <w:rPr>
          <w:rFonts w:ascii="Calibri" w:hAnsi="Calibri"/>
          <w:b/>
          <w:i w:val="0"/>
          <w:sz w:val="28"/>
        </w:rPr>
        <w:t>le backend ne se développe plus qu'au rythme strict des couches qu'il doit accompagner</w:t>
      </w:r>
      <w:r>
        <w:rPr>
          <w:rFonts w:ascii="Calibri" w:hAnsi="Calibri"/>
          <w:b w:val="0"/>
          <w:i w:val="0"/>
          <w:sz w:val="28"/>
        </w:rPr>
        <w:t>. La v14 avait mesuré une expansion forte (+82 fonctions en 19 jours). La v16, sur 8 jours, mesure une consolidation (+7 fonctions, et –3 tables). C'est exactement le mouvement que la doctrine de jonction v14 appelait : cesser temporairement d'ajouter des paliers backend, consacrer la fenêtre à câbler ce qui a été posé. Le projet exécute désormais cette doctrine.</w:t>
      </w:r>
    </w:p>
    <w:p>
      <w:pPr>
        <w:keepNext/>
        <w:spacing w:before="360" w:after="160"/>
      </w:pPr>
      <w:r>
        <w:rPr>
          <w:rFonts w:ascii="Calibri" w:hAnsi="Calibri"/>
          <w:b/>
          <w:color w:val="2E74B5"/>
          <w:sz w:val="36"/>
        </w:rPr>
        <w:t>13.2 Grand tableau de progression par axe v16</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vAlign w:val="top"/>
            <w:shd w:val="clear" w:color="auto" w:fill="D9E2F3"/>
          </w:tcPr>
          <w:p>
            <w:pPr>
              <w:spacing w:before="60" w:after="60"/>
            </w:pPr>
            <w:r/>
            <w:r>
              <w:rPr>
                <w:rFonts w:ascii="Calibri" w:hAnsi="Calibri"/>
                <w:b/>
                <w:i w:val="0"/>
                <w:sz w:val="24"/>
              </w:rPr>
              <w:t>Grand axe</w:t>
            </w:r>
          </w:p>
        </w:tc>
        <w:tc>
          <w:tcPr>
            <w:tcW w:type="dxa" w:w="1881"/>
            <w:vAlign w:val="top"/>
            <w:shd w:val="clear" w:color="auto" w:fill="D9E2F3"/>
          </w:tcPr>
          <w:p>
            <w:pPr>
              <w:spacing w:before="60" w:after="60"/>
            </w:pPr>
            <w:r/>
            <w:r>
              <w:rPr>
                <w:rFonts w:ascii="Calibri" w:hAnsi="Calibri"/>
                <w:b/>
                <w:i w:val="0"/>
                <w:sz w:val="24"/>
              </w:rPr>
              <w:t>v14 (19/05)</w:t>
            </w:r>
          </w:p>
        </w:tc>
        <w:tc>
          <w:tcPr>
            <w:tcW w:type="dxa" w:w="1881"/>
            <w:vAlign w:val="top"/>
            <w:shd w:val="clear" w:color="auto" w:fill="D9E2F3"/>
          </w:tcPr>
          <w:p>
            <w:pPr>
              <w:spacing w:before="60" w:after="60"/>
            </w:pPr>
            <w:r/>
            <w:r>
              <w:rPr>
                <w:rFonts w:ascii="Calibri" w:hAnsi="Calibri"/>
                <w:b/>
                <w:i w:val="0"/>
                <w:sz w:val="24"/>
              </w:rPr>
              <w:t>v15 (21/05)</w:t>
            </w:r>
          </w:p>
        </w:tc>
        <w:tc>
          <w:tcPr>
            <w:tcW w:type="dxa" w:w="1881"/>
            <w:vAlign w:val="top"/>
            <w:shd w:val="clear" w:color="auto" w:fill="D9E2F3"/>
          </w:tcPr>
          <w:p>
            <w:pPr>
              <w:spacing w:before="60" w:after="60"/>
            </w:pPr>
            <w:r/>
            <w:r>
              <w:rPr>
                <w:rFonts w:ascii="Calibri" w:hAnsi="Calibri"/>
                <w:b/>
                <w:i w:val="0"/>
                <w:sz w:val="24"/>
              </w:rPr>
              <w:t>v16 (27/05)</w:t>
            </w:r>
          </w:p>
        </w:tc>
        <w:tc>
          <w:tcPr>
            <w:tcW w:type="dxa" w:w="1881"/>
            <w:vAlign w:val="top"/>
            <w:shd w:val="clear" w:color="auto" w:fill="D9E2F3"/>
          </w:tcPr>
          <w:p>
            <w:pPr>
              <w:spacing w:before="60" w:after="60"/>
            </w:pPr>
            <w:r/>
            <w:r>
              <w:rPr>
                <w:rFonts w:ascii="Calibri" w:hAnsi="Calibri"/>
                <w:b/>
                <w:i w:val="0"/>
                <w:sz w:val="24"/>
              </w:rPr>
              <w:t>Précision apportée</w:t>
            </w:r>
          </w:p>
        </w:tc>
      </w:tr>
      <w:tr>
        <w:tc>
          <w:tcPr>
            <w:tcW w:type="dxa" w:w="1881"/>
            <w:vAlign w:val="top"/>
          </w:tcPr>
          <w:p>
            <w:pPr>
              <w:spacing w:before="60" w:after="60"/>
            </w:pPr>
            <w:r/>
            <w:r>
              <w:rPr>
                <w:rFonts w:ascii="Calibri" w:hAnsi="Calibri"/>
                <w:b w:val="0"/>
                <w:i w:val="0"/>
                <w:sz w:val="24"/>
              </w:rPr>
              <w:t>Socle transversal et architecture commune</w:t>
            </w:r>
          </w:p>
        </w:tc>
        <w:tc>
          <w:tcPr>
            <w:tcW w:type="dxa" w:w="1881"/>
            <w:vAlign w:val="top"/>
          </w:tcPr>
          <w:p>
            <w:pPr>
              <w:spacing w:before="60" w:after="60"/>
            </w:pPr>
            <w:r/>
            <w:r>
              <w:rPr>
                <w:rFonts w:ascii="Calibri" w:hAnsi="Calibri"/>
                <w:b w:val="0"/>
                <w:i w:val="0"/>
                <w:sz w:val="24"/>
              </w:rPr>
              <w:t>92 %</w:t>
            </w:r>
          </w:p>
        </w:tc>
        <w:tc>
          <w:tcPr>
            <w:tcW w:type="dxa" w:w="1881"/>
            <w:vAlign w:val="top"/>
          </w:tcPr>
          <w:p>
            <w:pPr>
              <w:spacing w:before="60" w:after="60"/>
            </w:pPr>
            <w:r/>
            <w:r>
              <w:rPr>
                <w:rFonts w:ascii="Calibri" w:hAnsi="Calibri"/>
                <w:b w:val="0"/>
                <w:i w:val="0"/>
                <w:sz w:val="24"/>
              </w:rPr>
              <w:t>93 %</w:t>
            </w:r>
          </w:p>
        </w:tc>
        <w:tc>
          <w:tcPr>
            <w:tcW w:type="dxa" w:w="1881"/>
            <w:vAlign w:val="top"/>
          </w:tcPr>
          <w:p>
            <w:pPr>
              <w:spacing w:before="60" w:after="60"/>
            </w:pPr>
            <w:r/>
            <w:r>
              <w:rPr>
                <w:rFonts w:ascii="Calibri" w:hAnsi="Calibri"/>
                <w:b w:val="0"/>
                <w:i w:val="0"/>
                <w:sz w:val="24"/>
              </w:rPr>
              <w:t>94 %</w:t>
            </w:r>
          </w:p>
        </w:tc>
        <w:tc>
          <w:tcPr>
            <w:tcW w:type="dxa" w:w="1881"/>
            <w:vAlign w:val="top"/>
          </w:tcPr>
          <w:p>
            <w:pPr>
              <w:spacing w:before="60" w:after="60"/>
            </w:pPr>
            <w:r/>
            <w:r>
              <w:rPr>
                <w:rFonts w:ascii="Calibri" w:hAnsi="Calibri"/>
                <w:b w:val="0"/>
                <w:i w:val="0"/>
                <w:sz w:val="24"/>
              </w:rPr>
              <w:t>Chapitre 0 v16 inscrit la doctrine transverse item_status / workflow_stage.</w:t>
            </w:r>
          </w:p>
        </w:tc>
      </w:tr>
      <w:tr>
        <w:tc>
          <w:tcPr>
            <w:tcW w:type="dxa" w:w="1881"/>
            <w:vAlign w:val="top"/>
          </w:tcPr>
          <w:p>
            <w:pPr>
              <w:spacing w:before="60" w:after="60"/>
            </w:pPr>
            <w:r/>
            <w:r>
              <w:rPr>
                <w:rFonts w:ascii="Calibri" w:hAnsi="Calibri"/>
                <w:b w:val="0"/>
                <w:i w:val="0"/>
                <w:sz w:val="24"/>
              </w:rPr>
              <w:t>Front public</w:t>
            </w:r>
          </w:p>
        </w:tc>
        <w:tc>
          <w:tcPr>
            <w:tcW w:type="dxa" w:w="1881"/>
            <w:vAlign w:val="top"/>
          </w:tcPr>
          <w:p>
            <w:pPr>
              <w:spacing w:before="60" w:after="60"/>
            </w:pPr>
            <w:r/>
            <w:r>
              <w:rPr>
                <w:rFonts w:ascii="Calibri" w:hAnsi="Calibri"/>
                <w:b w:val="0"/>
                <w:i w:val="0"/>
                <w:sz w:val="24"/>
              </w:rPr>
              <w:t>92 %</w:t>
            </w:r>
          </w:p>
        </w:tc>
        <w:tc>
          <w:tcPr>
            <w:tcW w:type="dxa" w:w="1881"/>
            <w:vAlign w:val="top"/>
          </w:tcPr>
          <w:p>
            <w:pPr>
              <w:spacing w:before="60" w:after="60"/>
            </w:pPr>
            <w:r/>
            <w:r>
              <w:rPr>
                <w:rFonts w:ascii="Calibri" w:hAnsi="Calibri"/>
                <w:b w:val="0"/>
                <w:i w:val="0"/>
                <w:sz w:val="24"/>
              </w:rPr>
              <w:t>92 %</w:t>
            </w:r>
          </w:p>
        </w:tc>
        <w:tc>
          <w:tcPr>
            <w:tcW w:type="dxa" w:w="1881"/>
            <w:vAlign w:val="top"/>
          </w:tcPr>
          <w:p>
            <w:pPr>
              <w:spacing w:before="60" w:after="60"/>
            </w:pPr>
            <w:r/>
            <w:r>
              <w:rPr>
                <w:rFonts w:ascii="Calibri" w:hAnsi="Calibri"/>
                <w:b w:val="0"/>
                <w:i w:val="0"/>
                <w:sz w:val="24"/>
              </w:rPr>
              <w:t>92 %</w:t>
            </w:r>
          </w:p>
        </w:tc>
        <w:tc>
          <w:tcPr>
            <w:tcW w:type="dxa" w:w="1881"/>
            <w:vAlign w:val="top"/>
          </w:tcPr>
          <w:p>
            <w:pPr>
              <w:spacing w:before="60" w:after="60"/>
            </w:pPr>
            <w:r/>
            <w:r>
              <w:rPr>
                <w:rFonts w:ascii="Calibri" w:hAnsi="Calibri"/>
                <w:b w:val="0"/>
                <w:i w:val="0"/>
                <w:sz w:val="24"/>
              </w:rPr>
              <w:t>Stable.</w:t>
            </w:r>
          </w:p>
        </w:tc>
      </w:tr>
      <w:tr>
        <w:tc>
          <w:tcPr>
            <w:tcW w:type="dxa" w:w="1881"/>
            <w:vAlign w:val="top"/>
          </w:tcPr>
          <w:p>
            <w:pPr>
              <w:spacing w:before="60" w:after="60"/>
            </w:pPr>
            <w:r/>
            <w:r>
              <w:rPr>
                <w:rFonts w:ascii="Calibri" w:hAnsi="Calibri"/>
                <w:b w:val="0"/>
                <w:i w:val="0"/>
                <w:sz w:val="24"/>
              </w:rPr>
              <w:t>Produit local lecteur</w:t>
            </w:r>
          </w:p>
        </w:tc>
        <w:tc>
          <w:tcPr>
            <w:tcW w:type="dxa" w:w="1881"/>
            <w:vAlign w:val="top"/>
          </w:tcPr>
          <w:p>
            <w:pPr>
              <w:spacing w:before="60" w:after="60"/>
            </w:pPr>
            <w:r/>
            <w:r>
              <w:rPr>
                <w:rFonts w:ascii="Calibri" w:hAnsi="Calibri"/>
                <w:b w:val="0"/>
                <w:i w:val="0"/>
                <w:sz w:val="24"/>
              </w:rPr>
              <w:t>95 %</w:t>
            </w:r>
          </w:p>
        </w:tc>
        <w:tc>
          <w:tcPr>
            <w:tcW w:type="dxa" w:w="1881"/>
            <w:vAlign w:val="top"/>
          </w:tcPr>
          <w:p>
            <w:pPr>
              <w:spacing w:before="60" w:after="60"/>
            </w:pPr>
            <w:r/>
            <w:r>
              <w:rPr>
                <w:rFonts w:ascii="Calibri" w:hAnsi="Calibri"/>
                <w:b w:val="0"/>
                <w:i w:val="0"/>
                <w:sz w:val="24"/>
              </w:rPr>
              <w:t>95 %</w:t>
            </w:r>
          </w:p>
        </w:tc>
        <w:tc>
          <w:tcPr>
            <w:tcW w:type="dxa" w:w="1881"/>
            <w:vAlign w:val="top"/>
          </w:tcPr>
          <w:p>
            <w:pPr>
              <w:spacing w:before="60" w:after="60"/>
            </w:pPr>
            <w:r/>
            <w:r>
              <w:rPr>
                <w:rFonts w:ascii="Calibri" w:hAnsi="Calibri"/>
                <w:b w:val="0"/>
                <w:i w:val="0"/>
                <w:sz w:val="24"/>
              </w:rPr>
              <w:t>95 %</w:t>
            </w:r>
          </w:p>
        </w:tc>
        <w:tc>
          <w:tcPr>
            <w:tcW w:type="dxa" w:w="1881"/>
            <w:vAlign w:val="top"/>
          </w:tcPr>
          <w:p>
            <w:pPr>
              <w:spacing w:before="60" w:after="60"/>
            </w:pPr>
            <w:r/>
            <w:r>
              <w:rPr>
                <w:rFonts w:ascii="Calibri" w:hAnsi="Calibri"/>
                <w:b w:val="0"/>
                <w:i w:val="0"/>
                <w:sz w:val="24"/>
              </w:rPr>
              <w:t>Stable.</w:t>
            </w:r>
          </w:p>
        </w:tc>
      </w:tr>
      <w:tr>
        <w:tc>
          <w:tcPr>
            <w:tcW w:type="dxa" w:w="1881"/>
            <w:vAlign w:val="top"/>
          </w:tcPr>
          <w:p>
            <w:pPr>
              <w:spacing w:before="60" w:after="60"/>
            </w:pPr>
            <w:r/>
            <w:r>
              <w:rPr>
                <w:rFonts w:ascii="Calibri" w:hAnsi="Calibri"/>
                <w:b w:val="0"/>
                <w:i w:val="0"/>
                <w:sz w:val="24"/>
              </w:rPr>
              <w:t>Produit local bibliothécaire</w:t>
            </w:r>
          </w:p>
        </w:tc>
        <w:tc>
          <w:tcPr>
            <w:tcW w:type="dxa" w:w="1881"/>
            <w:vAlign w:val="top"/>
          </w:tcPr>
          <w:p>
            <w:pPr>
              <w:spacing w:before="60" w:after="60"/>
            </w:pPr>
            <w:r/>
            <w:r>
              <w:rPr>
                <w:rFonts w:ascii="Calibri" w:hAnsi="Calibri"/>
                <w:b w:val="0"/>
                <w:i w:val="0"/>
                <w:sz w:val="24"/>
              </w:rPr>
              <w:t>92 %</w:t>
            </w:r>
          </w:p>
        </w:tc>
        <w:tc>
          <w:tcPr>
            <w:tcW w:type="dxa" w:w="1881"/>
            <w:vAlign w:val="top"/>
          </w:tcPr>
          <w:p>
            <w:pPr>
              <w:spacing w:before="60" w:after="60"/>
            </w:pPr>
            <w:r/>
            <w:r>
              <w:rPr>
                <w:rFonts w:ascii="Calibri" w:hAnsi="Calibri"/>
                <w:b w:val="0"/>
                <w:i w:val="0"/>
                <w:sz w:val="24"/>
              </w:rPr>
              <w:t>93 %</w:t>
            </w:r>
          </w:p>
        </w:tc>
        <w:tc>
          <w:tcPr>
            <w:tcW w:type="dxa" w:w="1881"/>
            <w:vAlign w:val="top"/>
          </w:tcPr>
          <w:p>
            <w:pPr>
              <w:spacing w:before="60" w:after="60"/>
            </w:pPr>
            <w:r/>
            <w:r>
              <w:rPr>
                <w:rFonts w:ascii="Calibri" w:hAnsi="Calibri"/>
                <w:b w:val="0"/>
                <w:i w:val="0"/>
                <w:sz w:val="24"/>
              </w:rPr>
              <w:t>95 %</w:t>
            </w:r>
          </w:p>
        </w:tc>
        <w:tc>
          <w:tcPr>
            <w:tcW w:type="dxa" w:w="1881"/>
            <w:vAlign w:val="top"/>
          </w:tcPr>
          <w:p>
            <w:pPr>
              <w:spacing w:before="60" w:after="60"/>
            </w:pPr>
            <w:r/>
            <w:r>
              <w:rPr>
                <w:rFonts w:ascii="Calibri" w:hAnsi="Calibri"/>
                <w:b w:val="0"/>
                <w:i w:val="0"/>
                <w:sz w:val="24"/>
              </w:rPr>
              <w:t>Chantier A du Painel clos (EA-05 + EA-09 + EA-13). Vocabulaire technique en pt-BR/fr/es/it/de/en harmonisé.</w:t>
            </w:r>
          </w:p>
        </w:tc>
      </w:tr>
      <w:tr>
        <w:tc>
          <w:tcPr>
            <w:tcW w:type="dxa" w:w="1881"/>
            <w:vAlign w:val="top"/>
          </w:tcPr>
          <w:p>
            <w:pPr>
              <w:spacing w:before="60" w:after="60"/>
            </w:pPr>
            <w:r/>
            <w:r>
              <w:rPr>
                <w:rFonts w:ascii="Calibri" w:hAnsi="Calibri"/>
                <w:b w:val="0"/>
                <w:i w:val="0"/>
                <w:sz w:val="24"/>
              </w:rPr>
              <w:t>Circulation, réservations v2 et extinction du legacy</w:t>
            </w:r>
          </w:p>
        </w:tc>
        <w:tc>
          <w:tcPr>
            <w:tcW w:type="dxa" w:w="1881"/>
            <w:vAlign w:val="top"/>
          </w:tcPr>
          <w:p>
            <w:pPr>
              <w:spacing w:before="60" w:after="60"/>
            </w:pPr>
            <w:r/>
            <w:r>
              <w:rPr>
                <w:rFonts w:ascii="Calibri" w:hAnsi="Calibri"/>
                <w:b w:val="0"/>
                <w:i w:val="0"/>
                <w:sz w:val="24"/>
              </w:rPr>
              <w:t>93 %</w:t>
            </w:r>
          </w:p>
        </w:tc>
        <w:tc>
          <w:tcPr>
            <w:tcW w:type="dxa" w:w="1881"/>
            <w:vAlign w:val="top"/>
          </w:tcPr>
          <w:p>
            <w:pPr>
              <w:spacing w:before="60" w:after="60"/>
            </w:pPr>
            <w:r/>
            <w:r>
              <w:rPr>
                <w:rFonts w:ascii="Calibri" w:hAnsi="Calibri"/>
                <w:b w:val="0"/>
                <w:i w:val="0"/>
                <w:sz w:val="24"/>
              </w:rPr>
              <w:t>94 %</w:t>
            </w:r>
          </w:p>
        </w:tc>
        <w:tc>
          <w:tcPr>
            <w:tcW w:type="dxa" w:w="1881"/>
            <w:vAlign w:val="top"/>
          </w:tcPr>
          <w:p>
            <w:pPr>
              <w:spacing w:before="60" w:after="60"/>
            </w:pPr>
            <w:r/>
            <w:r>
              <w:rPr>
                <w:rFonts w:ascii="Calibri" w:hAnsi="Calibri"/>
                <w:b w:val="0"/>
                <w:i w:val="0"/>
                <w:sz w:val="24"/>
              </w:rPr>
              <w:t>94 %</w:t>
            </w:r>
          </w:p>
        </w:tc>
        <w:tc>
          <w:tcPr>
            <w:tcW w:type="dxa" w:w="1881"/>
            <w:vAlign w:val="top"/>
          </w:tcPr>
          <w:p>
            <w:pPr>
              <w:spacing w:before="60" w:after="60"/>
            </w:pPr>
            <w:r/>
            <w:r>
              <w:rPr>
                <w:rFonts w:ascii="Calibri" w:hAnsi="Calibri"/>
                <w:b w:val="0"/>
                <w:i w:val="0"/>
                <w:sz w:val="24"/>
              </w:rPr>
              <w:t>Stable. Bug du 26/05 corrigé.</w:t>
            </w:r>
          </w:p>
        </w:tc>
      </w:tr>
      <w:tr>
        <w:tc>
          <w:tcPr>
            <w:tcW w:type="dxa" w:w="1881"/>
            <w:vAlign w:val="top"/>
          </w:tcPr>
          <w:p>
            <w:pPr>
              <w:spacing w:before="60" w:after="60"/>
            </w:pPr>
            <w:r/>
            <w:r>
              <w:rPr>
                <w:rFonts w:ascii="Calibri" w:hAnsi="Calibri"/>
                <w:b w:val="0"/>
                <w:i w:val="0"/>
                <w:sz w:val="24"/>
              </w:rPr>
              <w:t>Catalogação</w:t>
            </w:r>
          </w:p>
        </w:tc>
        <w:tc>
          <w:tcPr>
            <w:tcW w:type="dxa" w:w="1881"/>
            <w:vAlign w:val="top"/>
          </w:tcPr>
          <w:p>
            <w:pPr>
              <w:spacing w:before="60" w:after="60"/>
            </w:pPr>
            <w:r/>
            <w:r>
              <w:rPr>
                <w:rFonts w:ascii="Calibri" w:hAnsi="Calibri"/>
                <w:b w:val="0"/>
                <w:i w:val="0"/>
                <w:sz w:val="24"/>
              </w:rPr>
              <w:t>85 %</w:t>
            </w:r>
          </w:p>
        </w:tc>
        <w:tc>
          <w:tcPr>
            <w:tcW w:type="dxa" w:w="1881"/>
            <w:vAlign w:val="top"/>
          </w:tcPr>
          <w:p>
            <w:pPr>
              <w:spacing w:before="60" w:after="60"/>
            </w:pPr>
            <w:r/>
            <w:r>
              <w:rPr>
                <w:rFonts w:ascii="Calibri" w:hAnsi="Calibri"/>
                <w:b w:val="0"/>
                <w:i w:val="0"/>
                <w:sz w:val="24"/>
              </w:rPr>
              <w:t>85 %</w:t>
            </w:r>
          </w:p>
        </w:tc>
        <w:tc>
          <w:tcPr>
            <w:tcW w:type="dxa" w:w="1881"/>
            <w:vAlign w:val="top"/>
          </w:tcPr>
          <w:p>
            <w:pPr>
              <w:spacing w:before="60" w:after="60"/>
            </w:pPr>
            <w:r/>
            <w:r>
              <w:rPr>
                <w:rFonts w:ascii="Calibri" w:hAnsi="Calibri"/>
                <w:b w:val="0"/>
                <w:i w:val="0"/>
                <w:sz w:val="24"/>
              </w:rPr>
              <w:t>85 %</w:t>
            </w:r>
          </w:p>
        </w:tc>
        <w:tc>
          <w:tcPr>
            <w:tcW w:type="dxa" w:w="1881"/>
            <w:vAlign w:val="top"/>
          </w:tcPr>
          <w:p>
            <w:pPr>
              <w:spacing w:before="60" w:after="60"/>
            </w:pPr>
            <w:r/>
            <w:r>
              <w:rPr>
                <w:rFonts w:ascii="Calibri" w:hAnsi="Calibri"/>
                <w:b w:val="0"/>
                <w:i w:val="0"/>
                <w:sz w:val="24"/>
              </w:rPr>
              <w:t>Stable. Chantier #79 RBAC toujours ouvert.</w:t>
            </w:r>
          </w:p>
        </w:tc>
      </w:tr>
      <w:tr>
        <w:tc>
          <w:tcPr>
            <w:tcW w:type="dxa" w:w="1881"/>
            <w:vAlign w:val="top"/>
          </w:tcPr>
          <w:p>
            <w:pPr>
              <w:spacing w:before="60" w:after="60"/>
            </w:pPr>
            <w:r/>
            <w:r>
              <w:rPr>
                <w:rFonts w:ascii="Calibri" w:hAnsi="Calibri"/>
                <w:b w:val="0"/>
                <w:i w:val="0"/>
                <w:sz w:val="24"/>
              </w:rPr>
              <w:t>Backend SQL, sécurité et gouvernance</w:t>
            </w:r>
          </w:p>
        </w:tc>
        <w:tc>
          <w:tcPr>
            <w:tcW w:type="dxa" w:w="1881"/>
            <w:vAlign w:val="top"/>
          </w:tcPr>
          <w:p>
            <w:pPr>
              <w:spacing w:before="60" w:after="60"/>
            </w:pPr>
            <w:r/>
            <w:r>
              <w:rPr>
                <w:rFonts w:ascii="Calibri" w:hAnsi="Calibri"/>
                <w:b w:val="0"/>
                <w:i w:val="0"/>
                <w:sz w:val="24"/>
              </w:rPr>
              <w:t>94 %</w:t>
            </w:r>
          </w:p>
        </w:tc>
        <w:tc>
          <w:tcPr>
            <w:tcW w:type="dxa" w:w="1881"/>
            <w:vAlign w:val="top"/>
          </w:tcPr>
          <w:p>
            <w:pPr>
              <w:spacing w:before="60" w:after="60"/>
            </w:pPr>
            <w:r/>
            <w:r>
              <w:rPr>
                <w:rFonts w:ascii="Calibri" w:hAnsi="Calibri"/>
                <w:b w:val="0"/>
                <w:i w:val="0"/>
                <w:sz w:val="24"/>
              </w:rPr>
              <w:t>94 %</w:t>
            </w:r>
          </w:p>
        </w:tc>
        <w:tc>
          <w:tcPr>
            <w:tcW w:type="dxa" w:w="1881"/>
            <w:vAlign w:val="top"/>
          </w:tcPr>
          <w:p>
            <w:pPr>
              <w:spacing w:before="60" w:after="60"/>
            </w:pPr>
            <w:r/>
            <w:r>
              <w:rPr>
                <w:rFonts w:ascii="Calibri" w:hAnsi="Calibri"/>
                <w:b w:val="0"/>
                <w:i w:val="0"/>
                <w:sz w:val="24"/>
              </w:rPr>
              <w:t>95 %</w:t>
            </w:r>
          </w:p>
        </w:tc>
        <w:tc>
          <w:tcPr>
            <w:tcW w:type="dxa" w:w="1881"/>
            <w:vAlign w:val="top"/>
          </w:tcPr>
          <w:p>
            <w:pPr>
              <w:spacing w:before="60" w:after="60"/>
            </w:pPr>
            <w:r/>
            <w:r>
              <w:rPr>
                <w:rFonts w:ascii="Calibri" w:hAnsi="Calibri"/>
                <w:b w:val="0"/>
                <w:i w:val="0"/>
                <w:sz w:val="24"/>
              </w:rPr>
              <w:t>Dump intégral retrouvé, doctrine du chapitre 0 inscrite.</w:t>
            </w:r>
          </w:p>
        </w:tc>
      </w:tr>
      <w:tr>
        <w:tc>
          <w:tcPr>
            <w:tcW w:type="dxa" w:w="1881"/>
            <w:vAlign w:val="top"/>
          </w:tcPr>
          <w:p>
            <w:pPr>
              <w:spacing w:before="60" w:after="60"/>
            </w:pPr>
            <w:r/>
            <w:r>
              <w:rPr>
                <w:rFonts w:ascii="Calibri" w:hAnsi="Calibri"/>
                <w:b w:val="0"/>
                <w:i w:val="0"/>
                <w:sz w:val="24"/>
              </w:rPr>
              <w:t>Ressources numériques et lecture</w:t>
            </w:r>
          </w:p>
        </w:tc>
        <w:tc>
          <w:tcPr>
            <w:tcW w:type="dxa" w:w="1881"/>
            <w:vAlign w:val="top"/>
          </w:tcPr>
          <w:p>
            <w:pPr>
              <w:spacing w:before="60" w:after="60"/>
            </w:pPr>
            <w:r/>
            <w:r>
              <w:rPr>
                <w:rFonts w:ascii="Calibri" w:hAnsi="Calibri"/>
                <w:b w:val="0"/>
                <w:i w:val="0"/>
                <w:sz w:val="24"/>
              </w:rPr>
              <w:t>76 %</w:t>
            </w:r>
          </w:p>
        </w:tc>
        <w:tc>
          <w:tcPr>
            <w:tcW w:type="dxa" w:w="1881"/>
            <w:vAlign w:val="top"/>
          </w:tcPr>
          <w:p>
            <w:pPr>
              <w:spacing w:before="60" w:after="60"/>
            </w:pPr>
            <w:r/>
            <w:r>
              <w:rPr>
                <w:rFonts w:ascii="Calibri" w:hAnsi="Calibri"/>
                <w:b w:val="0"/>
                <w:i w:val="0"/>
                <w:sz w:val="24"/>
              </w:rPr>
              <w:t>76 %</w:t>
            </w:r>
          </w:p>
        </w:tc>
        <w:tc>
          <w:tcPr>
            <w:tcW w:type="dxa" w:w="1881"/>
            <w:vAlign w:val="top"/>
          </w:tcPr>
          <w:p>
            <w:pPr>
              <w:spacing w:before="60" w:after="60"/>
            </w:pPr>
            <w:r/>
            <w:r>
              <w:rPr>
                <w:rFonts w:ascii="Calibri" w:hAnsi="Calibri"/>
                <w:b w:val="0"/>
                <w:i w:val="0"/>
                <w:sz w:val="24"/>
              </w:rPr>
              <w:t>76 %</w:t>
            </w:r>
          </w:p>
        </w:tc>
        <w:tc>
          <w:tcPr>
            <w:tcW w:type="dxa" w:w="1881"/>
            <w:vAlign w:val="top"/>
          </w:tcPr>
          <w:p>
            <w:pPr>
              <w:spacing w:before="60" w:after="60"/>
            </w:pPr>
            <w:r/>
            <w:r>
              <w:rPr>
                <w:rFonts w:ascii="Calibri" w:hAnsi="Calibri"/>
                <w:b w:val="0"/>
                <w:i w:val="0"/>
                <w:sz w:val="24"/>
              </w:rPr>
              <w:t>Stable.</w:t>
            </w:r>
          </w:p>
        </w:tc>
      </w:tr>
      <w:tr>
        <w:tc>
          <w:tcPr>
            <w:tcW w:type="dxa" w:w="1881"/>
            <w:vAlign w:val="top"/>
          </w:tcPr>
          <w:p>
            <w:pPr>
              <w:spacing w:before="60" w:after="60"/>
            </w:pPr>
            <w:r/>
            <w:r>
              <w:rPr>
                <w:rFonts w:ascii="Calibri" w:hAnsi="Calibri"/>
                <w:b w:val="0"/>
                <w:i w:val="0"/>
                <w:sz w:val="24"/>
              </w:rPr>
              <w:t>Edge Functions, mails et notifications</w:t>
            </w:r>
          </w:p>
        </w:tc>
        <w:tc>
          <w:tcPr>
            <w:tcW w:type="dxa" w:w="1881"/>
            <w:vAlign w:val="top"/>
          </w:tcPr>
          <w:p>
            <w:pPr>
              <w:spacing w:before="60" w:after="60"/>
            </w:pPr>
            <w:r/>
            <w:r>
              <w:rPr>
                <w:rFonts w:ascii="Calibri" w:hAnsi="Calibri"/>
                <w:b w:val="0"/>
                <w:i w:val="0"/>
                <w:sz w:val="24"/>
              </w:rPr>
              <w:t>90 %</w:t>
            </w:r>
          </w:p>
        </w:tc>
        <w:tc>
          <w:tcPr>
            <w:tcW w:type="dxa" w:w="1881"/>
            <w:vAlign w:val="top"/>
          </w:tcPr>
          <w:p>
            <w:pPr>
              <w:spacing w:before="60" w:after="60"/>
            </w:pPr>
            <w:r/>
            <w:r>
              <w:rPr>
                <w:rFonts w:ascii="Calibri" w:hAnsi="Calibri"/>
                <w:b w:val="0"/>
                <w:i w:val="0"/>
                <w:sz w:val="24"/>
              </w:rPr>
              <w:t>91 %</w:t>
            </w:r>
          </w:p>
        </w:tc>
        <w:tc>
          <w:tcPr>
            <w:tcW w:type="dxa" w:w="1881"/>
            <w:vAlign w:val="top"/>
          </w:tcPr>
          <w:p>
            <w:pPr>
              <w:spacing w:before="60" w:after="60"/>
            </w:pPr>
            <w:r/>
            <w:r>
              <w:rPr>
                <w:rFonts w:ascii="Calibri" w:hAnsi="Calibri"/>
                <w:b w:val="0"/>
                <w:i w:val="0"/>
                <w:sz w:val="24"/>
              </w:rPr>
              <w:t>92 %</w:t>
            </w:r>
          </w:p>
        </w:tc>
        <w:tc>
          <w:tcPr>
            <w:tcW w:type="dxa" w:w="1881"/>
            <w:vAlign w:val="top"/>
          </w:tcPr>
          <w:p>
            <w:pPr>
              <w:spacing w:before="60" w:after="60"/>
            </w:pPr>
            <w:r/>
            <w:r>
              <w:rPr>
                <w:rFonts w:ascii="Calibri" w:hAnsi="Calibri"/>
                <w:b w:val="0"/>
                <w:i w:val="0"/>
                <w:sz w:val="24"/>
              </w:rPr>
              <w:t>Chantier #153 clos sur volet code (Xavier-uploaded backlog v18). #154 sur partenaires correspondance ouvert.</w:t>
            </w:r>
          </w:p>
        </w:tc>
      </w:tr>
      <w:tr>
        <w:tc>
          <w:tcPr>
            <w:tcW w:type="dxa" w:w="1881"/>
            <w:vAlign w:val="top"/>
          </w:tcPr>
          <w:p>
            <w:pPr>
              <w:spacing w:before="60" w:after="60"/>
            </w:pPr>
            <w:r/>
            <w:r>
              <w:rPr>
                <w:rFonts w:ascii="Calibri" w:hAnsi="Calibri"/>
                <w:b w:val="0"/>
                <w:i w:val="0"/>
                <w:sz w:val="24"/>
              </w:rPr>
              <w:t>Multi-bibliothèques, fédération et imports</w:t>
            </w:r>
          </w:p>
        </w:tc>
        <w:tc>
          <w:tcPr>
            <w:tcW w:type="dxa" w:w="1881"/>
            <w:vAlign w:val="top"/>
          </w:tcPr>
          <w:p>
            <w:pPr>
              <w:spacing w:before="60" w:after="60"/>
            </w:pPr>
            <w:r/>
            <w:r>
              <w:rPr>
                <w:rFonts w:ascii="Calibri" w:hAnsi="Calibri"/>
                <w:b w:val="0"/>
                <w:i w:val="0"/>
                <w:sz w:val="24"/>
              </w:rPr>
              <w:t>78 %</w:t>
            </w:r>
          </w:p>
        </w:tc>
        <w:tc>
          <w:tcPr>
            <w:tcW w:type="dxa" w:w="1881"/>
            <w:vAlign w:val="top"/>
          </w:tcPr>
          <w:p>
            <w:pPr>
              <w:spacing w:before="60" w:after="60"/>
            </w:pPr>
            <w:r/>
            <w:r>
              <w:rPr>
                <w:rFonts w:ascii="Calibri" w:hAnsi="Calibri"/>
                <w:b w:val="0"/>
                <w:i w:val="0"/>
                <w:sz w:val="24"/>
              </w:rPr>
              <w:t>80 %</w:t>
            </w:r>
          </w:p>
        </w:tc>
        <w:tc>
          <w:tcPr>
            <w:tcW w:type="dxa" w:w="1881"/>
            <w:vAlign w:val="top"/>
          </w:tcPr>
          <w:p>
            <w:pPr>
              <w:spacing w:before="60" w:after="60"/>
            </w:pPr>
            <w:r/>
            <w:r>
              <w:rPr>
                <w:rFonts w:ascii="Calibri" w:hAnsi="Calibri"/>
                <w:b w:val="0"/>
                <w:i w:val="0"/>
                <w:sz w:val="24"/>
              </w:rPr>
              <w:t>80 %</w:t>
            </w:r>
          </w:p>
        </w:tc>
        <w:tc>
          <w:tcPr>
            <w:tcW w:type="dxa" w:w="1881"/>
            <w:vAlign w:val="top"/>
          </w:tcPr>
          <w:p>
            <w:pPr>
              <w:spacing w:before="60" w:after="60"/>
            </w:pPr>
            <w:r/>
            <w:r>
              <w:rPr>
                <w:rFonts w:ascii="Calibri" w:hAnsi="Calibri"/>
                <w:b w:val="0"/>
                <w:i w:val="0"/>
                <w:sz w:val="24"/>
              </w:rPr>
              <w:t>Stable. CHANTIER_partenaires_correspondance_2026-05-24.docx en cours.</w:t>
            </w:r>
          </w:p>
        </w:tc>
      </w:tr>
      <w:tr>
        <w:tc>
          <w:tcPr>
            <w:tcW w:type="dxa" w:w="1881"/>
            <w:vAlign w:val="top"/>
          </w:tcPr>
          <w:p>
            <w:pPr>
              <w:spacing w:before="60" w:after="60"/>
            </w:pPr>
            <w:r/>
            <w:r>
              <w:rPr>
                <w:rFonts w:ascii="Calibri" w:hAnsi="Calibri"/>
                <w:b w:val="0"/>
                <w:i w:val="0"/>
                <w:sz w:val="24"/>
              </w:rPr>
              <w:t>Multilingue et internationalisation</w:t>
            </w:r>
          </w:p>
        </w:tc>
        <w:tc>
          <w:tcPr>
            <w:tcW w:type="dxa" w:w="1881"/>
            <w:vAlign w:val="top"/>
          </w:tcPr>
          <w:p>
            <w:pPr>
              <w:spacing w:before="60" w:after="60"/>
            </w:pPr>
            <w:r/>
            <w:r>
              <w:rPr>
                <w:rFonts w:ascii="Calibri" w:hAnsi="Calibri"/>
                <w:b w:val="0"/>
                <w:i w:val="0"/>
                <w:sz w:val="24"/>
              </w:rPr>
              <w:t>87 %</w:t>
            </w:r>
          </w:p>
        </w:tc>
        <w:tc>
          <w:tcPr>
            <w:tcW w:type="dxa" w:w="1881"/>
            <w:vAlign w:val="top"/>
          </w:tcPr>
          <w:p>
            <w:pPr>
              <w:spacing w:before="60" w:after="60"/>
            </w:pPr>
            <w:r/>
            <w:r>
              <w:rPr>
                <w:rFonts w:ascii="Calibri" w:hAnsi="Calibri"/>
                <w:b w:val="0"/>
                <w:i w:val="0"/>
                <w:sz w:val="24"/>
              </w:rPr>
              <w:t>87 %</w:t>
            </w:r>
          </w:p>
        </w:tc>
        <w:tc>
          <w:tcPr>
            <w:tcW w:type="dxa" w:w="1881"/>
            <w:vAlign w:val="top"/>
          </w:tcPr>
          <w:p>
            <w:pPr>
              <w:spacing w:before="60" w:after="60"/>
            </w:pPr>
            <w:r/>
            <w:r>
              <w:rPr>
                <w:rFonts w:ascii="Calibri" w:hAnsi="Calibri"/>
                <w:b w:val="0"/>
                <w:i w:val="0"/>
                <w:sz w:val="24"/>
              </w:rPr>
              <w:t>88 %</w:t>
            </w:r>
          </w:p>
        </w:tc>
        <w:tc>
          <w:tcPr>
            <w:tcW w:type="dxa" w:w="1881"/>
            <w:vAlign w:val="top"/>
          </w:tcPr>
          <w:p>
            <w:pPr>
              <w:spacing w:before="60" w:after="60"/>
            </w:pPr>
            <w:r/>
            <w:r>
              <w:rPr>
                <w:rFonts w:ascii="Calibri" w:hAnsi="Calibri"/>
                <w:b w:val="0"/>
                <w:i w:val="0"/>
                <w:sz w:val="24"/>
              </w:rPr>
              <w:t>8 locales × 2 999 clés vérifiées au 27/05 (recensement EA-13 du chantier A Painel).</w:t>
            </w:r>
          </w:p>
        </w:tc>
      </w:tr>
      <w:tr>
        <w:tc>
          <w:tcPr>
            <w:tcW w:type="dxa" w:w="1881"/>
            <w:vAlign w:val="top"/>
          </w:tcPr>
          <w:p>
            <w:pPr>
              <w:spacing w:before="60" w:after="60"/>
            </w:pPr>
            <w:r/>
            <w:r>
              <w:rPr>
                <w:rFonts w:ascii="Calibri" w:hAnsi="Calibri"/>
                <w:b w:val="0"/>
                <w:i w:val="0"/>
                <w:sz w:val="24"/>
              </w:rPr>
              <w:t>Documentation, cadrage et pilotage stratégique</w:t>
            </w:r>
          </w:p>
        </w:tc>
        <w:tc>
          <w:tcPr>
            <w:tcW w:type="dxa" w:w="1881"/>
            <w:vAlign w:val="top"/>
          </w:tcPr>
          <w:p>
            <w:pPr>
              <w:spacing w:before="60" w:after="60"/>
            </w:pPr>
            <w:r/>
            <w:r>
              <w:rPr>
                <w:rFonts w:ascii="Calibri" w:hAnsi="Calibri"/>
                <w:b w:val="0"/>
                <w:i w:val="0"/>
                <w:sz w:val="24"/>
              </w:rPr>
              <w:t>94 %</w:t>
            </w:r>
          </w:p>
        </w:tc>
        <w:tc>
          <w:tcPr>
            <w:tcW w:type="dxa" w:w="1881"/>
            <w:vAlign w:val="top"/>
          </w:tcPr>
          <w:p>
            <w:pPr>
              <w:spacing w:before="60" w:after="60"/>
            </w:pPr>
            <w:r/>
            <w:r>
              <w:rPr>
                <w:rFonts w:ascii="Calibri" w:hAnsi="Calibri"/>
                <w:b w:val="0"/>
                <w:i w:val="0"/>
                <w:sz w:val="24"/>
              </w:rPr>
              <w:t>95 %</w:t>
            </w:r>
          </w:p>
        </w:tc>
        <w:tc>
          <w:tcPr>
            <w:tcW w:type="dxa" w:w="1881"/>
            <w:vAlign w:val="top"/>
          </w:tcPr>
          <w:p>
            <w:pPr>
              <w:spacing w:before="60" w:after="60"/>
            </w:pPr>
            <w:r/>
            <w:r>
              <w:rPr>
                <w:rFonts w:ascii="Calibri" w:hAnsi="Calibri"/>
                <w:b w:val="0"/>
                <w:i w:val="0"/>
                <w:sz w:val="24"/>
              </w:rPr>
              <w:t>96 %</w:t>
            </w:r>
          </w:p>
        </w:tc>
        <w:tc>
          <w:tcPr>
            <w:tcW w:type="dxa" w:w="1881"/>
            <w:vAlign w:val="top"/>
          </w:tcPr>
          <w:p>
            <w:pPr>
              <w:spacing w:before="60" w:after="60"/>
            </w:pPr>
            <w:r/>
            <w:r>
              <w:rPr>
                <w:rFonts w:ascii="Calibri" w:hAnsi="Calibri"/>
                <w:b w:val="0"/>
                <w:i w:val="0"/>
                <w:sz w:val="24"/>
              </w:rPr>
              <w:t>Trois Livres blancs en moins de huit jours (v14 du 19/05, addendum v15 du 21/05, v16 du 27/05).</w:t>
            </w:r>
          </w:p>
        </w:tc>
      </w:tr>
      <w:tr>
        <w:tc>
          <w:tcPr>
            <w:tcW w:type="dxa" w:w="1881"/>
            <w:vAlign w:val="top"/>
          </w:tcPr>
          <w:p>
            <w:pPr>
              <w:spacing w:before="60" w:after="60"/>
            </w:pPr>
            <w:r/>
            <w:r>
              <w:rPr>
                <w:rFonts w:ascii="Calibri" w:hAnsi="Calibri"/>
                <w:b w:val="0"/>
                <w:i w:val="0"/>
                <w:sz w:val="24"/>
              </w:rPr>
              <w:t>Continuité d'exploitation et discipline anticipée</w:t>
            </w:r>
          </w:p>
        </w:tc>
        <w:tc>
          <w:tcPr>
            <w:tcW w:type="dxa" w:w="1881"/>
            <w:vAlign w:val="top"/>
          </w:tcPr>
          <w:p>
            <w:pPr>
              <w:spacing w:before="60" w:after="60"/>
            </w:pPr>
            <w:r/>
            <w:r>
              <w:rPr>
                <w:rFonts w:ascii="Calibri" w:hAnsi="Calibri"/>
                <w:b w:val="0"/>
                <w:i w:val="0"/>
                <w:sz w:val="24"/>
              </w:rPr>
              <w:t>89 %</w:t>
            </w:r>
          </w:p>
        </w:tc>
        <w:tc>
          <w:tcPr>
            <w:tcW w:type="dxa" w:w="1881"/>
            <w:vAlign w:val="top"/>
          </w:tcPr>
          <w:p>
            <w:pPr>
              <w:spacing w:before="60" w:after="60"/>
            </w:pPr>
            <w:r/>
            <w:r>
              <w:rPr>
                <w:rFonts w:ascii="Calibri" w:hAnsi="Calibri"/>
                <w:b w:val="0"/>
                <w:i w:val="0"/>
                <w:sz w:val="24"/>
              </w:rPr>
              <w:t>89 %</w:t>
            </w:r>
          </w:p>
        </w:tc>
        <w:tc>
          <w:tcPr>
            <w:tcW w:type="dxa" w:w="1881"/>
            <w:vAlign w:val="top"/>
          </w:tcPr>
          <w:p>
            <w:pPr>
              <w:spacing w:before="60" w:after="60"/>
            </w:pPr>
            <w:r/>
            <w:r>
              <w:rPr>
                <w:rFonts w:ascii="Calibri" w:hAnsi="Calibri"/>
                <w:b w:val="0"/>
                <w:i w:val="0"/>
                <w:sz w:val="24"/>
              </w:rPr>
              <w:t>90 %</w:t>
            </w:r>
          </w:p>
        </w:tc>
        <w:tc>
          <w:tcPr>
            <w:tcW w:type="dxa" w:w="1881"/>
            <w:vAlign w:val="top"/>
          </w:tcPr>
          <w:p>
            <w:pPr>
              <w:spacing w:before="60" w:after="60"/>
            </w:pPr>
            <w:r/>
            <w:r>
              <w:rPr>
                <w:rFonts w:ascii="Calibri" w:hAnsi="Calibri"/>
                <w:b w:val="0"/>
                <w:i w:val="0"/>
                <w:sz w:val="24"/>
              </w:rPr>
              <w:t>Méthode parité + audit doctrinal validée comme méthode de travail répétée.</w:t>
            </w:r>
          </w:p>
        </w:tc>
      </w:tr>
      <w:tr>
        <w:tc>
          <w:tcPr>
            <w:tcW w:type="dxa" w:w="1881"/>
            <w:vAlign w:val="top"/>
          </w:tcPr>
          <w:p>
            <w:pPr>
              <w:spacing w:before="60" w:after="60"/>
            </w:pPr>
            <w:r/>
            <w:r>
              <w:rPr>
                <w:rFonts w:ascii="Calibri" w:hAnsi="Calibri"/>
                <w:b w:val="0"/>
                <w:i w:val="0"/>
                <w:sz w:val="24"/>
              </w:rPr>
              <w:t>Alignement politique et linguistique</w:t>
            </w:r>
          </w:p>
        </w:tc>
        <w:tc>
          <w:tcPr>
            <w:tcW w:type="dxa" w:w="1881"/>
            <w:vAlign w:val="top"/>
          </w:tcPr>
          <w:p>
            <w:pPr>
              <w:spacing w:before="60" w:after="60"/>
            </w:pPr>
            <w:r/>
            <w:r>
              <w:rPr>
                <w:rFonts w:ascii="Calibri" w:hAnsi="Calibri"/>
                <w:b w:val="0"/>
                <w:i w:val="0"/>
                <w:sz w:val="24"/>
              </w:rPr>
              <w:t>86 %</w:t>
            </w:r>
          </w:p>
        </w:tc>
        <w:tc>
          <w:tcPr>
            <w:tcW w:type="dxa" w:w="1881"/>
            <w:vAlign w:val="top"/>
          </w:tcPr>
          <w:p>
            <w:pPr>
              <w:spacing w:before="60" w:after="60"/>
            </w:pPr>
            <w:r/>
            <w:r>
              <w:rPr>
                <w:rFonts w:ascii="Calibri" w:hAnsi="Calibri"/>
                <w:b w:val="0"/>
                <w:i w:val="0"/>
                <w:sz w:val="24"/>
              </w:rPr>
              <w:t>86 %</w:t>
            </w:r>
          </w:p>
        </w:tc>
        <w:tc>
          <w:tcPr>
            <w:tcW w:type="dxa" w:w="1881"/>
            <w:vAlign w:val="top"/>
          </w:tcPr>
          <w:p>
            <w:pPr>
              <w:spacing w:before="60" w:after="60"/>
            </w:pPr>
            <w:r/>
            <w:r>
              <w:rPr>
                <w:rFonts w:ascii="Calibri" w:hAnsi="Calibri"/>
                <w:b w:val="0"/>
                <w:i w:val="0"/>
                <w:sz w:val="24"/>
              </w:rPr>
              <w:t>87 %</w:t>
            </w:r>
          </w:p>
        </w:tc>
        <w:tc>
          <w:tcPr>
            <w:tcW w:type="dxa" w:w="1881"/>
            <w:vAlign w:val="top"/>
          </w:tcPr>
          <w:p>
            <w:pPr>
              <w:spacing w:before="60" w:after="60"/>
            </w:pPr>
            <w:r/>
            <w:r>
              <w:rPr>
                <w:rFonts w:ascii="Calibri" w:hAnsi="Calibri"/>
                <w:b w:val="0"/>
                <w:i w:val="0"/>
                <w:sz w:val="24"/>
              </w:rPr>
              <w:t>Refontes tacites Biblioteca actées en v15 ; vocabulaire d'écran arbitré au chantier A Painel.</w:t>
            </w:r>
          </w:p>
        </w:tc>
      </w:tr>
      <w:tr>
        <w:tc>
          <w:tcPr>
            <w:tcW w:type="dxa" w:w="1881"/>
            <w:vAlign w:val="top"/>
          </w:tcPr>
          <w:p>
            <w:pPr>
              <w:spacing w:before="60" w:after="60"/>
            </w:pPr>
            <w:r/>
            <w:r>
              <w:rPr>
                <w:rFonts w:ascii="Calibri" w:hAnsi="Calibri"/>
                <w:b w:val="0"/>
                <w:i w:val="0"/>
                <w:sz w:val="24"/>
              </w:rPr>
              <w:t>Consultation locale</w:t>
            </w:r>
          </w:p>
        </w:tc>
        <w:tc>
          <w:tcPr>
            <w:tcW w:type="dxa" w:w="1881"/>
            <w:vAlign w:val="top"/>
          </w:tcPr>
          <w:p>
            <w:pPr>
              <w:spacing w:before="60" w:after="60"/>
            </w:pPr>
            <w:r/>
            <w:r>
              <w:rPr>
                <w:rFonts w:ascii="Calibri" w:hAnsi="Calibri"/>
                <w:b w:val="0"/>
                <w:i w:val="0"/>
                <w:sz w:val="24"/>
              </w:rPr>
              <w:t>95 %</w:t>
            </w:r>
          </w:p>
        </w:tc>
        <w:tc>
          <w:tcPr>
            <w:tcW w:type="dxa" w:w="1881"/>
            <w:vAlign w:val="top"/>
          </w:tcPr>
          <w:p>
            <w:pPr>
              <w:spacing w:before="60" w:after="60"/>
            </w:pPr>
            <w:r/>
            <w:r>
              <w:rPr>
                <w:rFonts w:ascii="Calibri" w:hAnsi="Calibri"/>
                <w:b w:val="0"/>
                <w:i w:val="0"/>
                <w:sz w:val="24"/>
              </w:rPr>
              <w:t>95 %</w:t>
            </w:r>
          </w:p>
        </w:tc>
        <w:tc>
          <w:tcPr>
            <w:tcW w:type="dxa" w:w="1881"/>
            <w:vAlign w:val="top"/>
          </w:tcPr>
          <w:p>
            <w:pPr>
              <w:spacing w:before="60" w:after="60"/>
            </w:pPr>
            <w:r/>
            <w:r>
              <w:rPr>
                <w:rFonts w:ascii="Calibri" w:hAnsi="Calibri"/>
                <w:b w:val="0"/>
                <w:i w:val="0"/>
                <w:sz w:val="24"/>
              </w:rPr>
              <w:t>95 %</w:t>
            </w:r>
          </w:p>
        </w:tc>
        <w:tc>
          <w:tcPr>
            <w:tcW w:type="dxa" w:w="1881"/>
            <w:vAlign w:val="top"/>
          </w:tcPr>
          <w:p>
            <w:pPr>
              <w:spacing w:before="60" w:after="60"/>
            </w:pPr>
            <w:r/>
            <w:r>
              <w:rPr>
                <w:rFonts w:ascii="Calibri" w:hAnsi="Calibri"/>
                <w:b w:val="0"/>
                <w:i w:val="0"/>
                <w:sz w:val="24"/>
              </w:rPr>
              <w:t>Stable.</w:t>
            </w:r>
          </w:p>
        </w:tc>
      </w:tr>
      <w:tr>
        <w:tc>
          <w:tcPr>
            <w:tcW w:type="dxa" w:w="1881"/>
            <w:vAlign w:val="top"/>
          </w:tcPr>
          <w:p>
            <w:pPr>
              <w:spacing w:before="60" w:after="60"/>
            </w:pPr>
            <w:r/>
            <w:r>
              <w:rPr>
                <w:rFonts w:ascii="Calibri" w:hAnsi="Calibri"/>
                <w:b w:val="0"/>
                <w:i w:val="0"/>
                <w:sz w:val="24"/>
              </w:rPr>
              <w:t>Profils d'adoption (axe nouveau v14)</w:t>
            </w:r>
          </w:p>
        </w:tc>
        <w:tc>
          <w:tcPr>
            <w:tcW w:type="dxa" w:w="1881"/>
            <w:vAlign w:val="top"/>
          </w:tcPr>
          <w:p>
            <w:pPr>
              <w:spacing w:before="60" w:after="60"/>
            </w:pPr>
            <w:r/>
            <w:r>
              <w:rPr>
                <w:rFonts w:ascii="Calibri" w:hAnsi="Calibri"/>
                <w:b w:val="0"/>
                <w:i w:val="0"/>
                <w:sz w:val="24"/>
              </w:rPr>
              <w:t>75 %</w:t>
            </w:r>
          </w:p>
        </w:tc>
        <w:tc>
          <w:tcPr>
            <w:tcW w:type="dxa" w:w="1881"/>
            <w:vAlign w:val="top"/>
          </w:tcPr>
          <w:p>
            <w:pPr>
              <w:spacing w:before="60" w:after="60"/>
            </w:pPr>
            <w:r/>
            <w:r>
              <w:rPr>
                <w:rFonts w:ascii="Calibri" w:hAnsi="Calibri"/>
                <w:b w:val="0"/>
                <w:i w:val="0"/>
                <w:sz w:val="24"/>
              </w:rPr>
              <w:t>75 %</w:t>
            </w:r>
          </w:p>
        </w:tc>
        <w:tc>
          <w:tcPr>
            <w:tcW w:type="dxa" w:w="1881"/>
            <w:vAlign w:val="top"/>
          </w:tcPr>
          <w:p>
            <w:pPr>
              <w:spacing w:before="60" w:after="60"/>
            </w:pPr>
            <w:r/>
            <w:r>
              <w:rPr>
                <w:rFonts w:ascii="Calibri" w:hAnsi="Calibri"/>
                <w:b w:val="0"/>
                <w:i w:val="0"/>
                <w:sz w:val="24"/>
              </w:rPr>
              <w:t>75 %</w:t>
            </w:r>
          </w:p>
        </w:tc>
        <w:tc>
          <w:tcPr>
            <w:tcW w:type="dxa" w:w="1881"/>
            <w:vAlign w:val="top"/>
          </w:tcPr>
          <w:p>
            <w:pPr>
              <w:spacing w:before="60" w:after="60"/>
            </w:pPr>
            <w:r/>
            <w:r>
              <w:rPr>
                <w:rFonts w:ascii="Calibri" w:hAnsi="Calibri"/>
                <w:b w:val="0"/>
                <w:i w:val="0"/>
                <w:sz w:val="24"/>
              </w:rPr>
              <w:t>Stable. Backend ≈90 % + frontend ≈10 %. Reste prioritaire (séquence #2).</w:t>
            </w:r>
          </w:p>
        </w:tc>
      </w:tr>
      <w:tr>
        <w:tc>
          <w:tcPr>
            <w:tcW w:type="dxa" w:w="1881"/>
            <w:vAlign w:val="top"/>
          </w:tcPr>
          <w:p>
            <w:pPr>
              <w:spacing w:before="60" w:after="60"/>
            </w:pPr>
            <w:r/>
            <w:r>
              <w:rPr>
                <w:rFonts w:ascii="Calibri" w:hAnsi="Calibri"/>
                <w:b w:val="0"/>
                <w:i w:val="0"/>
                <w:sz w:val="24"/>
              </w:rPr>
              <w:t>Admin réseau (axe nouveau v14)</w:t>
            </w:r>
          </w:p>
        </w:tc>
        <w:tc>
          <w:tcPr>
            <w:tcW w:type="dxa" w:w="1881"/>
            <w:vAlign w:val="top"/>
          </w:tcPr>
          <w:p>
            <w:pPr>
              <w:spacing w:before="60" w:after="60"/>
            </w:pPr>
            <w:r/>
            <w:r>
              <w:rPr>
                <w:rFonts w:ascii="Calibri" w:hAnsi="Calibri"/>
                <w:b w:val="0"/>
                <w:i w:val="0"/>
                <w:sz w:val="24"/>
              </w:rPr>
              <w:t>85 %</w:t>
            </w:r>
          </w:p>
        </w:tc>
        <w:tc>
          <w:tcPr>
            <w:tcW w:type="dxa" w:w="1881"/>
            <w:vAlign w:val="top"/>
          </w:tcPr>
          <w:p>
            <w:pPr>
              <w:spacing w:before="60" w:after="60"/>
            </w:pPr>
            <w:r/>
            <w:r>
              <w:rPr>
                <w:rFonts w:ascii="Calibri" w:hAnsi="Calibri"/>
                <w:b w:val="0"/>
                <w:i w:val="0"/>
                <w:sz w:val="24"/>
              </w:rPr>
              <w:t>85 %</w:t>
            </w:r>
          </w:p>
        </w:tc>
        <w:tc>
          <w:tcPr>
            <w:tcW w:type="dxa" w:w="1881"/>
            <w:vAlign w:val="top"/>
          </w:tcPr>
          <w:p>
            <w:pPr>
              <w:spacing w:before="60" w:after="60"/>
            </w:pPr>
            <w:r/>
            <w:r>
              <w:rPr>
                <w:rFonts w:ascii="Calibri" w:hAnsi="Calibri"/>
                <w:b w:val="0"/>
                <w:i w:val="0"/>
                <w:sz w:val="24"/>
              </w:rPr>
              <w:t>85 %</w:t>
            </w:r>
          </w:p>
        </w:tc>
        <w:tc>
          <w:tcPr>
            <w:tcW w:type="dxa" w:w="1881"/>
            <w:vAlign w:val="top"/>
          </w:tcPr>
          <w:p>
            <w:pPr>
              <w:spacing w:before="60" w:after="60"/>
            </w:pPr>
            <w:r/>
            <w:r>
              <w:rPr>
                <w:rFonts w:ascii="Calibri" w:hAnsi="Calibri"/>
                <w:b w:val="0"/>
                <w:i w:val="0"/>
                <w:sz w:val="24"/>
              </w:rPr>
              <w:t>Stable.</w:t>
            </w:r>
          </w:p>
        </w:tc>
      </w:tr>
      <w:tr>
        <w:tc>
          <w:tcPr>
            <w:tcW w:type="dxa" w:w="1881"/>
            <w:vAlign w:val="top"/>
          </w:tcPr>
          <w:p>
            <w:pPr>
              <w:spacing w:before="60" w:after="60"/>
            </w:pPr>
            <w:r/>
            <w:r>
              <w:rPr>
                <w:rFonts w:ascii="Calibri" w:hAnsi="Calibri"/>
                <w:b w:val="0"/>
                <w:i w:val="0"/>
                <w:sz w:val="24"/>
              </w:rPr>
              <w:t>Gouvernance staff (axe nouveau v14)</w:t>
            </w:r>
          </w:p>
        </w:tc>
        <w:tc>
          <w:tcPr>
            <w:tcW w:type="dxa" w:w="1881"/>
            <w:vAlign w:val="top"/>
          </w:tcPr>
          <w:p>
            <w:pPr>
              <w:spacing w:before="60" w:after="60"/>
            </w:pPr>
            <w:r/>
            <w:r>
              <w:rPr>
                <w:rFonts w:ascii="Calibri" w:hAnsi="Calibri"/>
                <w:b w:val="0"/>
                <w:i w:val="0"/>
                <w:sz w:val="24"/>
              </w:rPr>
              <w:t>75 %</w:t>
            </w:r>
          </w:p>
        </w:tc>
        <w:tc>
          <w:tcPr>
            <w:tcW w:type="dxa" w:w="1881"/>
            <w:vAlign w:val="top"/>
          </w:tcPr>
          <w:p>
            <w:pPr>
              <w:spacing w:before="60" w:after="60"/>
            </w:pPr>
            <w:r/>
            <w:r>
              <w:rPr>
                <w:rFonts w:ascii="Calibri" w:hAnsi="Calibri"/>
                <w:b w:val="0"/>
                <w:i w:val="0"/>
                <w:sz w:val="24"/>
              </w:rPr>
              <w:t>75 %</w:t>
            </w:r>
          </w:p>
        </w:tc>
        <w:tc>
          <w:tcPr>
            <w:tcW w:type="dxa" w:w="1881"/>
            <w:vAlign w:val="top"/>
          </w:tcPr>
          <w:p>
            <w:pPr>
              <w:spacing w:before="60" w:after="60"/>
            </w:pPr>
            <w:r/>
            <w:r>
              <w:rPr>
                <w:rFonts w:ascii="Calibri" w:hAnsi="Calibri"/>
                <w:b w:val="0"/>
                <w:i w:val="0"/>
                <w:sz w:val="24"/>
              </w:rPr>
              <w:t>75 %</w:t>
            </w:r>
          </w:p>
        </w:tc>
        <w:tc>
          <w:tcPr>
            <w:tcW w:type="dxa" w:w="1881"/>
            <w:vAlign w:val="top"/>
          </w:tcPr>
          <w:p>
            <w:pPr>
              <w:spacing w:before="60" w:after="60"/>
            </w:pPr>
            <w:r/>
            <w:r>
              <w:rPr>
                <w:rFonts w:ascii="Calibri" w:hAnsi="Calibri"/>
                <w:b w:val="0"/>
                <w:i w:val="0"/>
                <w:sz w:val="24"/>
              </w:rPr>
              <w:t>Stable.</w:t>
            </w:r>
          </w:p>
        </w:tc>
      </w:tr>
      <w:tr>
        <w:tc>
          <w:tcPr>
            <w:tcW w:type="dxa" w:w="1881"/>
            <w:vAlign w:val="top"/>
          </w:tcPr>
          <w:p>
            <w:pPr>
              <w:spacing w:before="60" w:after="60"/>
            </w:pPr>
            <w:r/>
            <w:r>
              <w:rPr>
                <w:rFonts w:ascii="Calibri" w:hAnsi="Calibri"/>
                <w:b w:val="0"/>
                <w:i w:val="0"/>
                <w:sz w:val="24"/>
              </w:rPr>
              <w:t>Jonction backend / frontend (axe nouveau v14)</w:t>
            </w:r>
          </w:p>
        </w:tc>
        <w:tc>
          <w:tcPr>
            <w:tcW w:type="dxa" w:w="1881"/>
            <w:vAlign w:val="top"/>
          </w:tcPr>
          <w:p>
            <w:pPr>
              <w:spacing w:before="60" w:after="60"/>
            </w:pPr>
            <w:r/>
            <w:r>
              <w:rPr>
                <w:rFonts w:ascii="Calibri" w:hAnsi="Calibri"/>
                <w:b w:val="0"/>
                <w:i w:val="0"/>
                <w:sz w:val="24"/>
              </w:rPr>
              <w:t>65 %</w:t>
            </w:r>
          </w:p>
        </w:tc>
        <w:tc>
          <w:tcPr>
            <w:tcW w:type="dxa" w:w="1881"/>
            <w:vAlign w:val="top"/>
          </w:tcPr>
          <w:p>
            <w:pPr>
              <w:spacing w:before="60" w:after="60"/>
            </w:pPr>
            <w:r/>
            <w:r>
              <w:rPr>
                <w:rFonts w:ascii="Calibri" w:hAnsi="Calibri"/>
                <w:b w:val="0"/>
                <w:i w:val="0"/>
                <w:sz w:val="24"/>
              </w:rPr>
              <w:t>75 %</w:t>
            </w:r>
          </w:p>
        </w:tc>
        <w:tc>
          <w:tcPr>
            <w:tcW w:type="dxa" w:w="1881"/>
            <w:vAlign w:val="top"/>
          </w:tcPr>
          <w:p>
            <w:pPr>
              <w:spacing w:before="60" w:after="60"/>
            </w:pPr>
            <w:r/>
            <w:r>
              <w:rPr>
                <w:rFonts w:ascii="Calibri" w:hAnsi="Calibri"/>
                <w:b w:val="0"/>
                <w:i w:val="0"/>
                <w:sz w:val="24"/>
              </w:rPr>
              <w:t>78 %</w:t>
            </w:r>
          </w:p>
        </w:tc>
        <w:tc>
          <w:tcPr>
            <w:tcW w:type="dxa" w:w="1881"/>
            <w:vAlign w:val="top"/>
          </w:tcPr>
          <w:p>
            <w:pPr>
              <w:spacing w:before="60" w:after="60"/>
            </w:pPr>
            <w:r/>
            <w:r>
              <w:rPr>
                <w:rFonts w:ascii="Calibri" w:hAnsi="Calibri"/>
                <w:b w:val="0"/>
                <w:i w:val="0"/>
                <w:sz w:val="24"/>
              </w:rPr>
              <w:t>Chantier-cadre Biblioteca a délivré la jonction PEB phase 1 ; chantier-cadre Painel chantier A a délivré trois jonctions de vocabulaire.</w:t>
            </w:r>
          </w:p>
        </w:tc>
      </w:tr>
      <w:tr>
        <w:tc>
          <w:tcPr>
            <w:tcW w:type="dxa" w:w="1881"/>
            <w:vAlign w:val="top"/>
          </w:tcPr>
          <w:p>
            <w:pPr>
              <w:spacing w:before="60" w:after="60"/>
            </w:pPr>
            <w:r/>
            <w:r>
              <w:rPr>
                <w:rFonts w:ascii="Calibri" w:hAnsi="Calibri"/>
                <w:b w:val="0"/>
                <w:i w:val="0"/>
                <w:sz w:val="24"/>
              </w:rPr>
              <w:t>Méthode d'audit par parité doctrinale (axe nouveau v16)</w:t>
            </w:r>
          </w:p>
        </w:tc>
        <w:tc>
          <w:tcPr>
            <w:tcW w:type="dxa" w:w="1881"/>
            <w:vAlign w:val="top"/>
          </w:tcPr>
          <w:p>
            <w:pPr>
              <w:spacing w:before="60" w:after="60"/>
            </w:pPr>
            <w:r/>
            <w:r>
              <w:rPr>
                <w:rFonts w:ascii="Calibri" w:hAnsi="Calibri"/>
                <w:b w:val="0"/>
                <w:i w:val="0"/>
                <w:sz w:val="24"/>
              </w:rPr>
              <w:t>—</w:t>
            </w:r>
          </w:p>
        </w:tc>
        <w:tc>
          <w:tcPr>
            <w:tcW w:type="dxa" w:w="1881"/>
            <w:vAlign w:val="top"/>
          </w:tcPr>
          <w:p>
            <w:pPr>
              <w:spacing w:before="60" w:after="60"/>
            </w:pPr>
            <w:r/>
            <w:r>
              <w:rPr>
                <w:rFonts w:ascii="Calibri" w:hAnsi="Calibri"/>
                <w:b w:val="0"/>
                <w:i w:val="0"/>
                <w:sz w:val="24"/>
              </w:rPr>
              <w:t>70 %</w:t>
            </w:r>
          </w:p>
        </w:tc>
        <w:tc>
          <w:tcPr>
            <w:tcW w:type="dxa" w:w="1881"/>
            <w:vAlign w:val="top"/>
          </w:tcPr>
          <w:p>
            <w:pPr>
              <w:spacing w:before="60" w:after="60"/>
            </w:pPr>
            <w:r/>
            <w:r>
              <w:rPr>
                <w:rFonts w:ascii="Calibri" w:hAnsi="Calibri"/>
                <w:b w:val="0"/>
                <w:i w:val="0"/>
                <w:sz w:val="24"/>
              </w:rPr>
              <w:t>80 %</w:t>
            </w:r>
          </w:p>
        </w:tc>
        <w:tc>
          <w:tcPr>
            <w:tcW w:type="dxa" w:w="1881"/>
            <w:vAlign w:val="top"/>
          </w:tcPr>
          <w:p>
            <w:pPr>
              <w:spacing w:before="60" w:after="60"/>
            </w:pPr>
            <w:r/>
            <w:r>
              <w:rPr>
                <w:rFonts w:ascii="Calibri" w:hAnsi="Calibri"/>
                <w:b w:val="0"/>
                <w:i w:val="0"/>
                <w:sz w:val="24"/>
              </w:rPr>
              <w:t>Premier chantier-cadre Biblioteca quasi clos. Second chantier-cadre Painel ouvert et son chantier A clos. La méthode est validée comme reproductible.</w:t>
            </w:r>
          </w:p>
        </w:tc>
      </w:tr>
    </w:tbl>
    <w:p>
      <w:pPr>
        <w:spacing w:after="160"/>
      </w:pPr>
    </w:p>
    <w:p>
      <w:pPr>
        <w:keepNext/>
        <w:spacing w:before="360" w:after="160"/>
      </w:pPr>
      <w:r>
        <w:rPr>
          <w:rFonts w:ascii="Calibri" w:hAnsi="Calibri"/>
          <w:b/>
          <w:color w:val="2E74B5"/>
          <w:sz w:val="36"/>
        </w:rPr>
        <w:t>13.3 Lecture des gains v15 → v16</w:t>
      </w:r>
    </w:p>
    <w:p>
      <w:pPr>
        <w:spacing w:before="0" w:after="160"/>
      </w:pPr>
      <w:r>
        <w:rPr>
          <w:rFonts w:ascii="Calibri" w:hAnsi="Calibri"/>
          <w:b w:val="0"/>
          <w:i w:val="0"/>
          <w:sz w:val="28"/>
        </w:rPr>
        <w:t>Les gains v15 → v16 sont modestes en valeur (+1 à +2 points par axe touché) mais structurants en signification. Trois lectures émergent.</w:t>
      </w:r>
    </w:p>
    <w:p>
      <w:pPr>
        <w:spacing w:before="0" w:after="160"/>
      </w:pPr>
      <w:r>
        <w:rPr>
          <w:rFonts w:ascii="Calibri" w:hAnsi="Calibri"/>
          <w:b w:val="0"/>
          <w:i w:val="0"/>
          <w:sz w:val="28"/>
        </w:rPr>
        <w:t>— L'axe « Produit local bibliothécaire » gagne deux points (93 % → 95 %) parce que le chantier A du Painel est clos. La page d'action quotidienne du bibliothécaire a vu son vocabulaire technique masqué (EA-13), ses messages d'erreur harmonisés (EA-05), et l'identifiant technique d'emprunt retiré des écrans lecteur (EA-09). C'est une amélioration de la qualité d'usage immédiatement visible.</w:t>
      </w:r>
    </w:p>
    <w:p>
      <w:pPr>
        <w:spacing w:before="0" w:after="160"/>
      </w:pPr>
      <w:r>
        <w:rPr>
          <w:rFonts w:ascii="Calibri" w:hAnsi="Calibri"/>
          <w:b w:val="0"/>
          <w:i w:val="0"/>
          <w:sz w:val="28"/>
        </w:rPr>
        <w:t>— L'axe « Méthode d'audit par parité doctrinale » (introduit en v15 à 70 %) gagne dix points (70 % → 80 %) parce que la répétition de la méthode sur un second chantier-cadre Painel confirme que ce n'était pas un événement isolé. La méthode est désormais éprouvée sur deux pages structurantes, avec arbitrage en amont, écarts identifiés, et fermeture par lots.</w:t>
      </w:r>
    </w:p>
    <w:p>
      <w:pPr>
        <w:spacing w:before="0" w:after="160"/>
      </w:pPr>
      <w:r>
        <w:rPr>
          <w:rFonts w:ascii="Calibri" w:hAnsi="Calibri"/>
          <w:b w:val="0"/>
          <w:i w:val="0"/>
          <w:sz w:val="28"/>
        </w:rPr>
        <w:t>— L'axe « Socle transversal et architecture commune » gagne un point (93 % → 94 %) parce que le chapitre 0 v16 inscrit pour la première fois en Livre blanc la doctrine transverse item_status / workflow_stage. Cette inscription n'est pas une décision nouvelle (le projet portait cette dualité dans son code depuis ses débuts) mais sa formalisation écrite, qui prévient désormais les confusions à venir.</w:t>
      </w:r>
    </w:p>
    <w:p>
      <w:pPr>
        <w:keepNext/>
        <w:spacing w:before="360" w:after="160"/>
      </w:pPr>
      <w:r>
        <w:rPr>
          <w:rFonts w:ascii="Calibri" w:hAnsi="Calibri"/>
          <w:b/>
          <w:color w:val="2E74B5"/>
          <w:sz w:val="36"/>
        </w:rPr>
        <w:t>13.4 Lecture séquentielle v16</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vAlign w:val="top"/>
            <w:shd w:val="clear" w:color="auto" w:fill="D9E2F3"/>
          </w:tcPr>
          <w:p>
            <w:pPr>
              <w:spacing w:before="60" w:after="60"/>
            </w:pPr>
            <w:r/>
            <w:r>
              <w:rPr>
                <w:rFonts w:ascii="Calibri" w:hAnsi="Calibri"/>
                <w:b/>
                <w:i w:val="0"/>
                <w:sz w:val="24"/>
              </w:rPr>
              <w:t>Séquence</w:t>
            </w:r>
          </w:p>
        </w:tc>
        <w:tc>
          <w:tcPr>
            <w:tcW w:type="dxa" w:w="1881"/>
            <w:vAlign w:val="top"/>
            <w:shd w:val="clear" w:color="auto" w:fill="D9E2F3"/>
          </w:tcPr>
          <w:p>
            <w:pPr>
              <w:spacing w:before="60" w:after="60"/>
            </w:pPr>
            <w:r/>
            <w:r>
              <w:rPr>
                <w:rFonts w:ascii="Calibri" w:hAnsi="Calibri"/>
                <w:b/>
                <w:i w:val="0"/>
                <w:sz w:val="24"/>
              </w:rPr>
              <w:t>v14 (19/05)</w:t>
            </w:r>
          </w:p>
        </w:tc>
        <w:tc>
          <w:tcPr>
            <w:tcW w:type="dxa" w:w="1881"/>
            <w:vAlign w:val="top"/>
            <w:shd w:val="clear" w:color="auto" w:fill="D9E2F3"/>
          </w:tcPr>
          <w:p>
            <w:pPr>
              <w:spacing w:before="60" w:after="60"/>
            </w:pPr>
            <w:r/>
            <w:r>
              <w:rPr>
                <w:rFonts w:ascii="Calibri" w:hAnsi="Calibri"/>
                <w:b/>
                <w:i w:val="0"/>
                <w:sz w:val="24"/>
              </w:rPr>
              <w:t>v15 (21/05)</w:t>
            </w:r>
          </w:p>
        </w:tc>
        <w:tc>
          <w:tcPr>
            <w:tcW w:type="dxa" w:w="1881"/>
            <w:vAlign w:val="top"/>
            <w:shd w:val="clear" w:color="auto" w:fill="D9E2F3"/>
          </w:tcPr>
          <w:p>
            <w:pPr>
              <w:spacing w:before="60" w:after="60"/>
            </w:pPr>
            <w:r/>
            <w:r>
              <w:rPr>
                <w:rFonts w:ascii="Calibri" w:hAnsi="Calibri"/>
                <w:b/>
                <w:i w:val="0"/>
                <w:sz w:val="24"/>
              </w:rPr>
              <w:t>v16 (27/05)</w:t>
            </w:r>
          </w:p>
        </w:tc>
        <w:tc>
          <w:tcPr>
            <w:tcW w:type="dxa" w:w="1881"/>
            <w:vAlign w:val="top"/>
            <w:shd w:val="clear" w:color="auto" w:fill="D9E2F3"/>
          </w:tcPr>
          <w:p>
            <w:pPr>
              <w:spacing w:before="60" w:after="60"/>
            </w:pPr>
            <w:r/>
            <w:r>
              <w:rPr>
                <w:rFonts w:ascii="Calibri" w:hAnsi="Calibri"/>
                <w:b/>
                <w:i w:val="0"/>
                <w:sz w:val="24"/>
              </w:rPr>
              <w:t>Lecture</w:t>
            </w:r>
          </w:p>
        </w:tc>
      </w:tr>
      <w:tr>
        <w:tc>
          <w:tcPr>
            <w:tcW w:type="dxa" w:w="1881"/>
            <w:vAlign w:val="top"/>
          </w:tcPr>
          <w:p>
            <w:pPr>
              <w:spacing w:before="60" w:after="60"/>
            </w:pPr>
            <w:r/>
            <w:r>
              <w:rPr>
                <w:rFonts w:ascii="Calibri" w:hAnsi="Calibri"/>
                <w:b w:val="0"/>
                <w:i w:val="0"/>
                <w:sz w:val="24"/>
              </w:rPr>
              <w:t>0. Doctrine, sécurité, nomenclature</w:t>
            </w:r>
          </w:p>
        </w:tc>
        <w:tc>
          <w:tcPr>
            <w:tcW w:type="dxa" w:w="1881"/>
            <w:vAlign w:val="top"/>
          </w:tcPr>
          <w:p>
            <w:pPr>
              <w:spacing w:before="60" w:after="60"/>
            </w:pPr>
            <w:r/>
            <w:r>
              <w:rPr>
                <w:rFonts w:ascii="Calibri" w:hAnsi="Calibri"/>
                <w:b w:val="0"/>
                <w:i w:val="0"/>
                <w:sz w:val="24"/>
              </w:rPr>
              <w:t>95 %</w:t>
            </w:r>
          </w:p>
        </w:tc>
        <w:tc>
          <w:tcPr>
            <w:tcW w:type="dxa" w:w="1881"/>
            <w:vAlign w:val="top"/>
          </w:tcPr>
          <w:p>
            <w:pPr>
              <w:spacing w:before="60" w:after="60"/>
            </w:pPr>
            <w:r/>
            <w:r>
              <w:rPr>
                <w:rFonts w:ascii="Calibri" w:hAnsi="Calibri"/>
                <w:b w:val="0"/>
                <w:i w:val="0"/>
                <w:sz w:val="24"/>
              </w:rPr>
              <w:t>96 %</w:t>
            </w:r>
          </w:p>
        </w:tc>
        <w:tc>
          <w:tcPr>
            <w:tcW w:type="dxa" w:w="1881"/>
            <w:vAlign w:val="top"/>
          </w:tcPr>
          <w:p>
            <w:pPr>
              <w:spacing w:before="60" w:after="60"/>
            </w:pPr>
            <w:r/>
            <w:r>
              <w:rPr>
                <w:rFonts w:ascii="Calibri" w:hAnsi="Calibri"/>
                <w:b w:val="0"/>
                <w:i w:val="0"/>
                <w:sz w:val="24"/>
              </w:rPr>
              <w:t>97 %</w:t>
            </w:r>
          </w:p>
        </w:tc>
        <w:tc>
          <w:tcPr>
            <w:tcW w:type="dxa" w:w="1881"/>
            <w:vAlign w:val="top"/>
          </w:tcPr>
          <w:p>
            <w:pPr>
              <w:spacing w:before="60" w:after="60"/>
            </w:pPr>
            <w:r/>
            <w:r>
              <w:rPr>
                <w:rFonts w:ascii="Calibri" w:hAnsi="Calibri"/>
                <w:b w:val="0"/>
                <w:i w:val="0"/>
                <w:sz w:val="24"/>
              </w:rPr>
              <w:t>Chapitre 0 v16 inscrit la doctrine item_status / workflow_stage.</w:t>
            </w:r>
          </w:p>
        </w:tc>
      </w:tr>
      <w:tr>
        <w:tc>
          <w:tcPr>
            <w:tcW w:type="dxa" w:w="1881"/>
            <w:vAlign w:val="top"/>
          </w:tcPr>
          <w:p>
            <w:pPr>
              <w:spacing w:before="60" w:after="60"/>
            </w:pPr>
            <w:r/>
            <w:r>
              <w:rPr>
                <w:rFonts w:ascii="Calibri" w:hAnsi="Calibri"/>
                <w:b w:val="0"/>
                <w:i w:val="0"/>
                <w:sz w:val="24"/>
              </w:rPr>
              <w:t>1. Jonction frontend PEB</w:t>
            </w:r>
          </w:p>
        </w:tc>
        <w:tc>
          <w:tcPr>
            <w:tcW w:type="dxa" w:w="1881"/>
            <w:vAlign w:val="top"/>
          </w:tcPr>
          <w:p>
            <w:pPr>
              <w:spacing w:before="60" w:after="60"/>
            </w:pPr>
            <w:r/>
            <w:r>
              <w:rPr>
                <w:rFonts w:ascii="Calibri" w:hAnsi="Calibri"/>
                <w:b w:val="0"/>
                <w:i w:val="0"/>
                <w:sz w:val="24"/>
              </w:rPr>
              <w:t>5 %</w:t>
            </w:r>
          </w:p>
        </w:tc>
        <w:tc>
          <w:tcPr>
            <w:tcW w:type="dxa" w:w="1881"/>
            <w:vAlign w:val="top"/>
          </w:tcPr>
          <w:p>
            <w:pPr>
              <w:spacing w:before="60" w:after="60"/>
            </w:pPr>
            <w:r/>
            <w:r>
              <w:rPr>
                <w:rFonts w:ascii="Calibri" w:hAnsi="Calibri"/>
                <w:b w:val="0"/>
                <w:i w:val="0"/>
                <w:sz w:val="24"/>
              </w:rPr>
              <w:t>60 %</w:t>
            </w:r>
          </w:p>
        </w:tc>
        <w:tc>
          <w:tcPr>
            <w:tcW w:type="dxa" w:w="1881"/>
            <w:vAlign w:val="top"/>
          </w:tcPr>
          <w:p>
            <w:pPr>
              <w:spacing w:before="60" w:after="60"/>
            </w:pPr>
            <w:r/>
            <w:r>
              <w:rPr>
                <w:rFonts w:ascii="Calibri" w:hAnsi="Calibri"/>
                <w:b w:val="0"/>
                <w:i w:val="0"/>
                <w:sz w:val="24"/>
              </w:rPr>
              <w:t>65 %</w:t>
            </w:r>
          </w:p>
        </w:tc>
        <w:tc>
          <w:tcPr>
            <w:tcW w:type="dxa" w:w="1881"/>
            <w:vAlign w:val="top"/>
          </w:tcPr>
          <w:p>
            <w:pPr>
              <w:spacing w:before="60" w:after="60"/>
            </w:pPr>
            <w:r/>
            <w:r>
              <w:rPr>
                <w:rFonts w:ascii="Calibri" w:hAnsi="Calibri"/>
                <w:b w:val="0"/>
                <w:i w:val="0"/>
                <w:sz w:val="24"/>
              </w:rPr>
              <w:t>EA-12 phase 1 livrée. Phase 2 (4 dettes) reste à compléter.</w:t>
            </w:r>
          </w:p>
        </w:tc>
      </w:tr>
      <w:tr>
        <w:tc>
          <w:tcPr>
            <w:tcW w:type="dxa" w:w="1881"/>
            <w:vAlign w:val="top"/>
          </w:tcPr>
          <w:p>
            <w:pPr>
              <w:spacing w:before="60" w:after="60"/>
            </w:pPr>
            <w:r/>
            <w:r>
              <w:rPr>
                <w:rFonts w:ascii="Calibri" w:hAnsi="Calibri"/>
                <w:b w:val="0"/>
                <w:i w:val="0"/>
                <w:sz w:val="24"/>
              </w:rPr>
              <w:t>2. Jonction frontend profils d'adoption</w:t>
            </w:r>
          </w:p>
        </w:tc>
        <w:tc>
          <w:tcPr>
            <w:tcW w:type="dxa" w:w="1881"/>
            <w:vAlign w:val="top"/>
          </w:tcPr>
          <w:p>
            <w:pPr>
              <w:spacing w:before="60" w:after="60"/>
            </w:pPr>
            <w:r/>
            <w:r>
              <w:rPr>
                <w:rFonts w:ascii="Calibri" w:hAnsi="Calibri"/>
                <w:b w:val="0"/>
                <w:i w:val="0"/>
                <w:sz w:val="24"/>
              </w:rPr>
              <w:t>10 %</w:t>
            </w:r>
          </w:p>
        </w:tc>
        <w:tc>
          <w:tcPr>
            <w:tcW w:type="dxa" w:w="1881"/>
            <w:vAlign w:val="top"/>
          </w:tcPr>
          <w:p>
            <w:pPr>
              <w:spacing w:before="60" w:after="60"/>
            </w:pPr>
            <w:r/>
            <w:r>
              <w:rPr>
                <w:rFonts w:ascii="Calibri" w:hAnsi="Calibri"/>
                <w:b w:val="0"/>
                <w:i w:val="0"/>
                <w:sz w:val="24"/>
              </w:rPr>
              <w:t>10 %</w:t>
            </w:r>
          </w:p>
        </w:tc>
        <w:tc>
          <w:tcPr>
            <w:tcW w:type="dxa" w:w="1881"/>
            <w:vAlign w:val="top"/>
          </w:tcPr>
          <w:p>
            <w:pPr>
              <w:spacing w:before="60" w:after="60"/>
            </w:pPr>
            <w:r/>
            <w:r>
              <w:rPr>
                <w:rFonts w:ascii="Calibri" w:hAnsi="Calibri"/>
                <w:b w:val="0"/>
                <w:i w:val="0"/>
                <w:sz w:val="24"/>
              </w:rPr>
              <w:t>10 %</w:t>
            </w:r>
          </w:p>
        </w:tc>
        <w:tc>
          <w:tcPr>
            <w:tcW w:type="dxa" w:w="1881"/>
            <w:vAlign w:val="top"/>
          </w:tcPr>
          <w:p>
            <w:pPr>
              <w:spacing w:before="60" w:after="60"/>
            </w:pPr>
            <w:r/>
            <w:r>
              <w:rPr>
                <w:rFonts w:ascii="Calibri" w:hAnsi="Calibri"/>
                <w:b w:val="0"/>
                <w:i w:val="0"/>
                <w:sz w:val="24"/>
              </w:rPr>
              <w:t>Stable, prioritaire.</w:t>
            </w:r>
          </w:p>
        </w:tc>
      </w:tr>
      <w:tr>
        <w:tc>
          <w:tcPr>
            <w:tcW w:type="dxa" w:w="1881"/>
            <w:vAlign w:val="top"/>
          </w:tcPr>
          <w:p>
            <w:pPr>
              <w:spacing w:before="60" w:after="60"/>
            </w:pPr>
            <w:r/>
            <w:r>
              <w:rPr>
                <w:rFonts w:ascii="Calibri" w:hAnsi="Calibri"/>
                <w:b w:val="0"/>
                <w:i w:val="0"/>
                <w:sz w:val="24"/>
              </w:rPr>
              <w:t>3. Durcissement dette stricte (7 items + indexes FK)</w:t>
            </w:r>
          </w:p>
        </w:tc>
        <w:tc>
          <w:tcPr>
            <w:tcW w:type="dxa" w:w="1881"/>
            <w:vAlign w:val="top"/>
          </w:tcPr>
          <w:p>
            <w:pPr>
              <w:spacing w:before="60" w:after="60"/>
            </w:pPr>
            <w:r/>
            <w:r>
              <w:rPr>
                <w:rFonts w:ascii="Calibri" w:hAnsi="Calibri"/>
                <w:b w:val="0"/>
                <w:i w:val="0"/>
                <w:sz w:val="24"/>
              </w:rPr>
              <w:t>60 %</w:t>
            </w:r>
          </w:p>
        </w:tc>
        <w:tc>
          <w:tcPr>
            <w:tcW w:type="dxa" w:w="1881"/>
            <w:vAlign w:val="top"/>
          </w:tcPr>
          <w:p>
            <w:pPr>
              <w:spacing w:before="60" w:after="60"/>
            </w:pPr>
            <w:r/>
            <w:r>
              <w:rPr>
                <w:rFonts w:ascii="Calibri" w:hAnsi="Calibri"/>
                <w:b w:val="0"/>
                <w:i w:val="0"/>
                <w:sz w:val="24"/>
              </w:rPr>
              <w:t>60 %</w:t>
            </w:r>
          </w:p>
        </w:tc>
        <w:tc>
          <w:tcPr>
            <w:tcW w:type="dxa" w:w="1881"/>
            <w:vAlign w:val="top"/>
          </w:tcPr>
          <w:p>
            <w:pPr>
              <w:spacing w:before="60" w:after="60"/>
            </w:pPr>
            <w:r/>
            <w:r>
              <w:rPr>
                <w:rFonts w:ascii="Calibri" w:hAnsi="Calibri"/>
                <w:b w:val="0"/>
                <w:i w:val="0"/>
                <w:sz w:val="24"/>
              </w:rPr>
              <w:t>60 %</w:t>
            </w:r>
          </w:p>
        </w:tc>
        <w:tc>
          <w:tcPr>
            <w:tcW w:type="dxa" w:w="1881"/>
            <w:vAlign w:val="top"/>
          </w:tcPr>
          <w:p>
            <w:pPr>
              <w:spacing w:before="60" w:after="60"/>
            </w:pPr>
            <w:r/>
            <w:r>
              <w:rPr>
                <w:rFonts w:ascii="Calibri" w:hAnsi="Calibri"/>
                <w:b w:val="0"/>
                <w:i w:val="0"/>
                <w:sz w:val="24"/>
              </w:rPr>
              <w:t>Stable. À planifier en lot.</w:t>
            </w:r>
          </w:p>
        </w:tc>
      </w:tr>
      <w:tr>
        <w:tc>
          <w:tcPr>
            <w:tcW w:type="dxa" w:w="1881"/>
            <w:vAlign w:val="top"/>
          </w:tcPr>
          <w:p>
            <w:pPr>
              <w:spacing w:before="60" w:after="60"/>
            </w:pPr>
            <w:r/>
            <w:r>
              <w:rPr>
                <w:rFonts w:ascii="Calibri" w:hAnsi="Calibri"/>
                <w:b w:val="0"/>
                <w:i w:val="0"/>
                <w:sz w:val="24"/>
              </w:rPr>
              <w:t>4. Consultation locale</w:t>
            </w:r>
          </w:p>
        </w:tc>
        <w:tc>
          <w:tcPr>
            <w:tcW w:type="dxa" w:w="1881"/>
            <w:vAlign w:val="top"/>
          </w:tcPr>
          <w:p>
            <w:pPr>
              <w:spacing w:before="60" w:after="60"/>
            </w:pPr>
            <w:r/>
            <w:r>
              <w:rPr>
                <w:rFonts w:ascii="Calibri" w:hAnsi="Calibri"/>
                <w:b w:val="0"/>
                <w:i w:val="0"/>
                <w:sz w:val="24"/>
              </w:rPr>
              <w:t>95 %</w:t>
            </w:r>
          </w:p>
        </w:tc>
        <w:tc>
          <w:tcPr>
            <w:tcW w:type="dxa" w:w="1881"/>
            <w:vAlign w:val="top"/>
          </w:tcPr>
          <w:p>
            <w:pPr>
              <w:spacing w:before="60" w:after="60"/>
            </w:pPr>
            <w:r/>
            <w:r>
              <w:rPr>
                <w:rFonts w:ascii="Calibri" w:hAnsi="Calibri"/>
                <w:b w:val="0"/>
                <w:i w:val="0"/>
                <w:sz w:val="24"/>
              </w:rPr>
              <w:t>95 %</w:t>
            </w:r>
          </w:p>
        </w:tc>
        <w:tc>
          <w:tcPr>
            <w:tcW w:type="dxa" w:w="1881"/>
            <w:vAlign w:val="top"/>
          </w:tcPr>
          <w:p>
            <w:pPr>
              <w:spacing w:before="60" w:after="60"/>
            </w:pPr>
            <w:r/>
            <w:r>
              <w:rPr>
                <w:rFonts w:ascii="Calibri" w:hAnsi="Calibri"/>
                <w:b w:val="0"/>
                <w:i w:val="0"/>
                <w:sz w:val="24"/>
              </w:rPr>
              <w:t>95 %</w:t>
            </w:r>
          </w:p>
        </w:tc>
        <w:tc>
          <w:tcPr>
            <w:tcW w:type="dxa" w:w="1881"/>
            <w:vAlign w:val="top"/>
          </w:tcPr>
          <w:p>
            <w:pPr>
              <w:spacing w:before="60" w:after="60"/>
            </w:pPr>
            <w:r/>
            <w:r>
              <w:rPr>
                <w:rFonts w:ascii="Calibri" w:hAnsi="Calibri"/>
                <w:b w:val="0"/>
                <w:i w:val="0"/>
                <w:sz w:val="24"/>
              </w:rPr>
              <w:t>Stable.</w:t>
            </w:r>
          </w:p>
        </w:tc>
      </w:tr>
      <w:tr>
        <w:tc>
          <w:tcPr>
            <w:tcW w:type="dxa" w:w="1881"/>
            <w:vAlign w:val="top"/>
          </w:tcPr>
          <w:p>
            <w:pPr>
              <w:spacing w:before="60" w:after="60"/>
            </w:pPr>
            <w:r/>
            <w:r>
              <w:rPr>
                <w:rFonts w:ascii="Calibri" w:hAnsi="Calibri"/>
                <w:b w:val="0"/>
                <w:i w:val="0"/>
                <w:sz w:val="24"/>
              </w:rPr>
              <w:t>5. Migration mail Resend (#110)</w:t>
            </w:r>
          </w:p>
        </w:tc>
        <w:tc>
          <w:tcPr>
            <w:tcW w:type="dxa" w:w="1881"/>
            <w:vAlign w:val="top"/>
          </w:tcPr>
          <w:p>
            <w:pPr>
              <w:spacing w:before="60" w:after="60"/>
            </w:pPr>
            <w:r/>
            <w:r>
              <w:rPr>
                <w:rFonts w:ascii="Calibri" w:hAnsi="Calibri"/>
                <w:b w:val="0"/>
                <w:i w:val="0"/>
                <w:sz w:val="24"/>
              </w:rPr>
              <w:t>30 %</w:t>
            </w:r>
          </w:p>
        </w:tc>
        <w:tc>
          <w:tcPr>
            <w:tcW w:type="dxa" w:w="1881"/>
            <w:vAlign w:val="top"/>
          </w:tcPr>
          <w:p>
            <w:pPr>
              <w:spacing w:before="60" w:after="60"/>
            </w:pPr>
            <w:r/>
            <w:r>
              <w:rPr>
                <w:rFonts w:ascii="Calibri" w:hAnsi="Calibri"/>
                <w:b w:val="0"/>
                <w:i w:val="0"/>
                <w:sz w:val="24"/>
              </w:rPr>
              <w:t>35 %</w:t>
            </w:r>
          </w:p>
        </w:tc>
        <w:tc>
          <w:tcPr>
            <w:tcW w:type="dxa" w:w="1881"/>
            <w:vAlign w:val="top"/>
          </w:tcPr>
          <w:p>
            <w:pPr>
              <w:spacing w:before="60" w:after="60"/>
            </w:pPr>
            <w:r/>
            <w:r>
              <w:rPr>
                <w:rFonts w:ascii="Calibri" w:hAnsi="Calibri"/>
                <w:b w:val="0"/>
                <w:i w:val="0"/>
                <w:sz w:val="24"/>
              </w:rPr>
              <w:t>40 %</w:t>
            </w:r>
          </w:p>
        </w:tc>
        <w:tc>
          <w:tcPr>
            <w:tcW w:type="dxa" w:w="1881"/>
            <w:vAlign w:val="top"/>
          </w:tcPr>
          <w:p>
            <w:pPr>
              <w:spacing w:before="60" w:after="60"/>
            </w:pPr>
            <w:r/>
            <w:r>
              <w:rPr>
                <w:rFonts w:ascii="Calibri" w:hAnsi="Calibri"/>
                <w:b w:val="0"/>
                <w:i w:val="0"/>
                <w:sz w:val="24"/>
              </w:rPr>
              <w:t>Spec committée, implémentation à reprendre après séquence #2.</w:t>
            </w:r>
          </w:p>
        </w:tc>
      </w:tr>
      <w:tr>
        <w:tc>
          <w:tcPr>
            <w:tcW w:type="dxa" w:w="1881"/>
            <w:vAlign w:val="top"/>
          </w:tcPr>
          <w:p>
            <w:pPr>
              <w:spacing w:before="60" w:after="60"/>
            </w:pPr>
            <w:r/>
            <w:r>
              <w:rPr>
                <w:rFonts w:ascii="Calibri" w:hAnsi="Calibri"/>
                <w:b w:val="0"/>
                <w:i w:val="0"/>
                <w:sz w:val="24"/>
              </w:rPr>
              <w:t>6. Convergence holdings-aware couche publique</w:t>
            </w:r>
          </w:p>
        </w:tc>
        <w:tc>
          <w:tcPr>
            <w:tcW w:type="dxa" w:w="1881"/>
            <w:vAlign w:val="top"/>
          </w:tcPr>
          <w:p>
            <w:pPr>
              <w:spacing w:before="60" w:after="60"/>
            </w:pPr>
            <w:r/>
            <w:r>
              <w:rPr>
                <w:rFonts w:ascii="Calibri" w:hAnsi="Calibri"/>
                <w:b w:val="0"/>
                <w:i w:val="0"/>
                <w:sz w:val="24"/>
              </w:rPr>
              <w:t>92 %</w:t>
            </w:r>
          </w:p>
        </w:tc>
        <w:tc>
          <w:tcPr>
            <w:tcW w:type="dxa" w:w="1881"/>
            <w:vAlign w:val="top"/>
          </w:tcPr>
          <w:p>
            <w:pPr>
              <w:spacing w:before="60" w:after="60"/>
            </w:pPr>
            <w:r/>
            <w:r>
              <w:rPr>
                <w:rFonts w:ascii="Calibri" w:hAnsi="Calibri"/>
                <w:b w:val="0"/>
                <w:i w:val="0"/>
                <w:sz w:val="24"/>
              </w:rPr>
              <w:t>92 %</w:t>
            </w:r>
          </w:p>
        </w:tc>
        <w:tc>
          <w:tcPr>
            <w:tcW w:type="dxa" w:w="1881"/>
            <w:vAlign w:val="top"/>
          </w:tcPr>
          <w:p>
            <w:pPr>
              <w:spacing w:before="60" w:after="60"/>
            </w:pPr>
            <w:r/>
            <w:r>
              <w:rPr>
                <w:rFonts w:ascii="Calibri" w:hAnsi="Calibri"/>
                <w:b w:val="0"/>
                <w:i w:val="0"/>
                <w:sz w:val="24"/>
              </w:rPr>
              <w:t>92 %</w:t>
            </w:r>
          </w:p>
        </w:tc>
        <w:tc>
          <w:tcPr>
            <w:tcW w:type="dxa" w:w="1881"/>
            <w:vAlign w:val="top"/>
          </w:tcPr>
          <w:p>
            <w:pPr>
              <w:spacing w:before="60" w:after="60"/>
            </w:pPr>
            <w:r/>
            <w:r>
              <w:rPr>
                <w:rFonts w:ascii="Calibri" w:hAnsi="Calibri"/>
                <w:b w:val="0"/>
                <w:i w:val="0"/>
                <w:sz w:val="24"/>
              </w:rPr>
              <w:t>Stable.</w:t>
            </w:r>
          </w:p>
        </w:tc>
      </w:tr>
      <w:tr>
        <w:tc>
          <w:tcPr>
            <w:tcW w:type="dxa" w:w="1881"/>
            <w:vAlign w:val="top"/>
          </w:tcPr>
          <w:p>
            <w:pPr>
              <w:spacing w:before="60" w:after="60"/>
            </w:pPr>
            <w:r/>
            <w:r>
              <w:rPr>
                <w:rFonts w:ascii="Calibri" w:hAnsi="Calibri"/>
                <w:b w:val="0"/>
                <w:i w:val="0"/>
                <w:sz w:val="24"/>
              </w:rPr>
              <w:t>7. Fermeture du produit local complet</w:t>
            </w:r>
          </w:p>
        </w:tc>
        <w:tc>
          <w:tcPr>
            <w:tcW w:type="dxa" w:w="1881"/>
            <w:vAlign w:val="top"/>
          </w:tcPr>
          <w:p>
            <w:pPr>
              <w:spacing w:before="60" w:after="60"/>
            </w:pPr>
            <w:r/>
            <w:r>
              <w:rPr>
                <w:rFonts w:ascii="Calibri" w:hAnsi="Calibri"/>
                <w:b w:val="0"/>
                <w:i w:val="0"/>
                <w:sz w:val="24"/>
              </w:rPr>
              <w:t>93 %</w:t>
            </w:r>
          </w:p>
        </w:tc>
        <w:tc>
          <w:tcPr>
            <w:tcW w:type="dxa" w:w="1881"/>
            <w:vAlign w:val="top"/>
          </w:tcPr>
          <w:p>
            <w:pPr>
              <w:spacing w:before="60" w:after="60"/>
            </w:pPr>
            <w:r/>
            <w:r>
              <w:rPr>
                <w:rFonts w:ascii="Calibri" w:hAnsi="Calibri"/>
                <w:b w:val="0"/>
                <w:i w:val="0"/>
                <w:sz w:val="24"/>
              </w:rPr>
              <w:t>93 %</w:t>
            </w:r>
          </w:p>
        </w:tc>
        <w:tc>
          <w:tcPr>
            <w:tcW w:type="dxa" w:w="1881"/>
            <w:vAlign w:val="top"/>
          </w:tcPr>
          <w:p>
            <w:pPr>
              <w:spacing w:before="60" w:after="60"/>
            </w:pPr>
            <w:r/>
            <w:r>
              <w:rPr>
                <w:rFonts w:ascii="Calibri" w:hAnsi="Calibri"/>
                <w:b w:val="0"/>
                <w:i w:val="0"/>
                <w:sz w:val="24"/>
              </w:rPr>
              <w:t>94 %</w:t>
            </w:r>
          </w:p>
        </w:tc>
        <w:tc>
          <w:tcPr>
            <w:tcW w:type="dxa" w:w="1881"/>
            <w:vAlign w:val="top"/>
          </w:tcPr>
          <w:p>
            <w:pPr>
              <w:spacing w:before="60" w:after="60"/>
            </w:pPr>
            <w:r/>
            <w:r>
              <w:rPr>
                <w:rFonts w:ascii="Calibri" w:hAnsi="Calibri"/>
                <w:b w:val="0"/>
                <w:i w:val="0"/>
                <w:sz w:val="24"/>
              </w:rPr>
              <w:t>Chantier A Painel + recensement EA-13 améliorent la qualité d'usage.</w:t>
            </w:r>
          </w:p>
        </w:tc>
      </w:tr>
      <w:tr>
        <w:tc>
          <w:tcPr>
            <w:tcW w:type="dxa" w:w="1881"/>
            <w:vAlign w:val="top"/>
          </w:tcPr>
          <w:p>
            <w:pPr>
              <w:spacing w:before="60" w:after="60"/>
            </w:pPr>
            <w:r/>
            <w:r>
              <w:rPr>
                <w:rFonts w:ascii="Calibri" w:hAnsi="Calibri"/>
                <w:b w:val="0"/>
                <w:i w:val="0"/>
                <w:sz w:val="24"/>
              </w:rPr>
              <w:t>8. Gel et alignement de catalogação</w:t>
            </w:r>
          </w:p>
        </w:tc>
        <w:tc>
          <w:tcPr>
            <w:tcW w:type="dxa" w:w="1881"/>
            <w:vAlign w:val="top"/>
          </w:tcPr>
          <w:p>
            <w:pPr>
              <w:spacing w:before="60" w:after="60"/>
            </w:pPr>
            <w:r/>
            <w:r>
              <w:rPr>
                <w:rFonts w:ascii="Calibri" w:hAnsi="Calibri"/>
                <w:b w:val="0"/>
                <w:i w:val="0"/>
                <w:sz w:val="24"/>
              </w:rPr>
              <w:t>77 %</w:t>
            </w:r>
          </w:p>
        </w:tc>
        <w:tc>
          <w:tcPr>
            <w:tcW w:type="dxa" w:w="1881"/>
            <w:vAlign w:val="top"/>
          </w:tcPr>
          <w:p>
            <w:pPr>
              <w:spacing w:before="60" w:after="60"/>
            </w:pPr>
            <w:r/>
            <w:r>
              <w:rPr>
                <w:rFonts w:ascii="Calibri" w:hAnsi="Calibri"/>
                <w:b w:val="0"/>
                <w:i w:val="0"/>
                <w:sz w:val="24"/>
              </w:rPr>
              <w:t>77 %</w:t>
            </w:r>
          </w:p>
        </w:tc>
        <w:tc>
          <w:tcPr>
            <w:tcW w:type="dxa" w:w="1881"/>
            <w:vAlign w:val="top"/>
          </w:tcPr>
          <w:p>
            <w:pPr>
              <w:spacing w:before="60" w:after="60"/>
            </w:pPr>
            <w:r/>
            <w:r>
              <w:rPr>
                <w:rFonts w:ascii="Calibri" w:hAnsi="Calibri"/>
                <w:b w:val="0"/>
                <w:i w:val="0"/>
                <w:sz w:val="24"/>
              </w:rPr>
              <w:t>77 %</w:t>
            </w:r>
          </w:p>
        </w:tc>
        <w:tc>
          <w:tcPr>
            <w:tcW w:type="dxa" w:w="1881"/>
            <w:vAlign w:val="top"/>
          </w:tcPr>
          <w:p>
            <w:pPr>
              <w:spacing w:before="60" w:after="60"/>
            </w:pPr>
            <w:r/>
            <w:r>
              <w:rPr>
                <w:rFonts w:ascii="Calibri" w:hAnsi="Calibri"/>
                <w:b w:val="0"/>
                <w:i w:val="0"/>
                <w:sz w:val="24"/>
              </w:rPr>
              <w:t>Stable.</w:t>
            </w:r>
          </w:p>
        </w:tc>
      </w:tr>
      <w:tr>
        <w:tc>
          <w:tcPr>
            <w:tcW w:type="dxa" w:w="1881"/>
            <w:vAlign w:val="top"/>
          </w:tcPr>
          <w:p>
            <w:pPr>
              <w:spacing w:before="60" w:after="60"/>
            </w:pPr>
            <w:r/>
            <w:r>
              <w:rPr>
                <w:rFonts w:ascii="Calibri" w:hAnsi="Calibri"/>
                <w:b w:val="0"/>
                <w:i w:val="0"/>
                <w:sz w:val="24"/>
              </w:rPr>
              <w:t>9. Refonte mails — exécution</w:t>
            </w:r>
          </w:p>
        </w:tc>
        <w:tc>
          <w:tcPr>
            <w:tcW w:type="dxa" w:w="1881"/>
            <w:vAlign w:val="top"/>
          </w:tcPr>
          <w:p>
            <w:pPr>
              <w:spacing w:before="60" w:after="60"/>
            </w:pPr>
            <w:r/>
            <w:r>
              <w:rPr>
                <w:rFonts w:ascii="Calibri" w:hAnsi="Calibri"/>
                <w:b w:val="0"/>
                <w:i w:val="0"/>
                <w:sz w:val="24"/>
              </w:rPr>
              <w:t>90 %</w:t>
            </w:r>
          </w:p>
        </w:tc>
        <w:tc>
          <w:tcPr>
            <w:tcW w:type="dxa" w:w="1881"/>
            <w:vAlign w:val="top"/>
          </w:tcPr>
          <w:p>
            <w:pPr>
              <w:spacing w:before="60" w:after="60"/>
            </w:pPr>
            <w:r/>
            <w:r>
              <w:rPr>
                <w:rFonts w:ascii="Calibri" w:hAnsi="Calibri"/>
                <w:b w:val="0"/>
                <w:i w:val="0"/>
                <w:sz w:val="24"/>
              </w:rPr>
              <w:t>92 %</w:t>
            </w:r>
          </w:p>
        </w:tc>
        <w:tc>
          <w:tcPr>
            <w:tcW w:type="dxa" w:w="1881"/>
            <w:vAlign w:val="top"/>
          </w:tcPr>
          <w:p>
            <w:pPr>
              <w:spacing w:before="60" w:after="60"/>
            </w:pPr>
            <w:r/>
            <w:r>
              <w:rPr>
                <w:rFonts w:ascii="Calibri" w:hAnsi="Calibri"/>
                <w:b w:val="0"/>
                <w:i w:val="0"/>
                <w:sz w:val="24"/>
              </w:rPr>
              <w:t>95 %</w:t>
            </w:r>
          </w:p>
        </w:tc>
        <w:tc>
          <w:tcPr>
            <w:tcW w:type="dxa" w:w="1881"/>
            <w:vAlign w:val="top"/>
          </w:tcPr>
          <w:p>
            <w:pPr>
              <w:spacing w:before="60" w:after="60"/>
            </w:pPr>
            <w:r/>
            <w:r>
              <w:rPr>
                <w:rFonts w:ascii="Calibri" w:hAnsi="Calibri"/>
                <w:b w:val="0"/>
                <w:i w:val="0"/>
                <w:sz w:val="24"/>
              </w:rPr>
              <w:t>Chantier #153 clos sur code (correctif Xavier v18).</w:t>
            </w:r>
          </w:p>
        </w:tc>
      </w:tr>
      <w:tr>
        <w:tc>
          <w:tcPr>
            <w:tcW w:type="dxa" w:w="1881"/>
            <w:vAlign w:val="top"/>
          </w:tcPr>
          <w:p>
            <w:pPr>
              <w:spacing w:before="60" w:after="60"/>
            </w:pPr>
            <w:r/>
            <w:r>
              <w:rPr>
                <w:rFonts w:ascii="Calibri" w:hAnsi="Calibri"/>
                <w:b w:val="0"/>
                <w:i w:val="0"/>
                <w:sz w:val="24"/>
              </w:rPr>
              <w:t>10. Imports partenaires et lot pilote BTL</w:t>
            </w:r>
          </w:p>
        </w:tc>
        <w:tc>
          <w:tcPr>
            <w:tcW w:type="dxa" w:w="1881"/>
            <w:vAlign w:val="top"/>
          </w:tcPr>
          <w:p>
            <w:pPr>
              <w:spacing w:before="60" w:after="60"/>
            </w:pPr>
            <w:r/>
            <w:r>
              <w:rPr>
                <w:rFonts w:ascii="Calibri" w:hAnsi="Calibri"/>
                <w:b w:val="0"/>
                <w:i w:val="0"/>
                <w:sz w:val="24"/>
              </w:rPr>
              <w:t>55 %</w:t>
            </w:r>
          </w:p>
        </w:tc>
        <w:tc>
          <w:tcPr>
            <w:tcW w:type="dxa" w:w="1881"/>
            <w:vAlign w:val="top"/>
          </w:tcPr>
          <w:p>
            <w:pPr>
              <w:spacing w:before="60" w:after="60"/>
            </w:pPr>
            <w:r/>
            <w:r>
              <w:rPr>
                <w:rFonts w:ascii="Calibri" w:hAnsi="Calibri"/>
                <w:b w:val="0"/>
                <w:i w:val="0"/>
                <w:sz w:val="24"/>
              </w:rPr>
              <w:t>55 %</w:t>
            </w:r>
          </w:p>
        </w:tc>
        <w:tc>
          <w:tcPr>
            <w:tcW w:type="dxa" w:w="1881"/>
            <w:vAlign w:val="top"/>
          </w:tcPr>
          <w:p>
            <w:pPr>
              <w:spacing w:before="60" w:after="60"/>
            </w:pPr>
            <w:r/>
            <w:r>
              <w:rPr>
                <w:rFonts w:ascii="Calibri" w:hAnsi="Calibri"/>
                <w:b w:val="0"/>
                <w:i w:val="0"/>
                <w:sz w:val="24"/>
              </w:rPr>
              <w:t>55 %</w:t>
            </w:r>
          </w:p>
        </w:tc>
        <w:tc>
          <w:tcPr>
            <w:tcW w:type="dxa" w:w="1881"/>
            <w:vAlign w:val="top"/>
          </w:tcPr>
          <w:p>
            <w:pPr>
              <w:spacing w:before="60" w:after="60"/>
            </w:pPr>
            <w:r/>
            <w:r>
              <w:rPr>
                <w:rFonts w:ascii="Calibri" w:hAnsi="Calibri"/>
                <w:b w:val="0"/>
                <w:i w:val="0"/>
                <w:sz w:val="24"/>
              </w:rPr>
              <w:t>Stable.</w:t>
            </w:r>
          </w:p>
        </w:tc>
      </w:tr>
      <w:tr>
        <w:tc>
          <w:tcPr>
            <w:tcW w:type="dxa" w:w="1881"/>
            <w:vAlign w:val="top"/>
          </w:tcPr>
          <w:p>
            <w:pPr>
              <w:spacing w:before="60" w:after="60"/>
            </w:pPr>
            <w:r/>
            <w:r>
              <w:rPr>
                <w:rFonts w:ascii="Calibri" w:hAnsi="Calibri"/>
                <w:b w:val="0"/>
                <w:i w:val="0"/>
                <w:sz w:val="24"/>
              </w:rPr>
              <w:t>11. Noyau fédéral minimal</w:t>
            </w:r>
          </w:p>
        </w:tc>
        <w:tc>
          <w:tcPr>
            <w:tcW w:type="dxa" w:w="1881"/>
            <w:vAlign w:val="top"/>
          </w:tcPr>
          <w:p>
            <w:pPr>
              <w:spacing w:before="60" w:after="60"/>
            </w:pPr>
            <w:r/>
            <w:r>
              <w:rPr>
                <w:rFonts w:ascii="Calibri" w:hAnsi="Calibri"/>
                <w:b w:val="0"/>
                <w:i w:val="0"/>
                <w:sz w:val="24"/>
              </w:rPr>
              <w:t>70 %</w:t>
            </w:r>
          </w:p>
        </w:tc>
        <w:tc>
          <w:tcPr>
            <w:tcW w:type="dxa" w:w="1881"/>
            <w:vAlign w:val="top"/>
          </w:tcPr>
          <w:p>
            <w:pPr>
              <w:spacing w:before="60" w:after="60"/>
            </w:pPr>
            <w:r/>
            <w:r>
              <w:rPr>
                <w:rFonts w:ascii="Calibri" w:hAnsi="Calibri"/>
                <w:b w:val="0"/>
                <w:i w:val="0"/>
                <w:sz w:val="24"/>
              </w:rPr>
              <w:t>72 %</w:t>
            </w:r>
          </w:p>
        </w:tc>
        <w:tc>
          <w:tcPr>
            <w:tcW w:type="dxa" w:w="1881"/>
            <w:vAlign w:val="top"/>
          </w:tcPr>
          <w:p>
            <w:pPr>
              <w:spacing w:before="60" w:after="60"/>
            </w:pPr>
            <w:r/>
            <w:r>
              <w:rPr>
                <w:rFonts w:ascii="Calibri" w:hAnsi="Calibri"/>
                <w:b w:val="0"/>
                <w:i w:val="0"/>
                <w:sz w:val="24"/>
              </w:rPr>
              <w:t>72 %</w:t>
            </w:r>
          </w:p>
        </w:tc>
        <w:tc>
          <w:tcPr>
            <w:tcW w:type="dxa" w:w="1881"/>
            <w:vAlign w:val="top"/>
          </w:tcPr>
          <w:p>
            <w:pPr>
              <w:spacing w:before="60" w:after="60"/>
            </w:pPr>
            <w:r/>
            <w:r>
              <w:rPr>
                <w:rFonts w:ascii="Calibri" w:hAnsi="Calibri"/>
                <w:b w:val="0"/>
                <w:i w:val="0"/>
                <w:sz w:val="24"/>
              </w:rPr>
              <w:t>Stable. Partenaires correspondance en cours.</w:t>
            </w:r>
          </w:p>
        </w:tc>
      </w:tr>
      <w:tr>
        <w:tc>
          <w:tcPr>
            <w:tcW w:type="dxa" w:w="1881"/>
            <w:vAlign w:val="top"/>
          </w:tcPr>
          <w:p>
            <w:pPr>
              <w:spacing w:before="60" w:after="60"/>
            </w:pPr>
            <w:r/>
            <w:r>
              <w:rPr>
                <w:rFonts w:ascii="Calibri" w:hAnsi="Calibri"/>
                <w:b w:val="0"/>
                <w:i w:val="0"/>
                <w:sz w:val="24"/>
              </w:rPr>
              <w:t>12. Diffusion multilingue</w:t>
            </w:r>
          </w:p>
        </w:tc>
        <w:tc>
          <w:tcPr>
            <w:tcW w:type="dxa" w:w="1881"/>
            <w:vAlign w:val="top"/>
          </w:tcPr>
          <w:p>
            <w:pPr>
              <w:spacing w:before="60" w:after="60"/>
            </w:pPr>
            <w:r/>
            <w:r>
              <w:rPr>
                <w:rFonts w:ascii="Calibri" w:hAnsi="Calibri"/>
                <w:b w:val="0"/>
                <w:i w:val="0"/>
                <w:sz w:val="24"/>
              </w:rPr>
              <w:t>87 %</w:t>
            </w:r>
          </w:p>
        </w:tc>
        <w:tc>
          <w:tcPr>
            <w:tcW w:type="dxa" w:w="1881"/>
            <w:vAlign w:val="top"/>
          </w:tcPr>
          <w:p>
            <w:pPr>
              <w:spacing w:before="60" w:after="60"/>
            </w:pPr>
            <w:r/>
            <w:r>
              <w:rPr>
                <w:rFonts w:ascii="Calibri" w:hAnsi="Calibri"/>
                <w:b w:val="0"/>
                <w:i w:val="0"/>
                <w:sz w:val="24"/>
              </w:rPr>
              <w:t>87 %</w:t>
            </w:r>
          </w:p>
        </w:tc>
        <w:tc>
          <w:tcPr>
            <w:tcW w:type="dxa" w:w="1881"/>
            <w:vAlign w:val="top"/>
          </w:tcPr>
          <w:p>
            <w:pPr>
              <w:spacing w:before="60" w:after="60"/>
            </w:pPr>
            <w:r/>
            <w:r>
              <w:rPr>
                <w:rFonts w:ascii="Calibri" w:hAnsi="Calibri"/>
                <w:b w:val="0"/>
                <w:i w:val="0"/>
                <w:sz w:val="24"/>
              </w:rPr>
              <w:t>88 %</w:t>
            </w:r>
          </w:p>
        </w:tc>
        <w:tc>
          <w:tcPr>
            <w:tcW w:type="dxa" w:w="1881"/>
            <w:vAlign w:val="top"/>
          </w:tcPr>
          <w:p>
            <w:pPr>
              <w:spacing w:before="60" w:after="60"/>
            </w:pPr>
            <w:r/>
            <w:r>
              <w:rPr>
                <w:rFonts w:ascii="Calibri" w:hAnsi="Calibri"/>
                <w:b w:val="0"/>
                <w:i w:val="0"/>
                <w:sz w:val="24"/>
              </w:rPr>
              <w:t>8 locales × 2 999 clés vérifiées.</w:t>
            </w:r>
          </w:p>
        </w:tc>
      </w:tr>
      <w:tr>
        <w:tc>
          <w:tcPr>
            <w:tcW w:type="dxa" w:w="1881"/>
            <w:vAlign w:val="top"/>
          </w:tcPr>
          <w:p>
            <w:pPr>
              <w:spacing w:before="60" w:after="60"/>
            </w:pPr>
            <w:r/>
            <w:r>
              <w:rPr>
                <w:rFonts w:ascii="Calibri" w:hAnsi="Calibri"/>
                <w:b w:val="0"/>
                <w:i w:val="0"/>
                <w:sz w:val="24"/>
              </w:rPr>
              <w:t>13. Cohérence linguistique et politique</w:t>
            </w:r>
          </w:p>
        </w:tc>
        <w:tc>
          <w:tcPr>
            <w:tcW w:type="dxa" w:w="1881"/>
            <w:vAlign w:val="top"/>
          </w:tcPr>
          <w:p>
            <w:pPr>
              <w:spacing w:before="60" w:after="60"/>
            </w:pPr>
            <w:r/>
            <w:r>
              <w:rPr>
                <w:rFonts w:ascii="Calibri" w:hAnsi="Calibri"/>
                <w:b w:val="0"/>
                <w:i w:val="0"/>
                <w:sz w:val="24"/>
              </w:rPr>
              <w:t>86 %</w:t>
            </w:r>
          </w:p>
        </w:tc>
        <w:tc>
          <w:tcPr>
            <w:tcW w:type="dxa" w:w="1881"/>
            <w:vAlign w:val="top"/>
          </w:tcPr>
          <w:p>
            <w:pPr>
              <w:spacing w:before="60" w:after="60"/>
            </w:pPr>
            <w:r/>
            <w:r>
              <w:rPr>
                <w:rFonts w:ascii="Calibri" w:hAnsi="Calibri"/>
                <w:b w:val="0"/>
                <w:i w:val="0"/>
                <w:sz w:val="24"/>
              </w:rPr>
              <w:t>87 %</w:t>
            </w:r>
          </w:p>
        </w:tc>
        <w:tc>
          <w:tcPr>
            <w:tcW w:type="dxa" w:w="1881"/>
            <w:vAlign w:val="top"/>
          </w:tcPr>
          <w:p>
            <w:pPr>
              <w:spacing w:before="60" w:after="60"/>
            </w:pPr>
            <w:r/>
            <w:r>
              <w:rPr>
                <w:rFonts w:ascii="Calibri" w:hAnsi="Calibri"/>
                <w:b w:val="0"/>
                <w:i w:val="0"/>
                <w:sz w:val="24"/>
              </w:rPr>
              <w:t>88 %</w:t>
            </w:r>
          </w:p>
        </w:tc>
        <w:tc>
          <w:tcPr>
            <w:tcW w:type="dxa" w:w="1881"/>
            <w:vAlign w:val="top"/>
          </w:tcPr>
          <w:p>
            <w:pPr>
              <w:spacing w:before="60" w:after="60"/>
            </w:pPr>
            <w:r/>
            <w:r>
              <w:rPr>
                <w:rFonts w:ascii="Calibri" w:hAnsi="Calibri"/>
                <w:b w:val="0"/>
                <w:i w:val="0"/>
                <w:sz w:val="24"/>
              </w:rPr>
              <w:t>Doctrine du chapitre 0 améliore la cohérence linguistique entre les axes de statut.</w:t>
            </w:r>
          </w:p>
        </w:tc>
      </w:tr>
      <w:tr>
        <w:tc>
          <w:tcPr>
            <w:tcW w:type="dxa" w:w="1881"/>
            <w:vAlign w:val="top"/>
          </w:tcPr>
          <w:p>
            <w:pPr>
              <w:spacing w:before="60" w:after="60"/>
            </w:pPr>
            <w:r/>
            <w:r>
              <w:rPr>
                <w:rFonts w:ascii="Calibri" w:hAnsi="Calibri"/>
                <w:b w:val="0"/>
                <w:i w:val="0"/>
                <w:sz w:val="24"/>
              </w:rPr>
              <w:t>14 (NOUVEAU v16). Méthode d'audit par parité doctrinale</w:t>
            </w:r>
          </w:p>
        </w:tc>
        <w:tc>
          <w:tcPr>
            <w:tcW w:type="dxa" w:w="1881"/>
            <w:vAlign w:val="top"/>
          </w:tcPr>
          <w:p>
            <w:pPr>
              <w:spacing w:before="60" w:after="60"/>
            </w:pPr>
            <w:r/>
            <w:r>
              <w:rPr>
                <w:rFonts w:ascii="Calibri" w:hAnsi="Calibri"/>
                <w:b w:val="0"/>
                <w:i w:val="0"/>
                <w:sz w:val="24"/>
              </w:rPr>
              <w:t>—</w:t>
            </w:r>
          </w:p>
        </w:tc>
        <w:tc>
          <w:tcPr>
            <w:tcW w:type="dxa" w:w="1881"/>
            <w:vAlign w:val="top"/>
          </w:tcPr>
          <w:p>
            <w:pPr>
              <w:spacing w:before="60" w:after="60"/>
            </w:pPr>
            <w:r/>
            <w:r>
              <w:rPr>
                <w:rFonts w:ascii="Calibri" w:hAnsi="Calibri"/>
                <w:b w:val="0"/>
                <w:i w:val="0"/>
                <w:sz w:val="24"/>
              </w:rPr>
              <w:t>70 %</w:t>
            </w:r>
          </w:p>
        </w:tc>
        <w:tc>
          <w:tcPr>
            <w:tcW w:type="dxa" w:w="1881"/>
            <w:vAlign w:val="top"/>
          </w:tcPr>
          <w:p>
            <w:pPr>
              <w:spacing w:before="60" w:after="60"/>
            </w:pPr>
            <w:r/>
            <w:r>
              <w:rPr>
                <w:rFonts w:ascii="Calibri" w:hAnsi="Calibri"/>
                <w:b w:val="0"/>
                <w:i w:val="0"/>
                <w:sz w:val="24"/>
              </w:rPr>
              <w:t>80 %</w:t>
            </w:r>
          </w:p>
        </w:tc>
        <w:tc>
          <w:tcPr>
            <w:tcW w:type="dxa" w:w="1881"/>
            <w:vAlign w:val="top"/>
          </w:tcPr>
          <w:p>
            <w:pPr>
              <w:spacing w:before="60" w:after="60"/>
            </w:pPr>
            <w:r/>
            <w:r>
              <w:rPr>
                <w:rFonts w:ascii="Calibri" w:hAnsi="Calibri"/>
                <w:b w:val="0"/>
                <w:i w:val="0"/>
                <w:sz w:val="24"/>
              </w:rPr>
              <w:t>Deux chantiers-cadres conduits, méthode reproductible posée.</w:t>
            </w:r>
          </w:p>
        </w:tc>
      </w:tr>
      <w:tr>
        <w:tc>
          <w:tcPr>
            <w:tcW w:type="dxa" w:w="1881"/>
            <w:vAlign w:val="top"/>
          </w:tcPr>
          <w:p>
            <w:pPr>
              <w:spacing w:before="60" w:after="60"/>
            </w:pPr>
            <w:r/>
            <w:r>
              <w:rPr>
                <w:rFonts w:ascii="Calibri" w:hAnsi="Calibri"/>
                <w:b w:val="0"/>
                <w:i w:val="0"/>
                <w:sz w:val="24"/>
              </w:rPr>
              <w:t>15 (NOUVEAU v16). Suite du chantier-cadre Painel</w:t>
            </w:r>
          </w:p>
        </w:tc>
        <w:tc>
          <w:tcPr>
            <w:tcW w:type="dxa" w:w="1881"/>
            <w:vAlign w:val="top"/>
          </w:tcPr>
          <w:p>
            <w:pPr>
              <w:spacing w:before="60" w:after="60"/>
            </w:pPr>
            <w:r/>
            <w:r>
              <w:rPr>
                <w:rFonts w:ascii="Calibri" w:hAnsi="Calibri"/>
                <w:b w:val="0"/>
                <w:i w:val="0"/>
                <w:sz w:val="24"/>
              </w:rPr>
              <w:t>—</w:t>
            </w:r>
          </w:p>
        </w:tc>
        <w:tc>
          <w:tcPr>
            <w:tcW w:type="dxa" w:w="1881"/>
            <w:vAlign w:val="top"/>
          </w:tcPr>
          <w:p>
            <w:pPr>
              <w:spacing w:before="60" w:after="60"/>
            </w:pPr>
            <w:r/>
            <w:r>
              <w:rPr>
                <w:rFonts w:ascii="Calibri" w:hAnsi="Calibri"/>
                <w:b w:val="0"/>
                <w:i w:val="0"/>
                <w:sz w:val="24"/>
              </w:rPr>
              <w:t>—</w:t>
            </w:r>
          </w:p>
        </w:tc>
        <w:tc>
          <w:tcPr>
            <w:tcW w:type="dxa" w:w="1881"/>
            <w:vAlign w:val="top"/>
          </w:tcPr>
          <w:p>
            <w:pPr>
              <w:spacing w:before="60" w:after="60"/>
            </w:pPr>
            <w:r/>
            <w:r>
              <w:rPr>
                <w:rFonts w:ascii="Calibri" w:hAnsi="Calibri"/>
                <w:b w:val="0"/>
                <w:i w:val="0"/>
                <w:sz w:val="24"/>
              </w:rPr>
              <w:t>20 %</w:t>
            </w:r>
          </w:p>
        </w:tc>
        <w:tc>
          <w:tcPr>
            <w:tcW w:type="dxa" w:w="1881"/>
            <w:vAlign w:val="top"/>
          </w:tcPr>
          <w:p>
            <w:pPr>
              <w:spacing w:before="60" w:after="60"/>
            </w:pPr>
            <w:r/>
            <w:r>
              <w:rPr>
                <w:rFonts w:ascii="Calibri" w:hAnsi="Calibri"/>
                <w:b w:val="0"/>
                <w:i w:val="0"/>
                <w:sz w:val="24"/>
              </w:rPr>
              <w:t>Chantier A clos (3 écarts). B, C, D, E restent (≈ 12 écarts répartis).</w:t>
            </w:r>
          </w:p>
        </w:tc>
      </w:tr>
    </w:tbl>
    <w:p>
      <w:pPr>
        <w:spacing w:after="160"/>
      </w:pPr>
    </w:p>
    <w:p>
      <w:pPr>
        <w:keepNext/>
        <w:spacing w:before="360" w:after="160"/>
      </w:pPr>
      <w:r>
        <w:rPr>
          <w:rFonts w:ascii="Calibri" w:hAnsi="Calibri"/>
          <w:b/>
          <w:color w:val="2E74B5"/>
          <w:sz w:val="36"/>
        </w:rPr>
        <w:t>13.5 Ce que dit réellement le ≈ 95 %</w:t>
      </w:r>
    </w:p>
    <w:p>
      <w:pPr>
        <w:spacing w:before="0" w:after="160"/>
      </w:pPr>
      <w:r>
        <w:rPr>
          <w:rFonts w:ascii="Calibri" w:hAnsi="Calibri"/>
          <w:b w:val="0"/>
          <w:i w:val="0"/>
          <w:sz w:val="28"/>
        </w:rPr>
        <w:t>— Le projet a stabilisé sa cadence d'expansion backend. La v15 → v16 (+1 point en 8 jours) consolide la lecture v14 → v15 (+1 point en 2 jours) et confirme que le projet n'a plus besoin d'ajouter de paliers backend nouveaux pour avancer : il avance désormais par jonction frontale et par doctrinalisation transverse.</w:t>
      </w:r>
    </w:p>
    <w:p>
      <w:pPr>
        <w:spacing w:before="0" w:after="160"/>
      </w:pPr>
      <w:r>
        <w:rPr>
          <w:rFonts w:ascii="Calibri" w:hAnsi="Calibri"/>
          <w:b w:val="0"/>
          <w:i w:val="0"/>
          <w:sz w:val="28"/>
        </w:rPr>
        <w:t>— L'introduction d'un axe nouveau « Méthode d'audit par parité doctrinale » mesure pour la première fois ce que le projet construit comme savoir-faire opérationnel, distinct de ses livraisons techniques. Cette méthode est désormais sa principale ressource pour aborder Importações puis Catalogação.</w:t>
      </w:r>
    </w:p>
    <w:p>
      <w:pPr>
        <w:spacing w:before="0" w:after="160"/>
      </w:pPr>
      <w:r>
        <w:rPr>
          <w:rFonts w:ascii="Calibri" w:hAnsi="Calibri"/>
          <w:b w:val="0"/>
          <w:i w:val="0"/>
          <w:sz w:val="28"/>
        </w:rPr>
        <w:t>— Le travail restant — environ 5 % d'un système complet — se concentre sur trois axes : la finition du Biblioteca (EA-12 phase 2), la jonction des profils d'adoption (séquence #2), et la suite du chantier-cadre Painel (séquence #11 / #15 ci-dessus). Aucun chantier structurant nouveau n'est prioritaire.</w:t>
      </w:r>
    </w:p>
    <w:p>
      <w:pPr>
        <w:spacing w:before="0" w:after="160"/>
      </w:pPr>
      <w:r>
        <w:rPr>
          <w:rFonts w:ascii="Calibri" w:hAnsi="Calibri"/>
          <w:b w:val="0"/>
          <w:i w:val="0"/>
          <w:sz w:val="28"/>
        </w:rPr>
        <w:t>— Aucun durcissement de la dette stricte (séquence #3) n'a été conduit depuis la v14. La dette reste qualifiée, bornée, et reste à traiter en lot — environ deux semaines de travail concentré, sans préalable.</w:t>
      </w:r>
    </w:p>
    <w:p>
      <w:pPr>
        <w:keepNext/>
        <w:spacing w:before="360" w:after="160"/>
      </w:pPr>
      <w:r>
        <w:rPr>
          <w:rFonts w:ascii="Calibri" w:hAnsi="Calibri"/>
          <w:b/>
          <w:color w:val="2E74B5"/>
          <w:sz w:val="36"/>
        </w:rPr>
        <w:t>13.6 Acquis intégrés du backlog v18 corrective</w:t>
      </w:r>
    </w:p>
    <w:p>
      <w:pPr>
        <w:spacing w:before="0" w:after="160"/>
      </w:pPr>
      <w:r>
        <w:rPr>
          <w:rFonts w:ascii="Calibri" w:hAnsi="Calibri"/>
          <w:b w:val="0"/>
          <w:i w:val="0"/>
          <w:sz w:val="28"/>
        </w:rPr>
        <w:t>La version v18 corrective du backlog (Xavier-uploaded le 27/05) précise plusieurs requalifications que la v15 (et certaines lectures du 27/05 matin) avaient mal qualifiées. La v16 les intègre :</w:t>
      </w:r>
    </w:p>
    <w:p>
      <w:pPr>
        <w:spacing w:before="0" w:after="160"/>
      </w:pPr>
      <w:r>
        <w:rPr>
          <w:rFonts w:ascii="Calibri" w:hAnsi="Calibri"/>
          <w:b w:val="0"/>
          <w:i w:val="0"/>
          <w:sz w:val="28"/>
        </w:rPr>
        <w:t xml:space="preserve">— </w:t>
      </w:r>
      <w:r>
        <w:rPr>
          <w:rFonts w:ascii="Calibri" w:hAnsi="Calibri"/>
          <w:b/>
          <w:i w:val="0"/>
          <w:sz w:val="28"/>
        </w:rPr>
        <w:t xml:space="preserve">#153 (audit contenus mails) est CLOS sur volet code. </w:t>
      </w:r>
      <w:r>
        <w:rPr>
          <w:rFonts w:ascii="Calibri" w:hAnsi="Calibri"/>
          <w:b w:val="0"/>
          <w:i w:val="0"/>
          <w:sz w:val="28"/>
        </w:rPr>
        <w:t>La v15 et certains documents internes l'avaient laissé en cours. Le chantier #153.B est en réalité bouclé depuis le 18/05 dans le chantier i18n layout mail (jamais répercuté backlog). #153.C est bouclé depuis le 27/05 (ajout de la colonne libraries.logo_url). #153.E est clos sur 7 constats (NW-A, NW-B, NW-C, TR-5, TR-6.1, TR-6.3, LP-C). Restent 2 détails de finition : code mort `res.refused` / `reserva_v2_recusada` à retirer ; dé-duplication de la copie autonome `_shared/` dans `notify-internal-task`. Ces deux détails sont à traiter dans une session de finition dédiée ou rattachés au chantier #154.</w:t>
      </w:r>
    </w:p>
    <w:p>
      <w:pPr>
        <w:spacing w:before="0" w:after="160"/>
      </w:pPr>
      <w:r>
        <w:rPr>
          <w:rFonts w:ascii="Calibri" w:hAnsi="Calibri"/>
          <w:b w:val="0"/>
          <w:i w:val="0"/>
          <w:sz w:val="28"/>
        </w:rPr>
        <w:t xml:space="preserve">— </w:t>
      </w:r>
      <w:r>
        <w:rPr>
          <w:rFonts w:ascii="Calibri" w:hAnsi="Calibri"/>
          <w:b/>
          <w:i w:val="0"/>
          <w:sz w:val="28"/>
        </w:rPr>
        <w:t xml:space="preserve">#TASKS est clos. </w:t>
      </w:r>
      <w:r>
        <w:rPr>
          <w:rFonts w:ascii="Calibri" w:hAnsi="Calibri"/>
          <w:b w:val="0"/>
          <w:i w:val="0"/>
          <w:sz w:val="28"/>
        </w:rPr>
        <w:t>Le module des tâches récurrentes est en production, documenté par `CHANTIER_module_taches_recurrence_2026-05-24.md` et `Dossier_ouverture_chantier_module_taches_AnarBib.docx`.</w:t>
      </w:r>
    </w:p>
    <w:p>
      <w:pPr>
        <w:spacing w:before="0" w:after="160"/>
      </w:pPr>
      <w:r>
        <w:rPr>
          <w:rFonts w:ascii="Calibri" w:hAnsi="Calibri"/>
          <w:b w:val="0"/>
          <w:i w:val="0"/>
          <w:sz w:val="28"/>
        </w:rPr>
        <w:t xml:space="preserve">— </w:t>
      </w:r>
      <w:r>
        <w:rPr>
          <w:rFonts w:ascii="Calibri" w:hAnsi="Calibri"/>
          <w:b/>
          <w:i w:val="0"/>
          <w:sz w:val="28"/>
        </w:rPr>
        <w:t xml:space="preserve">#PARTNERS est clos. </w:t>
      </w:r>
      <w:r>
        <w:rPr>
          <w:rFonts w:ascii="Calibri" w:hAnsi="Calibri"/>
          <w:b w:val="0"/>
          <w:i w:val="0"/>
          <w:sz w:val="28"/>
        </w:rPr>
        <w:t>Le chantier partenaires correspondance, ouvert le 24/05 (`CHANTIER_partenaires_correspondance_2026-05-24.docx`, `DEPLOIEMENT_partenaires_correspondance_2026-05-24.docx`), est en production.</w:t>
      </w:r>
    </w:p>
    <w:p>
      <w:pPr>
        <w:spacing w:before="0" w:after="160"/>
      </w:pPr>
      <w:r>
        <w:rPr>
          <w:rFonts w:ascii="Calibri" w:hAnsi="Calibri"/>
          <w:b w:val="0"/>
          <w:i w:val="0"/>
          <w:sz w:val="28"/>
        </w:rPr>
        <w:t xml:space="preserve">— </w:t>
      </w:r>
      <w:r>
        <w:rPr>
          <w:rFonts w:ascii="Calibri" w:hAnsi="Calibri"/>
          <w:b/>
          <w:i w:val="0"/>
          <w:sz w:val="28"/>
        </w:rPr>
        <w:t xml:space="preserve">#ILL est quasi clos (5/6 livrés). </w:t>
      </w:r>
      <w:r>
        <w:rPr>
          <w:rFonts w:ascii="Calibri" w:hAnsi="Calibri"/>
          <w:b w:val="0"/>
          <w:i w:val="0"/>
          <w:sz w:val="28"/>
        </w:rPr>
        <w:t>`CHANTIER_cloture_ILL_2026-05-24.docx` documente la clôture en cours, avec 5 des 6 sous-items livrés.</w:t>
      </w:r>
    </w:p>
    <w:p>
      <w:pPr>
        <w:spacing w:before="0" w:after="160"/>
      </w:pPr>
      <w:r>
        <w:rPr>
          <w:rFonts w:ascii="Calibri" w:hAnsi="Calibri"/>
          <w:b w:val="0"/>
          <w:i w:val="0"/>
          <w:sz w:val="28"/>
        </w:rPr>
        <w:t xml:space="preserve">— </w:t>
      </w:r>
      <w:r>
        <w:rPr>
          <w:rFonts w:ascii="Calibri" w:hAnsi="Calibri"/>
          <w:b/>
          <w:i w:val="0"/>
          <w:sz w:val="28"/>
        </w:rPr>
        <w:t>Trois items neufs</w:t>
      </w:r>
      <w:r>
        <w:rPr>
          <w:rFonts w:ascii="Calibri" w:hAnsi="Calibri"/>
          <w:b w:val="0"/>
          <w:i w:val="0"/>
          <w:sz w:val="28"/>
        </w:rPr>
        <w:t xml:space="preserve"> apparaissent : </w:t>
      </w:r>
      <w:r>
        <w:rPr>
          <w:rFonts w:ascii="Calibri" w:hAnsi="Calibri"/>
          <w:b/>
          <w:i w:val="0"/>
          <w:sz w:val="28"/>
        </w:rPr>
        <w:t xml:space="preserve">#CARTE </w:t>
      </w:r>
      <w:r>
        <w:rPr>
          <w:rFonts w:ascii="Calibri" w:hAnsi="Calibri"/>
          <w:b w:val="0"/>
          <w:i w:val="0"/>
          <w:sz w:val="28"/>
        </w:rPr>
        <w:t xml:space="preserve">(spec à venir pour le module carte-lecteur du chantier extension mobile), </w:t>
      </w:r>
      <w:r>
        <w:rPr>
          <w:rFonts w:ascii="Calibri" w:hAnsi="Calibri"/>
          <w:b/>
          <w:i w:val="0"/>
          <w:sz w:val="28"/>
        </w:rPr>
        <w:t xml:space="preserve">#RESEAU-FED </w:t>
      </w:r>
      <w:r>
        <w:rPr>
          <w:rFonts w:ascii="Calibri" w:hAnsi="Calibri"/>
          <w:b w:val="0"/>
          <w:i w:val="0"/>
          <w:sz w:val="28"/>
        </w:rPr>
        <w:t xml:space="preserve">(`CHANTIER_reseau_federatif_2026-05-25.docx`, ouvert le 25/05), </w:t>
      </w:r>
      <w:r>
        <w:rPr>
          <w:rFonts w:ascii="Calibri" w:hAnsi="Calibri"/>
          <w:b/>
          <w:i w:val="0"/>
          <w:sz w:val="28"/>
        </w:rPr>
        <w:t xml:space="preserve">#MOBILE </w:t>
      </w:r>
      <w:r>
        <w:rPr>
          <w:rFonts w:ascii="Calibri" w:hAnsi="Calibri"/>
          <w:b w:val="0"/>
          <w:i w:val="0"/>
          <w:sz w:val="28"/>
        </w:rPr>
        <w:t>(`CHANTIER_extension_mobile_mode_terrain_2026-05-26.docx`, cadrage du 26/05 avec trois décisions doctrinales en attente d'arbitrage).</w:t>
      </w:r>
    </w:p>
    <w:p>
      <w:pPr>
        <w:keepNext/>
        <w:spacing w:before="360" w:after="160"/>
      </w:pPr>
      <w:r>
        <w:rPr>
          <w:rFonts w:ascii="Calibri" w:hAnsi="Calibri"/>
          <w:b/>
          <w:color w:val="2E74B5"/>
          <w:sz w:val="36"/>
        </w:rPr>
        <w:t>13.7 Corpus retenu pour cette v16</w:t>
      </w:r>
    </w:p>
    <w:p>
      <w:pPr>
        <w:spacing w:before="0" w:after="160"/>
      </w:pPr>
      <w:r>
        <w:rPr>
          <w:rFonts w:ascii="Calibri" w:hAnsi="Calibri"/>
          <w:b w:val="0"/>
          <w:i w:val="0"/>
          <w:sz w:val="28"/>
        </w:rPr>
        <w:t>Le présent document a été rédigé à partir des pièces effectivement transmises ou consultées :</w:t>
      </w:r>
    </w:p>
    <w:p>
      <w:pPr>
        <w:spacing w:before="0" w:after="160"/>
      </w:pPr>
      <w:r>
        <w:rPr>
          <w:rFonts w:ascii="Calibri" w:hAnsi="Calibri"/>
          <w:b w:val="0"/>
          <w:i w:val="0"/>
          <w:sz w:val="28"/>
        </w:rPr>
        <w:t>— Livre blanc stratégique v15 du 21 mai 2026 (lu intégralement, 84 081 octets, 544 lignes de markdown).</w:t>
      </w:r>
    </w:p>
    <w:p>
      <w:pPr>
        <w:spacing w:before="0" w:after="160"/>
      </w:pPr>
      <w:r>
        <w:rPr>
          <w:rFonts w:ascii="Calibri" w:hAnsi="Calibri"/>
          <w:b w:val="0"/>
          <w:i w:val="0"/>
          <w:sz w:val="28"/>
        </w:rPr>
        <w:t>— Dump SQL exact reçu le 27 mai 2026 vers 21h20, après un épisode de récupération pénible (problèmes IPv6 par défaut sur Direct connection et Transaction pooler, mot de passe DB inconfondu avec une clé API, encodage UTF-16-LE par défaut PowerShell sur Windows FR converti côté Linux par `iconv -f UTF-16LE -t UTF-8`). Dump final : 1 611 804 octets en UTF-8, 54 289 lignes, schémas public + api complets.</w:t>
      </w:r>
    </w:p>
    <w:p>
      <w:pPr>
        <w:spacing w:before="0" w:after="160"/>
      </w:pPr>
      <w:r>
        <w:rPr>
          <w:rFonts w:ascii="Calibri" w:hAnsi="Calibri"/>
          <w:b w:val="0"/>
          <w:i w:val="0"/>
          <w:sz w:val="28"/>
        </w:rPr>
        <w:t>— Export complet des advisors Supabase (Security + Performance) reçu en parallèle : 1 ERROR (security_definer_view sur v_active_memberships, connu et voulu), ≈225 WARN authenticated_security_definer_function_executable, ≈24 WARN anon_security_definer_function_executable, 2 WARN materialized_view_in_api (mv_books_catalog_list_v1 et mv_books_catalog_list_network_v1), 2 WARN public_bucket_allows_listing (library-privacy-public, library-ui-assets), ≈20 INFO rls_enabled_no_policy (tables d'audit/staging sans policy mais RLS active, lock-down par défaut, légitime). Aucune surprise par rapport à l'état décrit en v15.</w:t>
      </w:r>
    </w:p>
    <w:p>
      <w:pPr>
        <w:spacing w:before="0" w:after="160"/>
      </w:pPr>
      <w:r>
        <w:rPr>
          <w:rFonts w:ascii="Calibri" w:hAnsi="Calibri"/>
          <w:b w:val="0"/>
          <w:i w:val="0"/>
          <w:sz w:val="28"/>
        </w:rPr>
        <w:t>— Backlog technique v18 du 27 mai 2026 (Xavier-uploaded, version corrective).</w:t>
      </w:r>
    </w:p>
    <w:p>
      <w:pPr>
        <w:spacing w:before="0" w:after="160"/>
      </w:pPr>
      <w:r>
        <w:rPr>
          <w:rFonts w:ascii="Calibri" w:hAnsi="Calibri"/>
          <w:b w:val="0"/>
          <w:i w:val="0"/>
          <w:sz w:val="28"/>
        </w:rPr>
        <w:t>— Documentation interne des chantiers 22-27 mai : `CHANTIER_audit_biblioteca_parite_doctrinale_2026-05-21.md` (mis à jour), `CHANTIER_corrections_mails_post_audit_153_2026-05-24.md`, `AUDIT_153_contenus_mails_2026-05-23.md`, `CHANTIER_partenaires_correspondance_2026-05-24.docx`, `CHANTIER_cloture_ILL_2026-05-24.docx`, `BUG_resa_terminale_classee_active_2026-05-26.md`, `CHANTIER_extension_mobile_mode_terrain_2026-05-26.docx`, `CHANTIER_reseau_federatif_2026-05-25.docx`.</w:t>
      </w:r>
    </w:p>
    <w:p>
      <w:pPr>
        <w:spacing w:before="0" w:after="160"/>
      </w:pPr>
      <w:r>
        <w:rPr>
          <w:rFonts w:ascii="Calibri" w:hAnsi="Calibri"/>
          <w:b w:val="0"/>
          <w:i w:val="0"/>
          <w:sz w:val="28"/>
        </w:rPr>
        <w:t>— Documentation du chantier-cadre Painel : recensement EA-13 intégral (PanelPage.jsx 2930 lignes parcourues), arbitrage vocabulaire validé par l'utilisateur (5 clés réellement utiles), application en 10 patches PanelPage.jsx + 5 clés × 8 locales, commits Codeberg #728 (bbbe7bd774) et #729 (a4ec32e060) verts à CI.</w:t>
      </w:r>
    </w:p>
    <w:p>
      <w:pPr>
        <w:spacing w:before="0" w:after="160"/>
      </w:pPr>
      <w:r>
        <w:rPr>
          <w:rFonts w:ascii="Calibri" w:hAnsi="Calibri"/>
          <w:b w:val="0"/>
          <w:i w:val="0"/>
          <w:sz w:val="28"/>
        </w:rPr>
        <w:t>— Cadrage et arbitrages du chantier-cadre Painel : Q1–Q4 arbitrés le 25/05 (lieu chapitre 0 du GLB ; forme moyenne 40-60 lignes ; périmètre transverse ; livrable v16 incluant acquis v18), Q5–Q7 arbitrés le 27/05 (dump pour les 8 grandeurs ; présentation Biblioteca + Painel comme deux mouvements d'une même méthode ; numérotation 1-13 conservée).</w:t>
      </w:r>
    </w:p>
    <w:p>
      <w:pPr>
        <w:spacing w:before="0" w:after="160"/>
      </w:pPr>
      <w:r>
        <w:rPr>
          <w:rFonts w:ascii="Calibri" w:hAnsi="Calibri"/>
          <w:b w:val="0"/>
          <w:i w:val="0"/>
          <w:sz w:val="28"/>
        </w:rPr>
        <w:t>— Notes méthodologiques : la v16 retrouve la précision du dump intégral qu'avait la v13. La précision sur les corps de fonctions et les contraintes CHECK est de nouveau fine. La comparaison chiffrée v13 → v14 → v15 → v16 reste valide à condition de noter le changement de méthode sur le comptage des indexes (explicites seulement vs explicites + implicites).</w:t>
      </w:r>
    </w:p>
    <w:p>
      <w:pPr>
        <w:keepNext/>
        <w:spacing w:before="360" w:after="160"/>
      </w:pPr>
      <w:r>
        <w:rPr>
          <w:rFonts w:ascii="Calibri" w:hAnsi="Calibri"/>
          <w:b/>
          <w:color w:val="2E74B5"/>
          <w:sz w:val="36"/>
        </w:rPr>
        <w:t>13.8 Note de clôture sur la cadence des Livres blancs</w:t>
      </w:r>
    </w:p>
    <w:p>
      <w:pPr>
        <w:spacing w:after="160"/>
      </w:pPr>
      <w:r>
        <w:rPr>
          <w:rFonts w:ascii="Calibri" w:hAnsi="Calibri"/>
          <w:i/>
          <w:color w:val="595959"/>
          <w:sz w:val="26"/>
        </w:rPr>
        <w:t>La série v9.7 → v16 couvre une période de cinquante-huit jours (du 31 mars au 27 mai 2026). Sur cette période, le projet est passé de 61 % à ≈95 % d'avancement estimé, soit +34 points. La cadence moyenne est de +0,59 point par jour calendaire, stable par rapport à la lecture v14 (+0,6 point/jour sur la période v9.7 → v14). Mais la v16 mesure deux changements de régime : (a) la cadence d'expansion backend a fortement ralenti depuis le 19 mai (de +82 fonctions en 19 jours à +7 fonctions en 8 jours), conformément à la doctrine de jonction v14 ; (b) la cadence de Livre blanc s'est resserrée (v14 du 19/05, v15 du 21/05 en addendum, v16 du 27/05) parce que la méthode parité + audit doctrinal produit régulièrement des acquis doctrinaux qui méritent inscription.</w:t>
      </w:r>
    </w:p>
    <w:p>
      <w:pPr>
        <w:spacing w:after="160"/>
      </w:pPr>
      <w:r>
        <w:rPr>
          <w:rFonts w:ascii="Calibri" w:hAnsi="Calibri"/>
          <w:i/>
          <w:color w:val="595959"/>
          <w:sz w:val="26"/>
        </w:rPr>
        <w:t>Une v17 ne devrait pas être produite avant qu'au moins deux des trois conditions suivantes soient remplies : (1) clôture complète du chantier-cadre Painel (chantiers B à E), (2) jonction frontend des profils d'adoption (séquence #2), (3) durcissement de la dette stricte (séquence #3). À ce rythme, une v17 est envisageable autour de mi-juin 2026.</w:t>
      </w:r>
    </w:p>
    <w:p>
      <w:pPr>
        <w:spacing w:after="160"/>
      </w:pPr>
      <w:r>
        <w:rPr>
          <w:rFonts w:ascii="Calibri" w:hAnsi="Calibri"/>
          <w:i/>
          <w:color w:val="595959"/>
          <w:sz w:val="26"/>
        </w:rPr>
        <w:t>Au-delà : la présentation Bologna FICEDL de septembre 2026 reste une étape revendiquée, non une deadline. AnarBib y présentera son état réel, sa méthode parité + audit comme acte de transparence libertaire, et son backlog ouvert comme expression de sa nature de commun en construction.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