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adea" w:cs="Caladea" w:eastAsia="Caladea" w:hAnsi="Caladea"/>
          <w:b/>
          <w:bCs/>
          <w:color w:val="7A1418"/>
          <w:sz w:val="40"/>
          <w:szCs w:val="40"/>
        </w:rPr>
        <w:t xml:space="preserve">Plan de formation — coordination BLMF et réseau</w:t>
      </w:r>
    </w:p>
    <w:p>
      <w:pPr>
        <w:spacing w:after="60" w:line="260"/>
      </w:pPr>
      <w:r>
        <w:rPr>
          <w:rFonts w:ascii="Carlito" w:cs="Carlito" w:eastAsia="Carlito" w:hAnsi="Carlito"/>
          <w:color w:val="6B5A5C"/>
          <w:sz w:val="18"/>
          <w:szCs w:val="18"/>
        </w:rPr>
        <w:t xml:space="preserve">Genre : référence (support pédagogique)  ·  Statut : 🟢 livré, révisé  ·  Date : 2026-09-01</w:t>
      </w:r>
    </w:p>
    <w:p>
      <w:pPr>
        <w:pBdr>
          <w:bottom w:val="single" w:color="7A1418" w:sz="12" w:space="8"/>
        </w:pBdr>
        <w:spacing w:after="240" w:line="260"/>
      </w:pPr>
      <w:r>
        <w:rPr>
          <w:rFonts w:ascii="Carlito" w:cs="Carlito" w:eastAsia="Carlito" w:hAnsi="Carlito"/>
          <w:i/>
          <w:iCs/>
          <w:color w:val="6B5A5C"/>
          <w:sz w:val="18"/>
          <w:szCs w:val="18"/>
        </w:rPr>
        <w:t xml:space="preserve">Remplace la version du 2026-08-26. Décisions mobilisées : DOC-CONV-1, CONV-1..7, CONV-EXEC-1/2, DOC-I18N-1, DOC-ADDR-1, DOC-NOTIF-1, DOC-PERIM-1, PROF, Q15, PARTNER-D4/D7.</w:t>
      </w:r>
    </w:p>
    <w:p>
      <w:pPr>
        <w:pStyle w:val="Heading1"/>
        <w:spacing w:after="160" w:before="360"/>
      </w:pPr>
      <w:r>
        <w:rPr>
          <w:rFonts w:ascii="Caladea" w:cs="Caladea" w:eastAsia="Caladea" w:hAnsi="Caladea"/>
          <w:b/>
          <w:bCs/>
          <w:color w:val="7A1418"/>
          <w:sz w:val="30"/>
          <w:szCs w:val="30"/>
        </w:rPr>
        <w:t xml:space="preserve">1. Cadre</w:t>
      </w:r>
    </w:p>
    <w:p>
      <w:pPr>
        <w:spacing w:after="120" w:line="276"/>
      </w:pPr>
      <w:r>
        <w:rPr>
          <w:rFonts w:ascii="Carlito" w:cs="Carlito" w:eastAsia="Carlito" w:hAnsi="Carlito"/>
          <w:color w:val="1B1416"/>
          <w:sz w:val="20"/>
          <w:szCs w:val="20"/>
        </w:rPr>
        <w:t xml:space="preserve">Deux personnes, non bibliothécaires et non informaticiennes, prennent en charge à la BLMF (profil full_sigb) le catalogage et les flux — le métier bibliothécaire — ainsi que les choix de la vie de la bibliothèque, la coordination proprement dite. La formation a débordé ce cadre initial : elle touche désormais les trois bibliothèques du réseau.</w:t>
      </w:r>
    </w:p>
    <w:p>
      <w:pPr>
        <w:pStyle w:val="Heading2"/>
        <w:spacing w:after="120" w:before="240"/>
      </w:pPr>
      <w:r>
        <w:rPr>
          <w:rFonts w:ascii="Caladea" w:cs="Caladea" w:eastAsia="Caladea" w:hAnsi="Caladea"/>
          <w:b/>
          <w:bCs/>
          <w:color w:val="1B1416"/>
          <w:sz w:val="23"/>
          <w:szCs w:val="23"/>
        </w:rPr>
        <w:t xml:space="preserve">Qui est formé, et à quel niveau</w:t>
      </w:r>
    </w:p>
    <w:tbl>
      <w:tblPr>
        <w:tblW w:type="dxa" w:w="9360"/>
        <w:tblBorders>
          <w:top w:val="single" w:color="7A1418" w:sz="8"/>
          <w:left w:val="none"/>
          <w:bottom w:val="single" w:color="DCCFCF" w:sz="4"/>
          <w:right w:val="none"/>
          <w:insideH w:val="single" w:color="DCCFCF" w:sz="2"/>
          <w:insideV w:val="none"/>
        </w:tblBorders>
      </w:tblPr>
      <w:tblGrid>
        <w:gridCol w:w="1450"/>
        <w:gridCol w:w="1300"/>
        <w:gridCol w:w="1550"/>
        <w:gridCol w:w="5060"/>
      </w:tblGrid>
      <w:tr>
        <w:trPr>
          <w:tblHeader/>
        </w:trPr>
        <w:tc>
          <w:tcPr>
            <w:tcW w:type="dxa" w:w="1450"/>
            <w:tcMar>
              <w:top w:type="dxa" w:w="90"/>
              <w:left w:type="dxa" w:w="110"/>
              <w:bottom w:type="dxa" w:w="90"/>
              <w:right w:type="dxa" w:w="110"/>
            </w:tcMar>
          </w:tcPr>
          <w:p>
            <w:pPr>
              <w:spacing w:after="0" w:line="250"/>
            </w:pPr>
            <w:r>
              <w:rPr>
                <w:rFonts w:ascii="Carlito" w:cs="Carlito" w:eastAsia="Carlito" w:hAnsi="Carlito"/>
                <w:b/>
                <w:bCs/>
                <w:color w:val="7A1418"/>
                <w:sz w:val="17"/>
                <w:szCs w:val="17"/>
              </w:rPr>
              <w:t xml:space="preserve">Qui</w:t>
            </w:r>
          </w:p>
        </w:tc>
        <w:tc>
          <w:tcPr>
            <w:tcW w:type="dxa" w:w="1300"/>
            <w:tcMar>
              <w:top w:type="dxa" w:w="90"/>
              <w:left w:type="dxa" w:w="110"/>
              <w:bottom w:type="dxa" w:w="90"/>
              <w:right w:type="dxa" w:w="110"/>
            </w:tcMar>
          </w:tcPr>
          <w:p>
            <w:pPr>
              <w:spacing w:after="0" w:line="250"/>
            </w:pPr>
            <w:r>
              <w:rPr>
                <w:rFonts w:ascii="Carlito" w:cs="Carlito" w:eastAsia="Carlito" w:hAnsi="Carlito"/>
                <w:b/>
                <w:bCs/>
                <w:color w:val="7A1418"/>
                <w:sz w:val="17"/>
                <w:szCs w:val="17"/>
              </w:rPr>
              <w:t xml:space="preserve">Bibliothèque</w:t>
            </w:r>
          </w:p>
        </w:tc>
        <w:tc>
          <w:tcPr>
            <w:tcW w:type="dxa" w:w="1550"/>
            <w:tcMar>
              <w:top w:type="dxa" w:w="90"/>
              <w:left w:type="dxa" w:w="110"/>
              <w:bottom w:type="dxa" w:w="90"/>
              <w:right w:type="dxa" w:w="110"/>
            </w:tcMar>
          </w:tcPr>
          <w:p>
            <w:pPr>
              <w:spacing w:after="0" w:line="250"/>
            </w:pPr>
            <w:r>
              <w:rPr>
                <w:rFonts w:ascii="Carlito" w:cs="Carlito" w:eastAsia="Carlito" w:hAnsi="Carlito"/>
                <w:b/>
                <w:bCs/>
                <w:color w:val="7A1418"/>
                <w:sz w:val="17"/>
                <w:szCs w:val="17"/>
              </w:rPr>
              <w:t xml:space="preserve">Participation</w:t>
            </w:r>
          </w:p>
        </w:tc>
        <w:tc>
          <w:tcPr>
            <w:tcW w:type="dxa" w:w="5060"/>
            <w:tcMar>
              <w:top w:type="dxa" w:w="90"/>
              <w:left w:type="dxa" w:w="110"/>
              <w:bottom w:type="dxa" w:w="90"/>
              <w:right w:type="dxa" w:w="110"/>
            </w:tcMar>
          </w:tcPr>
          <w:p>
            <w:pPr>
              <w:spacing w:after="0" w:line="250"/>
            </w:pPr>
            <w:r>
              <w:rPr>
                <w:rFonts w:ascii="Carlito" w:cs="Carlito" w:eastAsia="Carlito" w:hAnsi="Carlito"/>
                <w:b/>
                <w:bCs/>
                <w:color w:val="7A1418"/>
                <w:sz w:val="17"/>
                <w:szCs w:val="17"/>
              </w:rPr>
              <w:t xml:space="preserve">Point de départ réel</w:t>
            </w:r>
          </w:p>
        </w:tc>
      </w:tr>
      <w:tr>
        <w:tc>
          <w:tcPr>
            <w:tcW w:type="dxa" w:w="1450"/>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Rafael Gaia</w:t>
            </w:r>
          </w:p>
        </w:tc>
        <w:tc>
          <w:tcPr>
            <w:tcW w:type="dxa" w:w="13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BLMF</w:t>
            </w:r>
          </w:p>
        </w:tc>
        <w:tc>
          <w:tcPr>
            <w:tcW w:type="dxa" w:w="155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Toutes les séances</w:t>
            </w:r>
          </w:p>
        </w:tc>
        <w:tc>
          <w:tcPr>
            <w:tcW w:type="dxa" w:w="506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Coordenador depuis le 16/08. Une seule connexion, le jour de la création de son compte (24/06). N'a pas pratiqué le painel.</w:t>
            </w:r>
          </w:p>
        </w:tc>
      </w:tr>
      <w:tr>
        <w:tc>
          <w:tcPr>
            <w:tcW w:type="dxa" w:w="1450"/>
            <w:shd w:fill="FBF7F5" w:val="clear"/>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Mariana Santos</w:t>
            </w:r>
          </w:p>
        </w:tc>
        <w:tc>
          <w:tcPr>
            <w:tcW w:type="dxa" w:w="130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BLMF</w:t>
            </w:r>
          </w:p>
        </w:tc>
        <w:tc>
          <w:tcPr>
            <w:tcW w:type="dxa" w:w="155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Toutes les séances</w:t>
            </w:r>
          </w:p>
        </w:tc>
        <w:tc>
          <w:tcPr>
            <w:tcW w:type="dxa" w:w="506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Coordenadora depuis le 26/08. A participé au mutirão de catalogage du 15/08 : la seule à avoir touché l'interface, et seulement côté catalogage.</w:t>
            </w:r>
          </w:p>
        </w:tc>
      </w:tr>
      <w:tr>
        <w:tc>
          <w:tcPr>
            <w:tcW w:type="dxa" w:w="1450"/>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Karina Goto</w:t>
            </w:r>
          </w:p>
        </w:tc>
        <w:tc>
          <w:tcPr>
            <w:tcW w:type="dxa" w:w="13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BTL</w:t>
            </w:r>
          </w:p>
        </w:tc>
        <w:tc>
          <w:tcPr>
            <w:tcW w:type="dxa" w:w="155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1re séance, 30 min</w:t>
            </w:r>
          </w:p>
        </w:tc>
        <w:tc>
          <w:tcPr>
            <w:tcW w:type="dxa" w:w="506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Découvre. Une seule connexion, le 18/05. Personne à la BTL n'a fait tourner AnarBib.</w:t>
            </w:r>
          </w:p>
        </w:tc>
      </w:tr>
      <w:tr>
        <w:tc>
          <w:tcPr>
            <w:tcW w:type="dxa" w:w="1450"/>
            <w:shd w:fill="FBF7F5" w:val="clear"/>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Carlos Baqueiro</w:t>
            </w:r>
          </w:p>
        </w:tc>
        <w:tc>
          <w:tcPr>
            <w:tcW w:type="dxa" w:w="130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MLEG</w:t>
            </w:r>
          </w:p>
        </w:tc>
        <w:tc>
          <w:tcPr>
            <w:tcW w:type="dxa" w:w="155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Capsule vidéo</w:t>
            </w:r>
          </w:p>
        </w:tc>
        <w:tc>
          <w:tcPr>
            <w:tcW w:type="dxa" w:w="506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Reçoit l'enregistrement de la séance 1. Accès à blmf-teste déjà ouvert pour refaire les exercices.</w:t>
            </w:r>
          </w:p>
        </w:tc>
      </w:tr>
    </w:tbl>
    <w:p>
      <w:pPr>
        <w:spacing w:after="60" w:line="276"/>
      </w:pPr>
      <w:r>
        <w:rPr>
          <w:rFonts w:ascii="Carlito" w:cs="Carlito" w:eastAsia="Carlito" w:hAnsi="Carlito"/>
          <w:color w:val="1B1416"/>
          <w:sz w:val="20"/>
          <w:szCs w:val="20"/>
        </w:rPr>
        <w:t xml:space="preserve"/>
      </w:r>
    </w:p>
    <w:p>
      <w:pPr>
        <w:spacing w:after="120" w:line="276"/>
      </w:pPr>
      <w:r>
        <w:rPr>
          <w:rFonts w:ascii="Carlito" w:cs="Carlito" w:eastAsia="Carlito" w:hAnsi="Carlito"/>
          <w:b/>
          <w:bCs/>
          <w:color w:val="1B1416"/>
          <w:sz w:val="20"/>
          <w:szCs w:val="20"/>
        </w:rPr>
        <w:t xml:space="preserve">Conséquence de réglage, et c'est la plus importante du document : </w:t>
      </w:r>
      <w:r>
        <w:rPr>
          <w:rFonts w:ascii="Carlito" w:cs="Carlito" w:eastAsia="Carlito" w:hAnsi="Carlito"/>
          <w:color w:val="1B1416"/>
          <w:sz w:val="20"/>
          <w:szCs w:val="20"/>
        </w:rPr>
        <w:t xml:space="preserve">personne dans la salle n'a d'usage réel du logiciel. Le risque n'est pas l'ennui, c'est la vitesse. Les dates de dernière connexion ci-dessus sont vérifiées dans la base au 01/09/2026 — elles impliquent aussi qu'il faut prévoir une réinitialisation de mot de passe avant la première séance, pas pendant.</w:t>
      </w:r>
    </w:p>
    <w:p>
      <w:pPr>
        <w:pStyle w:val="Heading2"/>
        <w:spacing w:after="120" w:before="240"/>
      </w:pPr>
      <w:r>
        <w:rPr>
          <w:rFonts w:ascii="Caladea" w:cs="Caladea" w:eastAsia="Caladea" w:hAnsi="Caladea"/>
          <w:b/>
          <w:bCs/>
          <w:color w:val="1B1416"/>
          <w:sz w:val="23"/>
          <w:szCs w:val="23"/>
        </w:rPr>
        <w:t xml:space="preserve">Principe pédagogique directeur</w:t>
      </w:r>
    </w:p>
    <w:p>
      <w:pPr>
        <w:spacing w:after="120" w:line="276"/>
      </w:pPr>
      <w:r>
        <w:rPr>
          <w:rFonts w:ascii="Carlito" w:cs="Carlito" w:eastAsia="Carlito" w:hAnsi="Carlito"/>
          <w:color w:val="1B1416"/>
          <w:sz w:val="20"/>
          <w:szCs w:val="20"/>
        </w:rPr>
        <w:t xml:space="preserve">Énoncé dès le titre : </w:t>
      </w:r>
      <w:r>
        <w:rPr>
          <w:rFonts w:ascii="Carlito" w:cs="Carlito" w:eastAsia="Carlito" w:hAnsi="Carlito"/>
          <w:b/>
          <w:bCs/>
          <w:i/>
          <w:iCs/>
          <w:color w:val="1B1416"/>
          <w:sz w:val="20"/>
          <w:szCs w:val="20"/>
        </w:rPr>
        <w:t xml:space="preserve">« Cliqua, não vai quebrar nada! »</w:t>
      </w:r>
      <w:r>
        <w:rPr>
          <w:rFonts w:ascii="Carlito" w:cs="Carlito" w:eastAsia="Carlito" w:hAnsi="Carlito"/>
          <w:color w:val="1B1416"/>
          <w:sz w:val="20"/>
          <w:szCs w:val="20"/>
        </w:rPr>
        <w:t xml:space="preserve"> La promesse est tenable parce que le logiciel (a) n'affiche pas les transitions impossibles, (b) pré-désactive avec tooltip les boutons qu'une règle bloquerait, (c) refuse en base les combinaisons impossibles. Le diaporama nomme explicitement les neuf gestes irréversibles et les récapitule slide 86 : la promesse est donc honnête, pas rassurante-en-général.</w:t>
      </w:r>
    </w:p>
    <w:p>
      <w:pPr>
        <w:pStyle w:val="Heading2"/>
        <w:spacing w:after="120" w:before="240"/>
      </w:pPr>
      <w:r>
        <w:rPr>
          <w:rFonts w:ascii="Caladea" w:cs="Caladea" w:eastAsia="Caladea" w:hAnsi="Caladea"/>
          <w:b/>
          <w:bCs/>
          <w:color w:val="1B1416"/>
          <w:sz w:val="23"/>
          <w:szCs w:val="23"/>
        </w:rPr>
        <w:t xml:space="preserve">Format</w:t>
      </w:r>
    </w:p>
    <w:p>
      <w:pPr>
        <w:pStyle w:val="ListParagraph"/>
        <w:numPr>
          <w:ilvl w:val="0"/>
          <w:numId w:val="2"/>
        </w:numPr>
        <w:spacing w:after="80" w:line="276"/>
      </w:pPr>
      <w:r>
        <w:rPr>
          <w:rFonts w:ascii="Carlito" w:cs="Carlito" w:eastAsia="Carlito" w:hAnsi="Carlito"/>
          <w:b/>
          <w:bCs/>
          <w:color w:val="1B1416"/>
          <w:sz w:val="20"/>
          <w:szCs w:val="20"/>
        </w:rPr>
        <w:t xml:space="preserve">Mixte</w:t>
      </w:r>
      <w:r>
        <w:rPr>
          <w:rFonts w:ascii="Carlito" w:cs="Carlito" w:eastAsia="Carlito" w:hAnsi="Carlito"/>
          <w:color w:val="1B1416"/>
          <w:sz w:val="20"/>
          <w:szCs w:val="20"/>
        </w:rPr>
        <w:t xml:space="preserve"> — slides auto-portantes + notes d'animation en PT-BR dans le champ « notes du présentateur » de chaque slide, utilisables seul·e comme en séance.</w:t>
      </w:r>
    </w:p>
    <w:p>
      <w:pPr>
        <w:pStyle w:val="ListParagraph"/>
        <w:numPr>
          <w:ilvl w:val="0"/>
          <w:numId w:val="2"/>
        </w:numPr>
        <w:spacing w:after="80" w:line="276"/>
      </w:pPr>
      <w:r>
        <w:rPr>
          <w:rFonts w:ascii="Carlito" w:cs="Carlito" w:eastAsia="Carlito" w:hAnsi="Carlito"/>
          <w:b/>
          <w:bCs/>
          <w:color w:val="1B1416"/>
          <w:sz w:val="20"/>
          <w:szCs w:val="20"/>
        </w:rPr>
        <w:t xml:space="preserve">Soirées de 2 h 15</w:t>
      </w:r>
      <w:r>
        <w:rPr>
          <w:rFonts w:ascii="Carlito" w:cs="Carlito" w:eastAsia="Carlito" w:hAnsi="Carlito"/>
          <w:color w:val="1B1416"/>
          <w:sz w:val="20"/>
          <w:szCs w:val="20"/>
        </w:rPr>
        <w:t xml:space="preserve"> (17 h 00 – 19 h 15), et non des demi-journées : Rafael et Mariana ont un bus pour la banlieue. Une séance du soir qui déborde se vide toute seule.</w:t>
      </w:r>
    </w:p>
    <w:p>
      <w:pPr>
        <w:pStyle w:val="ListParagraph"/>
        <w:numPr>
          <w:ilvl w:val="0"/>
          <w:numId w:val="2"/>
        </w:numPr>
        <w:spacing w:after="80" w:line="276"/>
      </w:pPr>
      <w:r>
        <w:rPr>
          <w:rFonts w:ascii="Carlito" w:cs="Carlito" w:eastAsia="Carlito" w:hAnsi="Carlito"/>
          <w:b/>
          <w:bCs/>
          <w:color w:val="1B1416"/>
          <w:sz w:val="20"/>
          <w:szCs w:val="20"/>
        </w:rPr>
        <w:t xml:space="preserve">Langue</w:t>
      </w:r>
      <w:r>
        <w:rPr>
          <w:rFonts w:ascii="Carlito" w:cs="Carlito" w:eastAsia="Carlito" w:hAnsi="Carlito"/>
          <w:color w:val="1B1416"/>
          <w:sz w:val="20"/>
          <w:szCs w:val="20"/>
        </w:rPr>
        <w:t xml:space="preserve"> : portugais du Brésil pour tout ce qui est dit et montré. Les documents d'animation sont en français, avec les phrases à prononcer écrites en PT-BR.</w:t>
      </w:r>
    </w:p>
    <w:p>
      <w:pPr>
        <w:pStyle w:val="Heading1"/>
        <w:spacing w:after="160" w:before="360"/>
      </w:pPr>
      <w:r>
        <w:rPr>
          <w:rFonts w:ascii="Caladea" w:cs="Caladea" w:eastAsia="Caladea" w:hAnsi="Caladea"/>
          <w:b/>
          <w:bCs/>
          <w:color w:val="7A1418"/>
          <w:sz w:val="30"/>
          <w:szCs w:val="30"/>
        </w:rPr>
        <w:t xml:space="preserve">2. Architecture — 6 modules, 7 soirées, 89 slides</w:t>
      </w:r>
    </w:p>
    <w:tbl>
      <w:tblPr>
        <w:tblW w:type="dxa" w:w="9360"/>
        <w:tblBorders>
          <w:top w:val="single" w:color="7A1418" w:sz="8"/>
          <w:left w:val="none"/>
          <w:bottom w:val="single" w:color="DCCFCF" w:sz="4"/>
          <w:right w:val="none"/>
          <w:insideH w:val="single" w:color="DCCFCF" w:sz="2"/>
          <w:insideV w:val="none"/>
        </w:tblBorders>
      </w:tblPr>
      <w:tblGrid>
        <w:gridCol w:w="640"/>
        <w:gridCol w:w="2100"/>
        <w:gridCol w:w="4420"/>
        <w:gridCol w:w="1000"/>
        <w:gridCol w:w="1200"/>
      </w:tblGrid>
      <w:tr>
        <w:trPr>
          <w:tblHeader/>
        </w:trPr>
        <w:tc>
          <w:tcPr>
            <w:tcW w:type="dxa" w:w="640"/>
            <w:tcMar>
              <w:top w:type="dxa" w:w="90"/>
              <w:left w:type="dxa" w:w="110"/>
              <w:bottom w:type="dxa" w:w="90"/>
              <w:right w:type="dxa" w:w="110"/>
            </w:tcMar>
          </w:tcPr>
          <w:p>
            <w:pPr>
              <w:spacing w:after="0" w:line="250"/>
            </w:pPr>
            <w:r>
              <w:rPr>
                <w:rFonts w:ascii="Carlito" w:cs="Carlito" w:eastAsia="Carlito" w:hAnsi="Carlito"/>
                <w:b/>
                <w:bCs/>
                <w:color w:val="7A1418"/>
                <w:sz w:val="17"/>
                <w:szCs w:val="17"/>
              </w:rPr>
              <w:t xml:space="preserve">Mod.</w:t>
            </w:r>
          </w:p>
        </w:tc>
        <w:tc>
          <w:tcPr>
            <w:tcW w:type="dxa" w:w="2100"/>
            <w:tcMar>
              <w:top w:type="dxa" w:w="90"/>
              <w:left w:type="dxa" w:w="110"/>
              <w:bottom w:type="dxa" w:w="90"/>
              <w:right w:type="dxa" w:w="110"/>
            </w:tcMar>
          </w:tcPr>
          <w:p>
            <w:pPr>
              <w:spacing w:after="0" w:line="250"/>
            </w:pPr>
            <w:r>
              <w:rPr>
                <w:rFonts w:ascii="Carlito" w:cs="Carlito" w:eastAsia="Carlito" w:hAnsi="Carlito"/>
                <w:b/>
                <w:bCs/>
                <w:color w:val="7A1418"/>
                <w:sz w:val="17"/>
                <w:szCs w:val="17"/>
              </w:rPr>
              <w:t xml:space="preserve">Titre</w:t>
            </w:r>
          </w:p>
        </w:tc>
        <w:tc>
          <w:tcPr>
            <w:tcW w:type="dxa" w:w="4420"/>
            <w:tcMar>
              <w:top w:type="dxa" w:w="90"/>
              <w:left w:type="dxa" w:w="110"/>
              <w:bottom w:type="dxa" w:w="90"/>
              <w:right w:type="dxa" w:w="110"/>
            </w:tcMar>
          </w:tcPr>
          <w:p>
            <w:pPr>
              <w:spacing w:after="0" w:line="250"/>
            </w:pPr>
            <w:r>
              <w:rPr>
                <w:rFonts w:ascii="Carlito" w:cs="Carlito" w:eastAsia="Carlito" w:hAnsi="Carlito"/>
                <w:b/>
                <w:bCs/>
                <w:color w:val="7A1418"/>
                <w:sz w:val="17"/>
                <w:szCs w:val="17"/>
              </w:rPr>
              <w:t xml:space="preserve">Contenu</w:t>
            </w:r>
          </w:p>
        </w:tc>
        <w:tc>
          <w:tcPr>
            <w:tcW w:type="dxa" w:w="1000"/>
            <w:tcMar>
              <w:top w:type="dxa" w:w="90"/>
              <w:left w:type="dxa" w:w="110"/>
              <w:bottom w:type="dxa" w:w="90"/>
              <w:right w:type="dxa" w:w="110"/>
            </w:tcMar>
          </w:tcPr>
          <w:p>
            <w:pPr>
              <w:spacing w:after="0" w:line="250"/>
            </w:pPr>
            <w:r>
              <w:rPr>
                <w:rFonts w:ascii="Carlito" w:cs="Carlito" w:eastAsia="Carlito" w:hAnsi="Carlito"/>
                <w:b/>
                <w:bCs/>
                <w:color w:val="7A1418"/>
                <w:sz w:val="17"/>
                <w:szCs w:val="17"/>
              </w:rPr>
              <w:t xml:space="preserve">Soirée</w:t>
            </w:r>
          </w:p>
        </w:tc>
        <w:tc>
          <w:tcPr>
            <w:tcW w:type="dxa" w:w="1200"/>
            <w:tcMar>
              <w:top w:type="dxa" w:w="90"/>
              <w:left w:type="dxa" w:w="110"/>
              <w:bottom w:type="dxa" w:w="90"/>
              <w:right w:type="dxa" w:w="110"/>
            </w:tcMar>
          </w:tcPr>
          <w:p>
            <w:pPr>
              <w:spacing w:after="0" w:line="250"/>
            </w:pPr>
            <w:r>
              <w:rPr>
                <w:rFonts w:ascii="Carlito" w:cs="Carlito" w:eastAsia="Carlito" w:hAnsi="Carlito"/>
                <w:b/>
                <w:bCs/>
                <w:color w:val="7A1418"/>
                <w:sz w:val="17"/>
                <w:szCs w:val="17"/>
              </w:rPr>
              <w:t xml:space="preserve">Slides</w:t>
            </w:r>
          </w:p>
        </w:tc>
      </w:tr>
      <w:tr>
        <w:tc>
          <w:tcPr>
            <w:tcW w:type="dxa" w:w="64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0</w:t>
            </w:r>
          </w:p>
        </w:tc>
        <w:tc>
          <w:tcPr>
            <w:tcW w:type="dxa" w:w="2100"/>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Achar-se no software</w:t>
            </w:r>
          </w:p>
        </w:tc>
        <w:tc>
          <w:tcPr>
            <w:tcW w:type="dxa" w:w="442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Deux maisons (/biblioteca vs /painel), routes, 3 rôles, 4 axes de profil</w:t>
            </w:r>
          </w:p>
        </w:tc>
        <w:tc>
          <w:tcPr>
            <w:tcW w:type="dxa" w:w="10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1re</w:t>
            </w:r>
          </w:p>
        </w:tc>
        <w:tc>
          <w:tcPr>
            <w:tcW w:type="dxa" w:w="12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6–12</w:t>
            </w:r>
          </w:p>
        </w:tc>
      </w:tr>
      <w:tr>
        <w:tc>
          <w:tcPr>
            <w:tcW w:type="dxa" w:w="64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1</w:t>
            </w:r>
          </w:p>
        </w:tc>
        <w:tc>
          <w:tcPr>
            <w:tcW w:type="dxa" w:w="2100"/>
            <w:shd w:fill="FBF7F5" w:val="clear"/>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Entender o que se cataloga</w:t>
            </w:r>
          </w:p>
        </w:tc>
        <w:tc>
          <w:tcPr>
            <w:tcW w:type="dxa" w:w="442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Obra / holding / exemplar, 3 couches de l'exemplaire, cas fondateur, 12 types, 3 modes de fiche</w:t>
            </w:r>
          </w:p>
        </w:tc>
        <w:tc>
          <w:tcPr>
            <w:tcW w:type="dxa" w:w="100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1re</w:t>
            </w:r>
          </w:p>
        </w:tc>
        <w:tc>
          <w:tcPr>
            <w:tcW w:type="dxa" w:w="120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13–22</w:t>
            </w:r>
          </w:p>
        </w:tc>
      </w:tr>
      <w:tr>
        <w:tc>
          <w:tcPr>
            <w:tcW w:type="dxa" w:w="64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2</w:t>
            </w:r>
          </w:p>
        </w:tc>
        <w:tc>
          <w:tcPr>
            <w:tcW w:type="dxa" w:w="2100"/>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Catalogar bem</w:t>
            </w:r>
          </w:p>
        </w:tc>
        <w:tc>
          <w:tcPr>
            <w:tcW w:type="dxa" w:w="442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CONV-1..7, mononymes et pseudonymes militants, variant_forms, 10 erreurs attestées</w:t>
            </w:r>
          </w:p>
        </w:tc>
        <w:tc>
          <w:tcPr>
            <w:tcW w:type="dxa" w:w="10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2e</w:t>
            </w:r>
          </w:p>
        </w:tc>
        <w:tc>
          <w:tcPr>
            <w:tcW w:type="dxa" w:w="12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23–35</w:t>
            </w:r>
          </w:p>
        </w:tc>
      </w:tr>
      <w:tr>
        <w:tc>
          <w:tcPr>
            <w:tcW w:type="dxa" w:w="64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3</w:t>
            </w:r>
          </w:p>
        </w:tc>
        <w:tc>
          <w:tcPr>
            <w:tcW w:type="dxa" w:w="2100"/>
            <w:shd w:fill="FBF7F5" w:val="clear"/>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Catalogar na prática</w:t>
            </w:r>
          </w:p>
        </w:tc>
        <w:tc>
          <w:tcPr>
            <w:tcW w:type="dxa" w:w="442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Parcours en 7 gestes, brouillon avant capa, sources externes, ISBN dupliqué, provenance</w:t>
            </w:r>
          </w:p>
        </w:tc>
        <w:tc>
          <w:tcPr>
            <w:tcW w:type="dxa" w:w="100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3e</w:t>
            </w:r>
          </w:p>
        </w:tc>
        <w:tc>
          <w:tcPr>
            <w:tcW w:type="dxa" w:w="120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36–44</w:t>
            </w:r>
          </w:p>
        </w:tc>
      </w:tr>
      <w:tr>
        <w:tc>
          <w:tcPr>
            <w:tcW w:type="dxa" w:w="64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4</w:t>
            </w:r>
          </w:p>
        </w:tc>
        <w:tc>
          <w:tcPr>
            <w:tcW w:type="dxa" w:w="2100"/>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Os fluxos</w:t>
            </w:r>
          </w:p>
        </w:tc>
        <w:tc>
          <w:tcPr>
            <w:tcW w:type="dxa" w:w="442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4 flux, machines à états, geste au comptoir, négociation de créneau, prorogation, 8 refus, mails, crons</w:t>
            </w:r>
          </w:p>
        </w:tc>
        <w:tc>
          <w:tcPr>
            <w:tcW w:type="dxa" w:w="10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4e et 5e</w:t>
            </w:r>
          </w:p>
        </w:tc>
        <w:tc>
          <w:tcPr>
            <w:tcW w:type="dxa" w:w="12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45–64</w:t>
            </w:r>
          </w:p>
        </w:tc>
      </w:tr>
      <w:tr>
        <w:tc>
          <w:tcPr>
            <w:tcW w:type="dxa" w:w="64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5</w:t>
            </w:r>
          </w:p>
        </w:tc>
        <w:tc>
          <w:tcPr>
            <w:tcW w:type="dxa" w:w="2100"/>
            <w:shd w:fill="FBF7F5" w:val="clear"/>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Coordenar</w:t>
            </w:r>
          </w:p>
        </w:tc>
        <w:tc>
          <w:tcPr>
            <w:tcW w:type="dxa" w:w="442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P1–P8, onglet équipe, cooptation, « passo a mão », carence 7 j, suspension, accueil, LGPD, réseau</w:t>
            </w:r>
          </w:p>
        </w:tc>
        <w:tc>
          <w:tcPr>
            <w:tcW w:type="dxa" w:w="100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6e</w:t>
            </w:r>
          </w:p>
        </w:tc>
        <w:tc>
          <w:tcPr>
            <w:tcW w:type="dxa" w:w="120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65–80</w:t>
            </w:r>
          </w:p>
        </w:tc>
      </w:tr>
      <w:tr>
        <w:tc>
          <w:tcPr>
            <w:tcW w:type="dxa" w:w="64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6</w:t>
            </w:r>
          </w:p>
        </w:tc>
        <w:tc>
          <w:tcPr>
            <w:tcW w:type="dxa" w:w="2100"/>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Manter e decidir</w:t>
            </w:r>
          </w:p>
        </w:tc>
        <w:tc>
          <w:tcPr>
            <w:tcW w:type="dxa" w:w="442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Rien n'est critique, diagnostic, backups, les 9 irréversibles, les 10 locales, plan de pratique</w:t>
            </w:r>
          </w:p>
        </w:tc>
        <w:tc>
          <w:tcPr>
            <w:tcW w:type="dxa" w:w="10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7e</w:t>
            </w:r>
          </w:p>
        </w:tc>
        <w:tc>
          <w:tcPr>
            <w:tcW w:type="dxa" w:w="12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81–89</w:t>
            </w:r>
          </w:p>
        </w:tc>
      </w:tr>
    </w:tbl>
    <w:p>
      <w:pPr>
        <w:spacing w:after="60" w:line="276"/>
      </w:pPr>
      <w:r>
        <w:rPr>
          <w:rFonts w:ascii="Carlito" w:cs="Carlito" w:eastAsia="Carlito" w:hAnsi="Carlito"/>
          <w:color w:val="1B1416"/>
          <w:sz w:val="20"/>
          <w:szCs w:val="20"/>
        </w:rPr>
        <w:t xml:space="preserve"/>
      </w:r>
    </w:p>
    <w:p>
      <w:pPr>
        <w:spacing w:after="120" w:line="276"/>
      </w:pPr>
      <w:r>
        <w:rPr>
          <w:rFonts w:ascii="Carlito" w:cs="Carlito" w:eastAsia="Carlito" w:hAnsi="Carlito"/>
          <w:color w:val="1B1416"/>
          <w:sz w:val="20"/>
          <w:szCs w:val="20"/>
        </w:rPr>
        <w:t xml:space="preserve">Le module 4 est le seul à tenir sur deux soirées : vingt slides, quatre machines à états et un exercice de comptoir en binôme ne passent pas en une. Le découpage des slides 45–54 puis 55–64 suit la coupure naturelle entre les flux eux-mêmes et leur outillage (refus, mails, crons).</w:t>
      </w:r>
    </w:p>
    <w:p>
      <w:pPr>
        <w:pBdr>
          <w:top w:val="single" w:color="FBF7F5" w:sz="2" w:space="6"/>
          <w:bottom w:val="single" w:color="FBF7F5" w:sz="2" w:space="6"/>
          <w:left w:val="single" w:color="B01218" w:sz="18" w:space="8"/>
        </w:pBdr>
        <w:shd w:fill="FBF7F5" w:val="clear"/>
        <w:spacing w:after="200" w:before="120" w:line="276"/>
        <w:ind w:left="220" w:right="160"/>
      </w:pPr>
      <w:r>
        <w:rPr>
          <w:rFonts w:ascii="Carlito" w:cs="Carlito" w:eastAsia="Carlito" w:hAnsi="Carlito"/>
          <w:b/>
          <w:bCs/>
          <w:color w:val="1B1416"/>
          <w:sz w:val="20"/>
          <w:szCs w:val="20"/>
        </w:rPr>
        <w:t xml:space="preserve">La première soirée est le cas particulier. </w:t>
      </w:r>
      <w:r>
        <w:rPr>
          <w:rFonts w:ascii="Carlito" w:cs="Carlito" w:eastAsia="Carlito" w:hAnsi="Carlito"/>
          <w:color w:val="1B1416"/>
          <w:sz w:val="20"/>
          <w:szCs w:val="20"/>
        </w:rPr>
        <w:t xml:space="preserve">Elle couvre les modules 0 et 1, mais Karina en part au bout de trente minutes, et ces trente minutes sont consacrées à l'explication politique des trois rôles — remontée du slide 9 au tout début — parce que la BTL fonctionne en collectif horizontal et que c'est la seule chose qu'elle ne pourra pas rattraper seule avec la capsule.</w:t>
      </w:r>
    </w:p>
    <w:p>
      <w:pPr>
        <w:pStyle w:val="Heading1"/>
        <w:spacing w:after="160" w:before="360"/>
      </w:pPr>
      <w:r>
        <w:rPr>
          <w:rFonts w:ascii="Caladea" w:cs="Caladea" w:eastAsia="Caladea" w:hAnsi="Caladea"/>
          <w:b/>
          <w:bCs/>
          <w:color w:val="7A1418"/>
          <w:sz w:val="30"/>
          <w:szCs w:val="30"/>
        </w:rPr>
        <w:t xml:space="preserve">3. Ce qui a changé depuis le 26 août</w:t>
      </w:r>
    </w:p>
    <w:p>
      <w:pPr>
        <w:spacing w:after="120" w:line="276"/>
      </w:pPr>
      <w:r>
        <w:rPr>
          <w:rFonts w:ascii="Carlito" w:cs="Carlito" w:eastAsia="Carlito" w:hAnsi="Carlito"/>
          <w:color w:val="1B1416"/>
          <w:sz w:val="20"/>
          <w:szCs w:val="20"/>
        </w:rPr>
        <w:t xml:space="preserve">La version précédente de ce plan décrivait un dispositif qui n'existe plus tout à fait. Les écarts, dans l'ordre d'importance :</w:t>
      </w:r>
    </w:p>
    <w:p>
      <w:pPr>
        <w:pStyle w:val="ListParagraph"/>
        <w:numPr>
          <w:ilvl w:val="0"/>
          <w:numId w:val="3"/>
        </w:numPr>
        <w:spacing w:after="80" w:line="276"/>
      </w:pPr>
      <w:r>
        <w:rPr>
          <w:rFonts w:ascii="Carlito" w:cs="Carlito" w:eastAsia="Carlito" w:hAnsi="Carlito"/>
          <w:b/>
          <w:bCs/>
          <w:color w:val="1B1416"/>
          <w:sz w:val="20"/>
          <w:szCs w:val="20"/>
        </w:rPr>
        <w:t xml:space="preserve">Trois rencontres longues sont devenues sept soirées de 2 h 15.</w:t>
      </w:r>
      <w:r>
        <w:rPr>
          <w:rFonts w:ascii="Carlito" w:cs="Carlito" w:eastAsia="Carlito" w:hAnsi="Carlito"/>
          <w:color w:val="1B1416"/>
          <w:sz w:val="20"/>
          <w:szCs w:val="20"/>
        </w:rPr>
        <w:t xml:space="preserve"> Contrainte de transport, pas de contenu. Le volume total change peu ; la granularité, beaucoup.</w:t>
      </w:r>
    </w:p>
    <w:p>
      <w:pPr>
        <w:pStyle w:val="ListParagraph"/>
        <w:numPr>
          <w:ilvl w:val="0"/>
          <w:numId w:val="3"/>
        </w:numPr>
        <w:spacing w:after="80" w:line="276"/>
      </w:pPr>
      <w:r>
        <w:rPr>
          <w:rFonts w:ascii="Carlito" w:cs="Carlito" w:eastAsia="Carlito" w:hAnsi="Carlito"/>
          <w:b/>
          <w:bCs/>
          <w:color w:val="1B1416"/>
          <w:sz w:val="20"/>
          <w:szCs w:val="20"/>
        </w:rPr>
        <w:t xml:space="preserve">L'exercice 0 sort de la séance 1.</w:t>
      </w:r>
      <w:r>
        <w:rPr>
          <w:rFonts w:ascii="Carlito" w:cs="Carlito" w:eastAsia="Carlito" w:hAnsi="Carlito"/>
          <w:color w:val="1B1416"/>
          <w:sz w:val="20"/>
          <w:szCs w:val="20"/>
        </w:rPr>
        <w:t xml:space="preserve"> Il consiste à cliquer sans rien changer : il devient un travail personnel entre les deux premières soirées, et il est déjà dans la capsule sous forme de « mets la vidéo en pause et fais-le ».</w:t>
      </w:r>
    </w:p>
    <w:p>
      <w:pPr>
        <w:pStyle w:val="ListParagraph"/>
        <w:numPr>
          <w:ilvl w:val="0"/>
          <w:numId w:val="3"/>
        </w:numPr>
        <w:spacing w:after="80" w:line="276"/>
      </w:pPr>
      <w:r>
        <w:rPr>
          <w:rFonts w:ascii="Carlito" w:cs="Carlito" w:eastAsia="Carlito" w:hAnsi="Carlito"/>
          <w:b/>
          <w:bCs/>
          <w:color w:val="1B1416"/>
          <w:sz w:val="20"/>
          <w:szCs w:val="20"/>
        </w:rPr>
        <w:t xml:space="preserve">La cosignature couvre désormais la promotion à coordenador.</w:t>
      </w:r>
      <w:r>
        <w:rPr>
          <w:rFonts w:ascii="Carlito" w:cs="Carlito" w:eastAsia="Carlito" w:hAnsi="Carlito"/>
          <w:color w:val="1B1416"/>
          <w:sz w:val="20"/>
          <w:szCs w:val="20"/>
        </w:rPr>
        <w:t xml:space="preserve"> L'écart constaté le 26/08 a été corrigé et déployé. Voir l'annexe, qui remplace la trace précédente.</w:t>
      </w:r>
    </w:p>
    <w:p>
      <w:pPr>
        <w:pStyle w:val="ListParagraph"/>
        <w:numPr>
          <w:ilvl w:val="0"/>
          <w:numId w:val="3"/>
        </w:numPr>
        <w:spacing w:after="80" w:line="276"/>
      </w:pPr>
      <w:r>
        <w:rPr>
          <w:rFonts w:ascii="Carlito" w:cs="Carlito" w:eastAsia="Carlito" w:hAnsi="Carlito"/>
          <w:b/>
          <w:bCs/>
          <w:color w:val="1B1416"/>
          <w:sz w:val="20"/>
          <w:szCs w:val="20"/>
        </w:rPr>
        <w:t xml:space="preserve">Le slide 8 a été reformulé.</w:t>
      </w:r>
      <w:r>
        <w:rPr>
          <w:rFonts w:ascii="Carlito" w:cs="Carlito" w:eastAsia="Carlito" w:hAnsi="Carlito"/>
          <w:color w:val="1B1416"/>
          <w:sz w:val="20"/>
          <w:szCs w:val="20"/>
        </w:rPr>
        <w:t xml:space="preserve"> Il disait que l'équipe n'entre pas par /criar-conta, ce qui se comprenait de travers. Tout le monde entre par là, comme lecteur·rice ; ce qui n'existe pas, c'est un formulaire pour demander à être de l'équipe, et le vrai piège est la réinscription.</w:t>
      </w:r>
    </w:p>
    <w:p>
      <w:pPr>
        <w:pStyle w:val="ListParagraph"/>
        <w:numPr>
          <w:ilvl w:val="0"/>
          <w:numId w:val="3"/>
        </w:numPr>
        <w:spacing w:after="80" w:line="276"/>
      </w:pPr>
      <w:r>
        <w:rPr>
          <w:rFonts w:ascii="Carlito" w:cs="Carlito" w:eastAsia="Carlito" w:hAnsi="Carlito"/>
          <w:b/>
          <w:bCs/>
          <w:color w:val="1B1416"/>
          <w:sz w:val="20"/>
          <w:szCs w:val="20"/>
        </w:rPr>
        <w:t xml:space="preserve">Les chiffres ont été remis à jour</w:t>
      </w:r>
      <w:r>
        <w:rPr>
          <w:rFonts w:ascii="Carlito" w:cs="Carlito" w:eastAsia="Carlito" w:hAnsi="Carlito"/>
          <w:color w:val="1B1416"/>
          <w:sz w:val="20"/>
          <w:szCs w:val="20"/>
        </w:rPr>
        <w:t xml:space="preserve"> sur les slides 3, 18 et 42 : 2 659 obras, et 5 exemplaires sur 2 758 portant une donnée d'acquisition.</w:t>
      </w:r>
    </w:p>
    <w:p>
      <w:pPr>
        <w:pStyle w:val="ListParagraph"/>
        <w:numPr>
          <w:ilvl w:val="0"/>
          <w:numId w:val="3"/>
        </w:numPr>
        <w:spacing w:after="80" w:line="276"/>
      </w:pPr>
      <w:r>
        <w:rPr>
          <w:rFonts w:ascii="Carlito" w:cs="Carlito" w:eastAsia="Carlito" w:hAnsi="Carlito"/>
          <w:b/>
          <w:bCs/>
          <w:color w:val="1B1416"/>
          <w:sz w:val="20"/>
          <w:szCs w:val="20"/>
        </w:rPr>
        <w:t xml:space="preserve">Le salto colegial est arrivé</w:t>
      </w:r>
      <w:r>
        <w:rPr>
          <w:rFonts w:ascii="Carlito" w:cs="Carlito" w:eastAsia="Carlito" w:hAnsi="Carlito"/>
          <w:color w:val="1B1416"/>
          <w:sz w:val="20"/>
          <w:szCs w:val="20"/>
        </w:rPr>
        <w:t xml:space="preserve"> : une bibliothèque peut désormais proposer quelqu'un directement de lecteur·rice à la coordination. La BTL l'a activé. Le slide 69 a été refait en conséquence — il décrivait encore la promotion directe unilatérale d'août.</w:t>
      </w:r>
    </w:p>
    <w:p>
      <w:pPr>
        <w:pStyle w:val="ListParagraph"/>
        <w:numPr>
          <w:ilvl w:val="0"/>
          <w:numId w:val="3"/>
        </w:numPr>
        <w:spacing w:after="80" w:line="276"/>
      </w:pPr>
      <w:r>
        <w:rPr>
          <w:rFonts w:ascii="Carlito" w:cs="Carlito" w:eastAsia="Carlito" w:hAnsi="Carlito"/>
          <w:b/>
          <w:bCs/>
          <w:color w:val="1B1416"/>
          <w:sz w:val="20"/>
          <w:szCs w:val="20"/>
        </w:rPr>
        <w:t xml:space="preserve">Une capsule vidéo de 40 minutes s'ajoute au dispositif</w:t>
      </w:r>
      <w:r>
        <w:rPr>
          <w:rFonts w:ascii="Carlito" w:cs="Carlito" w:eastAsia="Carlito" w:hAnsi="Carlito"/>
          <w:color w:val="1B1416"/>
          <w:sz w:val="20"/>
          <w:szCs w:val="20"/>
        </w:rPr>
        <w:t xml:space="preserve"> — voir §5. Elle n'existait pas dans le plan initial.</w:t>
      </w:r>
    </w:p>
    <w:p>
      <w:pPr>
        <w:pStyle w:val="ListParagraph"/>
        <w:numPr>
          <w:ilvl w:val="0"/>
          <w:numId w:val="3"/>
        </w:numPr>
        <w:spacing w:after="80" w:line="276"/>
      </w:pPr>
      <w:r>
        <w:rPr>
          <w:rFonts w:ascii="Carlito" w:cs="Carlito" w:eastAsia="Carlito" w:hAnsi="Carlito"/>
          <w:b/>
          <w:bCs/>
          <w:color w:val="1B1416"/>
          <w:sz w:val="20"/>
          <w:szCs w:val="20"/>
        </w:rPr>
        <w:t xml:space="preserve">La sandbox s'appelle blmf-teste.</w:t>
      </w:r>
      <w:r>
        <w:rPr>
          <w:rFonts w:ascii="Carlito" w:cs="Carlito" w:eastAsia="Carlito" w:hAnsi="Carlito"/>
          <w:color w:val="1B1416"/>
          <w:sz w:val="20"/>
          <w:szCs w:val="20"/>
        </w:rPr>
        <w:t xml:space="preserve"> La version précédente parlait d'une « BLT-test » qui n'a jamais existé dans la base.</w:t>
      </w:r>
    </w:p>
    <w:p>
      <w:pPr>
        <w:pStyle w:val="Heading1"/>
        <w:spacing w:after="160" w:before="360"/>
      </w:pPr>
      <w:r>
        <w:rPr>
          <w:rFonts w:ascii="Caladea" w:cs="Caladea" w:eastAsia="Caladea" w:hAnsi="Caladea"/>
          <w:b/>
          <w:bCs/>
          <w:color w:val="7A1418"/>
          <w:sz w:val="30"/>
          <w:szCs w:val="30"/>
        </w:rPr>
        <w:t xml:space="preserve">4. Six exercices, tous sur blmf-teste</w:t>
      </w:r>
    </w:p>
    <w:p>
      <w:pPr>
        <w:spacing w:after="120" w:line="276"/>
      </w:pPr>
      <w:r>
        <w:rPr>
          <w:rFonts w:ascii="Carlito" w:cs="Carlito" w:eastAsia="Carlito" w:hAnsi="Carlito"/>
          <w:color w:val="1B1416"/>
          <w:sz w:val="20"/>
          <w:szCs w:val="20"/>
        </w:rPr>
        <w:t xml:space="preserve">Slides à fond clair, rupture visuelle assumée : consigne à gauche, critères de réussite à droite, et une phrase de sécurité en bas rappelant ce qui est réversible.</w:t>
      </w:r>
    </w:p>
    <w:tbl>
      <w:tblPr>
        <w:tblW w:type="dxa" w:w="9360"/>
        <w:tblBorders>
          <w:top w:val="single" w:color="7A1418" w:sz="8"/>
          <w:left w:val="none"/>
          <w:bottom w:val="single" w:color="DCCFCF" w:sz="4"/>
          <w:right w:val="none"/>
          <w:insideH w:val="single" w:color="DCCFCF" w:sz="2"/>
          <w:insideV w:val="none"/>
        </w:tblBorders>
      </w:tblPr>
      <w:tblGrid>
        <w:gridCol w:w="500"/>
        <w:gridCol w:w="6260"/>
        <w:gridCol w:w="2600"/>
      </w:tblGrid>
      <w:tr>
        <w:trPr>
          <w:tblHeader/>
        </w:trPr>
        <w:tc>
          <w:tcPr>
            <w:tcW w:type="dxa" w:w="500"/>
            <w:tcMar>
              <w:top w:type="dxa" w:w="90"/>
              <w:left w:type="dxa" w:w="110"/>
              <w:bottom w:type="dxa" w:w="90"/>
              <w:right w:type="dxa" w:w="110"/>
            </w:tcMar>
          </w:tcPr>
          <w:p>
            <w:pPr>
              <w:spacing w:after="0" w:line="250"/>
            </w:pPr>
            <w:r>
              <w:rPr>
                <w:rFonts w:ascii="Carlito" w:cs="Carlito" w:eastAsia="Carlito" w:hAnsi="Carlito"/>
                <w:b/>
                <w:bCs/>
                <w:color w:val="7A1418"/>
                <w:sz w:val="17"/>
                <w:szCs w:val="17"/>
              </w:rPr>
              <w:t xml:space="preserve">N°</w:t>
            </w:r>
          </w:p>
        </w:tc>
        <w:tc>
          <w:tcPr>
            <w:tcW w:type="dxa" w:w="6260"/>
            <w:tcMar>
              <w:top w:type="dxa" w:w="90"/>
              <w:left w:type="dxa" w:w="110"/>
              <w:bottom w:type="dxa" w:w="90"/>
              <w:right w:type="dxa" w:w="110"/>
            </w:tcMar>
          </w:tcPr>
          <w:p>
            <w:pPr>
              <w:spacing w:after="0" w:line="250"/>
            </w:pPr>
            <w:r>
              <w:rPr>
                <w:rFonts w:ascii="Carlito" w:cs="Carlito" w:eastAsia="Carlito" w:hAnsi="Carlito"/>
                <w:b/>
                <w:bCs/>
                <w:color w:val="7A1418"/>
                <w:sz w:val="17"/>
                <w:szCs w:val="17"/>
              </w:rPr>
              <w:t xml:space="preserve">Exercice</w:t>
            </w:r>
          </w:p>
        </w:tc>
        <w:tc>
          <w:tcPr>
            <w:tcW w:type="dxa" w:w="2600"/>
            <w:tcMar>
              <w:top w:type="dxa" w:w="90"/>
              <w:left w:type="dxa" w:w="110"/>
              <w:bottom w:type="dxa" w:w="90"/>
              <w:right w:type="dxa" w:w="110"/>
            </w:tcMar>
          </w:tcPr>
          <w:p>
            <w:pPr>
              <w:spacing w:after="0" w:line="250"/>
            </w:pPr>
            <w:r>
              <w:rPr>
                <w:rFonts w:ascii="Carlito" w:cs="Carlito" w:eastAsia="Carlito" w:hAnsi="Carlito"/>
                <w:b/>
                <w:bCs/>
                <w:color w:val="7A1418"/>
                <w:sz w:val="17"/>
                <w:szCs w:val="17"/>
              </w:rPr>
              <w:t xml:space="preserve">Quand</w:t>
            </w:r>
          </w:p>
        </w:tc>
      </w:tr>
      <w:tr>
        <w:tc>
          <w:tcPr>
            <w:tcW w:type="dxa" w:w="5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0</w:t>
            </w:r>
          </w:p>
        </w:tc>
        <w:tc>
          <w:tcPr>
            <w:tcW w:type="dxa" w:w="6260"/>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Passeio guiado</w:t>
            </w:r>
            <w:r>
              <w:rPr>
                <w:rFonts w:ascii="Carlito" w:cs="Carlito" w:eastAsia="Carlito" w:hAnsi="Carlito"/>
                <w:color w:val="1B1416"/>
                <w:sz w:val="18"/>
                <w:szCs w:val="18"/>
              </w:rPr>
              <w:t xml:space="preserve"> — repérer les onglets, lire un tooltip de bouton désactivé.</w:t>
            </w:r>
          </w:p>
        </w:tc>
        <w:tc>
          <w:tcPr>
            <w:tcW w:type="dxa" w:w="26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Seul·e, entre la 1re et la 2e soirée</w:t>
            </w:r>
          </w:p>
        </w:tc>
      </w:tr>
      <w:tr>
        <w:tc>
          <w:tcPr>
            <w:tcW w:type="dxa" w:w="50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1</w:t>
            </w:r>
          </w:p>
        </w:tc>
        <w:tc>
          <w:tcPr>
            <w:tcW w:type="dxa" w:w="6260"/>
            <w:shd w:fill="FBF7F5" w:val="clear"/>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Cataloguer un zine en mode Simples</w:t>
            </w:r>
            <w:r>
              <w:rPr>
                <w:rFonts w:ascii="Carlito" w:cs="Carlito" w:eastAsia="Carlito" w:hAnsi="Carlito"/>
                <w:color w:val="1B1416"/>
                <w:sz w:val="18"/>
                <w:szCs w:val="18"/>
              </w:rPr>
              <w:t xml:space="preserve"> — vérifier de ses yeux que changer de mode ne perd rien.</w:t>
            </w:r>
          </w:p>
        </w:tc>
        <w:tc>
          <w:tcPr>
            <w:tcW w:type="dxa" w:w="260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1re soirée, 18 h 40</w:t>
            </w:r>
          </w:p>
        </w:tc>
      </w:tr>
      <w:tr>
        <w:tc>
          <w:tcPr>
            <w:tcW w:type="dxa" w:w="5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2</w:t>
            </w:r>
          </w:p>
        </w:tc>
        <w:tc>
          <w:tcPr>
            <w:tcW w:type="dxa" w:w="6260"/>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Corriger cinq fiches fautives</w:t>
            </w:r>
            <w:r>
              <w:rPr>
                <w:rFonts w:ascii="Carlito" w:cs="Carlito" w:eastAsia="Carlito" w:hAnsi="Carlito"/>
                <w:color w:val="1B1416"/>
                <w:sz w:val="18"/>
                <w:szCs w:val="18"/>
              </w:rPr>
              <w:t xml:space="preserve"> (copies) — nommer la convention violée par son numéro.</w:t>
            </w:r>
          </w:p>
        </w:tc>
        <w:tc>
          <w:tcPr>
            <w:tcW w:type="dxa" w:w="26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2e soirée</w:t>
            </w:r>
          </w:p>
        </w:tc>
      </w:tr>
      <w:tr>
        <w:tc>
          <w:tcPr>
            <w:tcW w:type="dxa" w:w="50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3</w:t>
            </w:r>
          </w:p>
        </w:tc>
        <w:tc>
          <w:tcPr>
            <w:tcW w:type="dxa" w:w="6260"/>
            <w:shd w:fill="FBF7F5" w:val="clear"/>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Un livre complet avec ISBN</w:t>
            </w:r>
            <w:r>
              <w:rPr>
                <w:rFonts w:ascii="Carlito" w:cs="Carlito" w:eastAsia="Carlito" w:hAnsi="Carlito"/>
                <w:color w:val="1B1416"/>
                <w:sz w:val="18"/>
                <w:szCs w:val="18"/>
              </w:rPr>
              <w:t xml:space="preserve"> — jusqu'à la publication et l'écran de duplicata.</w:t>
            </w:r>
          </w:p>
        </w:tc>
        <w:tc>
          <w:tcPr>
            <w:tcW w:type="dxa" w:w="260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3e soirée</w:t>
            </w:r>
          </w:p>
        </w:tc>
      </w:tr>
      <w:tr>
        <w:tc>
          <w:tcPr>
            <w:tcW w:type="dxa" w:w="5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4</w:t>
            </w:r>
          </w:p>
        </w:tc>
        <w:tc>
          <w:tcPr>
            <w:tcW w:type="dxa" w:w="6260"/>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Une journée de comptoir en binôme</w:t>
            </w:r>
            <w:r>
              <w:rPr>
                <w:rFonts w:ascii="Carlito" w:cs="Carlito" w:eastAsia="Carlito" w:hAnsi="Carlito"/>
                <w:color w:val="1B1416"/>
                <w:sz w:val="18"/>
                <w:szCs w:val="18"/>
              </w:rPr>
              <w:t xml:space="preserve"> — prêt, retour partiel, prorogation d'un seul item, consulta négociée, réservation arrêtée avant la retirada efetivada.</w:t>
            </w:r>
          </w:p>
        </w:tc>
        <w:tc>
          <w:tcPr>
            <w:tcW w:type="dxa" w:w="26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5e soirée</w:t>
            </w:r>
          </w:p>
        </w:tc>
      </w:tr>
      <w:tr>
        <w:tc>
          <w:tcPr>
            <w:tcW w:type="dxa" w:w="50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5</w:t>
            </w:r>
          </w:p>
        </w:tc>
        <w:tc>
          <w:tcPr>
            <w:tcW w:type="dxa" w:w="6260"/>
            <w:shd w:fill="FBF7F5" w:val="clear"/>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Trois décisions de coordination</w:t>
            </w:r>
            <w:r>
              <w:rPr>
                <w:rFonts w:ascii="Carlito" w:cs="Carlito" w:eastAsia="Carlito" w:hAnsi="Carlito"/>
                <w:color w:val="1B1416"/>
                <w:sz w:val="18"/>
                <w:szCs w:val="18"/>
              </w:rPr>
              <w:t xml:space="preserve"> — sur table d'abord, exécution du cas 1 seulement.</w:t>
            </w:r>
          </w:p>
        </w:tc>
        <w:tc>
          <w:tcPr>
            <w:tcW w:type="dxa" w:w="260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6e soirée</w:t>
            </w:r>
          </w:p>
        </w:tc>
      </w:tr>
    </w:tbl>
    <w:p>
      <w:pPr>
        <w:spacing w:after="60" w:line="276"/>
      </w:pPr>
      <w:r>
        <w:rPr>
          <w:rFonts w:ascii="Carlito" w:cs="Carlito" w:eastAsia="Carlito" w:hAnsi="Carlito"/>
          <w:color w:val="1B1416"/>
          <w:sz w:val="20"/>
          <w:szCs w:val="20"/>
        </w:rPr>
        <w:t xml:space="preserve"/>
      </w:r>
    </w:p>
    <w:p>
      <w:pPr>
        <w:spacing w:after="120" w:line="276"/>
      </w:pPr>
      <w:r>
        <w:rPr>
          <w:rFonts w:ascii="Carlito" w:cs="Carlito" w:eastAsia="Carlito" w:hAnsi="Carlito"/>
          <w:color w:val="1B1416"/>
          <w:sz w:val="20"/>
          <w:szCs w:val="20"/>
        </w:rPr>
        <w:t xml:space="preserve">Une lectrice fictive, </w:t>
      </w:r>
      <w:r>
        <w:rPr>
          <w:rFonts w:ascii="Carlito" w:cs="Carlito" w:eastAsia="Carlito" w:hAnsi="Carlito"/>
          <w:b/>
          <w:bCs/>
          <w:color w:val="1B1416"/>
          <w:sz w:val="20"/>
          <w:szCs w:val="20"/>
        </w:rPr>
        <w:t xml:space="preserve">Voltairine de Teste</w:t>
      </w:r>
      <w:r>
        <w:rPr>
          <w:rFonts w:ascii="Carlito" w:cs="Carlito" w:eastAsia="Carlito" w:hAnsi="Carlito"/>
          <w:color w:val="1B1416"/>
          <w:sz w:val="20"/>
          <w:szCs w:val="20"/>
        </w:rPr>
        <w:t xml:space="preserve">, existe sur blmf-teste pour les démonstrations : aucune lectrice réelle ne doit apparaître à l'écran devant la salle. Ce compte n'a jamais servi à une connexion — à tester avant la première séance.</w:t>
      </w:r>
    </w:p>
    <w:p>
      <w:pPr>
        <w:pStyle w:val="Heading1"/>
        <w:spacing w:after="160" w:before="360"/>
      </w:pPr>
      <w:r>
        <w:rPr>
          <w:rFonts w:ascii="Caladea" w:cs="Caladea" w:eastAsia="Caladea" w:hAnsi="Caladea"/>
          <w:b/>
          <w:bCs/>
          <w:color w:val="7A1418"/>
          <w:sz w:val="30"/>
          <w:szCs w:val="30"/>
        </w:rPr>
        <w:t xml:space="preserve">5. La capsule vidéo</w:t>
      </w:r>
    </w:p>
    <w:p>
      <w:pPr>
        <w:spacing w:after="120" w:line="276"/>
      </w:pPr>
      <w:r>
        <w:rPr>
          <w:rFonts w:ascii="Carlito" w:cs="Carlito" w:eastAsia="Carlito" w:hAnsi="Carlito"/>
          <w:color w:val="1B1416"/>
          <w:sz w:val="20"/>
          <w:szCs w:val="20"/>
        </w:rPr>
        <w:t xml:space="preserve">Enregistrement de 40 minutes couvrant les modules 0 et 1, en PT-BR, tourné sur blmf-teste. Elle a trois fonctions distinctes, et c'est ce qui justifie son coût :</w:t>
      </w:r>
    </w:p>
    <w:p>
      <w:pPr>
        <w:pStyle w:val="ListParagraph"/>
        <w:numPr>
          <w:ilvl w:val="0"/>
          <w:numId w:val="2"/>
        </w:numPr>
        <w:spacing w:after="80" w:line="276"/>
      </w:pPr>
      <w:r>
        <w:rPr>
          <w:rFonts w:ascii="Carlito" w:cs="Carlito" w:eastAsia="Carlito" w:hAnsi="Carlito"/>
          <w:b/>
          <w:bCs/>
          <w:color w:val="1B1416"/>
          <w:sz w:val="20"/>
          <w:szCs w:val="20"/>
        </w:rPr>
        <w:t xml:space="preserve">Pour Carlos Baqueiro (MLEG)</w:t>
      </w:r>
      <w:r>
        <w:rPr>
          <w:rFonts w:ascii="Carlito" w:cs="Carlito" w:eastAsia="Carlito" w:hAnsi="Carlito"/>
          <w:color w:val="1B1416"/>
          <w:sz w:val="20"/>
          <w:szCs w:val="20"/>
        </w:rPr>
        <w:t xml:space="preserve">, qui n'assiste à aucune séance : c'est sa formation, pas un rattrapage.</w:t>
      </w:r>
    </w:p>
    <w:p>
      <w:pPr>
        <w:pStyle w:val="ListParagraph"/>
        <w:numPr>
          <w:ilvl w:val="0"/>
          <w:numId w:val="2"/>
        </w:numPr>
        <w:spacing w:after="80" w:line="276"/>
      </w:pPr>
      <w:r>
        <w:rPr>
          <w:rFonts w:ascii="Carlito" w:cs="Carlito" w:eastAsia="Carlito" w:hAnsi="Carlito"/>
          <w:b/>
          <w:bCs/>
          <w:color w:val="1B1416"/>
          <w:sz w:val="20"/>
          <w:szCs w:val="20"/>
        </w:rPr>
        <w:t xml:space="preserve">Pour Karina Goto (BTL)</w:t>
      </w:r>
      <w:r>
        <w:rPr>
          <w:rFonts w:ascii="Carlito" w:cs="Carlito" w:eastAsia="Carlito" w:hAnsi="Carlito"/>
          <w:color w:val="1B1416"/>
          <w:sz w:val="20"/>
          <w:szCs w:val="20"/>
        </w:rPr>
        <w:t xml:space="preserve">, qui part au bout de trente minutes : c'est la partie qu'elle n'a pas pu avoir.</w:t>
      </w:r>
    </w:p>
    <w:p>
      <w:pPr>
        <w:pStyle w:val="ListParagraph"/>
        <w:numPr>
          <w:ilvl w:val="0"/>
          <w:numId w:val="2"/>
        </w:numPr>
        <w:spacing w:after="80" w:line="276"/>
      </w:pPr>
      <w:r>
        <w:rPr>
          <w:rFonts w:ascii="Carlito" w:cs="Carlito" w:eastAsia="Carlito" w:hAnsi="Carlito"/>
          <w:b/>
          <w:bCs/>
          <w:color w:val="1B1416"/>
          <w:sz w:val="20"/>
          <w:szCs w:val="20"/>
        </w:rPr>
        <w:t xml:space="preserve">Pour Rafael et Mariana</w:t>
      </w:r>
      <w:r>
        <w:rPr>
          <w:rFonts w:ascii="Carlito" w:cs="Carlito" w:eastAsia="Carlito" w:hAnsi="Carlito"/>
          <w:color w:val="1B1416"/>
          <w:sz w:val="20"/>
          <w:szCs w:val="20"/>
        </w:rPr>
        <w:t xml:space="preserve"> : un endroit où revenir quand ils auront oublié, sans avoir à redemander.</w:t>
      </w:r>
    </w:p>
    <w:p>
      <w:pPr>
        <w:spacing w:after="60" w:line="276"/>
      </w:pPr>
      <w:r>
        <w:rPr>
          <w:rFonts w:ascii="Carlito" w:cs="Carlito" w:eastAsia="Carlito" w:hAnsi="Carlito"/>
          <w:color w:val="1B1416"/>
          <w:sz w:val="20"/>
          <w:szCs w:val="20"/>
        </w:rPr>
        <w:t xml:space="preserve"/>
      </w:r>
    </w:p>
    <w:p>
      <w:pPr>
        <w:spacing w:after="120" w:line="276"/>
      </w:pPr>
      <w:r>
        <w:rPr>
          <w:rFonts w:ascii="Carlito" w:cs="Carlito" w:eastAsia="Carlito" w:hAnsi="Carlito"/>
          <w:color w:val="1B1416"/>
          <w:sz w:val="20"/>
          <w:szCs w:val="20"/>
        </w:rPr>
        <w:t xml:space="preserve">Contraintes de tournage inscrites dans le roteiro : enregistrer sur blmf-teste et jamais sur la BLMF (la capsule circule, filmer le painel réel signifie filmer des noms de lectrices réelles), fermer tout ce qui n'est pas la formation, ne filmer aucun visage. Enregistrement le lendemain de la séance et non le soir même : après trois heures d'animation, la voix s'entend.</w:t>
      </w:r>
    </w:p>
    <w:p>
      <w:pPr>
        <w:pStyle w:val="Heading1"/>
        <w:spacing w:after="160" w:before="360"/>
      </w:pPr>
      <w:r>
        <w:rPr>
          <w:rFonts w:ascii="Caladea" w:cs="Caladea" w:eastAsia="Caladea" w:hAnsi="Caladea"/>
          <w:b/>
          <w:bCs/>
          <w:color w:val="7A1418"/>
          <w:sz w:val="30"/>
          <w:szCs w:val="30"/>
        </w:rPr>
        <w:t xml:space="preserve">6. Entre et après les séances</w:t>
      </w:r>
    </w:p>
    <w:p>
      <w:pPr>
        <w:spacing w:after="120" w:line="276"/>
      </w:pPr>
      <w:r>
        <w:rPr>
          <w:rFonts w:ascii="Carlito" w:cs="Carlito" w:eastAsia="Carlito" w:hAnsi="Carlito"/>
          <w:color w:val="1B1416"/>
          <w:sz w:val="20"/>
          <w:szCs w:val="20"/>
        </w:rPr>
        <w:t xml:space="preserve">Le plan initial prévoyait huit semaines de pratique après trois rencontres. Avec sept soirées étalées, la pratique s'intercale au lieu de suivre. Le principe reste le même : les séances ouvrent des portes, la pratique fait l'apprentissage.</w:t>
      </w:r>
    </w:p>
    <w:tbl>
      <w:tblPr>
        <w:tblW w:type="dxa" w:w="9360"/>
        <w:tblBorders>
          <w:top w:val="single" w:color="7A1418" w:sz="8"/>
          <w:left w:val="none"/>
          <w:bottom w:val="single" w:color="DCCFCF" w:sz="4"/>
          <w:right w:val="none"/>
          <w:insideH w:val="single" w:color="DCCFCF" w:sz="2"/>
          <w:insideV w:val="none"/>
        </w:tblBorders>
      </w:tblPr>
      <w:tblGrid>
        <w:gridCol w:w="1500"/>
        <w:gridCol w:w="2500"/>
        <w:gridCol w:w="5360"/>
      </w:tblGrid>
      <w:tr>
        <w:trPr>
          <w:tblHeader/>
        </w:trPr>
        <w:tc>
          <w:tcPr>
            <w:tcW w:type="dxa" w:w="1500"/>
            <w:tcMar>
              <w:top w:type="dxa" w:w="90"/>
              <w:left w:type="dxa" w:w="110"/>
              <w:bottom w:type="dxa" w:w="90"/>
              <w:right w:type="dxa" w:w="110"/>
            </w:tcMar>
          </w:tcPr>
          <w:p>
            <w:pPr>
              <w:spacing w:after="0" w:line="250"/>
            </w:pPr>
            <w:r>
              <w:rPr>
                <w:rFonts w:ascii="Carlito" w:cs="Carlito" w:eastAsia="Carlito" w:hAnsi="Carlito"/>
                <w:b/>
                <w:bCs/>
                <w:color w:val="7A1418"/>
                <w:sz w:val="17"/>
                <w:szCs w:val="17"/>
              </w:rPr>
              <w:t xml:space="preserve">Période</w:t>
            </w:r>
          </w:p>
        </w:tc>
        <w:tc>
          <w:tcPr>
            <w:tcW w:type="dxa" w:w="2500"/>
            <w:tcMar>
              <w:top w:type="dxa" w:w="90"/>
              <w:left w:type="dxa" w:w="110"/>
              <w:bottom w:type="dxa" w:w="90"/>
              <w:right w:type="dxa" w:w="110"/>
            </w:tcMar>
          </w:tcPr>
          <w:p>
            <w:pPr>
              <w:spacing w:after="0" w:line="250"/>
            </w:pPr>
            <w:r>
              <w:rPr>
                <w:rFonts w:ascii="Carlito" w:cs="Carlito" w:eastAsia="Carlito" w:hAnsi="Carlito"/>
                <w:b/>
                <w:bCs/>
                <w:color w:val="7A1418"/>
                <w:sz w:val="17"/>
                <w:szCs w:val="17"/>
              </w:rPr>
              <w:t xml:space="preserve">Focus</w:t>
            </w:r>
          </w:p>
        </w:tc>
        <w:tc>
          <w:tcPr>
            <w:tcW w:type="dxa" w:w="5360"/>
            <w:tcMar>
              <w:top w:type="dxa" w:w="90"/>
              <w:left w:type="dxa" w:w="110"/>
              <w:bottom w:type="dxa" w:w="90"/>
              <w:right w:type="dxa" w:w="110"/>
            </w:tcMar>
          </w:tcPr>
          <w:p>
            <w:pPr>
              <w:spacing w:after="0" w:line="250"/>
            </w:pPr>
            <w:r>
              <w:rPr>
                <w:rFonts w:ascii="Carlito" w:cs="Carlito" w:eastAsia="Carlito" w:hAnsi="Carlito"/>
                <w:b/>
                <w:bCs/>
                <w:color w:val="7A1418"/>
                <w:sz w:val="17"/>
                <w:szCs w:val="17"/>
              </w:rPr>
              <w:t xml:space="preserve">Geste concret</w:t>
            </w:r>
          </w:p>
        </w:tc>
      </w:tr>
      <w:tr>
        <w:tc>
          <w:tcPr>
            <w:tcW w:type="dxa" w:w="15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Après la 1re</w:t>
            </w:r>
          </w:p>
        </w:tc>
        <w:tc>
          <w:tcPr>
            <w:tcW w:type="dxa" w:w="25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Se repérer</w:t>
            </w:r>
          </w:p>
        </w:tc>
        <w:tc>
          <w:tcPr>
            <w:tcW w:type="dxa" w:w="536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L'exercice 0 seul·e, et deux fiches en mode Simples sur blmf-teste</w:t>
            </w:r>
          </w:p>
        </w:tc>
      </w:tr>
      <w:tr>
        <w:tc>
          <w:tcPr>
            <w:tcW w:type="dxa" w:w="150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Après la 3e</w:t>
            </w:r>
          </w:p>
        </w:tc>
        <w:tc>
          <w:tcPr>
            <w:tcW w:type="dxa" w:w="250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Cataloguer accompagné·e</w:t>
            </w:r>
          </w:p>
        </w:tc>
        <w:tc>
          <w:tcPr>
            <w:tcW w:type="dxa" w:w="536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5 fiches par semaine en mode Simples, toutes avec provenance</w:t>
            </w:r>
          </w:p>
        </w:tc>
      </w:tr>
      <w:tr>
        <w:tc>
          <w:tcPr>
            <w:tcW w:type="dxa" w:w="15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Après la 5e</w:t>
            </w:r>
          </w:p>
        </w:tc>
        <w:tc>
          <w:tcPr>
            <w:tcW w:type="dxa" w:w="25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Le comptoir</w:t>
            </w:r>
          </w:p>
        </w:tc>
        <w:tc>
          <w:tcPr>
            <w:tcW w:type="dxa" w:w="536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Un jour d'ouverture par semaine en autonomie</w:t>
            </w:r>
          </w:p>
        </w:tc>
      </w:tr>
      <w:tr>
        <w:tc>
          <w:tcPr>
            <w:tcW w:type="dxa" w:w="150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Après la 5e</w:t>
            </w:r>
          </w:p>
        </w:tc>
        <w:tc>
          <w:tcPr>
            <w:tcW w:type="dxa" w:w="250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Consultas et réservations</w:t>
            </w:r>
          </w:p>
        </w:tc>
        <w:tc>
          <w:tcPr>
            <w:tcW w:type="dxa" w:w="536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Une consulta menée de la demande à la réalisation, avec négociation réelle</w:t>
            </w:r>
          </w:p>
        </w:tc>
      </w:tr>
      <w:tr>
        <w:tc>
          <w:tcPr>
            <w:tcW w:type="dxa" w:w="15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Après la 7e</w:t>
            </w:r>
          </w:p>
        </w:tc>
        <w:tc>
          <w:tcPr>
            <w:tcW w:type="dxa" w:w="25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Coordination</w:t>
            </w:r>
          </w:p>
        </w:tc>
        <w:tc>
          <w:tcPr>
            <w:tcW w:type="dxa" w:w="536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Porter en AG le vote du profil de la bibliothèque, puis exécuter la transition</w:t>
            </w:r>
          </w:p>
        </w:tc>
      </w:tr>
    </w:tbl>
    <w:p>
      <w:pPr>
        <w:spacing w:after="60" w:line="276"/>
      </w:pPr>
      <w:r>
        <w:rPr>
          <w:rFonts w:ascii="Carlito" w:cs="Carlito" w:eastAsia="Carlito" w:hAnsi="Carlito"/>
          <w:color w:val="1B1416"/>
          <w:sz w:val="20"/>
          <w:szCs w:val="20"/>
        </w:rPr>
        <w:t xml:space="preserve"/>
      </w:r>
    </w:p>
    <w:p>
      <w:pPr>
        <w:pBdr>
          <w:top w:val="single" w:color="FBF7F5" w:sz="2" w:space="6"/>
          <w:left w:val="single" w:color="B01218" w:sz="18" w:space="8"/>
        </w:pBdr>
        <w:shd w:fill="FBF7F5" w:val="clear"/>
        <w:spacing w:after="80" w:before="120" w:line="276"/>
        <w:ind w:left="220" w:right="160"/>
      </w:pPr>
      <w:r>
        <w:rPr>
          <w:rFonts w:ascii="Carlito" w:cs="Carlito" w:eastAsia="Carlito" w:hAnsi="Carlito"/>
          <w:b/>
          <w:bCs/>
          <w:color w:val="1B1416"/>
          <w:sz w:val="20"/>
          <w:szCs w:val="20"/>
        </w:rPr>
        <w:t xml:space="preserve">Rituel hebdomadaire de 30 minutes, trois questions fixes :</w:t>
      </w:r>
    </w:p>
    <w:p>
      <w:pPr>
        <w:pBdr>
          <w:left w:val="single" w:color="B01218" w:sz="18" w:space="8"/>
        </w:pBdr>
        <w:shd w:fill="FBF7F5" w:val="clear"/>
        <w:spacing w:after="80" w:before="0" w:line="276"/>
        <w:ind w:left="220" w:right="160"/>
      </w:pPr>
      <w:r>
        <w:rPr>
          <w:rFonts w:ascii="Carlito" w:cs="Carlito" w:eastAsia="Carlito" w:hAnsi="Carlito"/>
          <w:i/>
          <w:iCs/>
          <w:color w:val="1B1416"/>
          <w:sz w:val="20"/>
          <w:szCs w:val="20"/>
        </w:rPr>
        <w:t xml:space="preserve">qu'est-ce que je n'ai pas trouvé à l'écran ? qu'est-ce que j'ai fait sans comprendre ? qu'est-ce qui manquait au logiciel ?</w:t>
      </w:r>
    </w:p>
    <w:p>
      <w:pPr>
        <w:pBdr>
          <w:bottom w:val="single" w:color="FBF7F5" w:sz="2" w:space="6"/>
          <w:left w:val="single" w:color="B01218" w:sz="18" w:space="8"/>
        </w:pBdr>
        <w:shd w:fill="FBF7F5" w:val="clear"/>
        <w:spacing w:after="200" w:before="0" w:line="276"/>
        <w:ind w:left="220" w:right="160"/>
      </w:pPr>
      <w:r>
        <w:rPr>
          <w:rFonts w:ascii="Carlito" w:cs="Carlito" w:eastAsia="Carlito" w:hAnsi="Carlito"/>
          <w:color w:val="1B1416"/>
          <w:sz w:val="20"/>
          <w:szCs w:val="20"/>
        </w:rPr>
        <w:t xml:space="preserve">Les réponses alimentent une feuille de lacunes qui devient l'ordre du jour suivant — et un matériau de contribution au projet. C'est le seul dispositif qui fasse remonter l'usage vers le code.</w:t>
      </w:r>
    </w:p>
    <w:p>
      <w:pPr>
        <w:pStyle w:val="Heading1"/>
        <w:spacing w:after="160" w:before="360"/>
      </w:pPr>
      <w:r>
        <w:rPr>
          <w:rFonts w:ascii="Caladea" w:cs="Caladea" w:eastAsia="Caladea" w:hAnsi="Caladea"/>
          <w:b/>
          <w:bCs/>
          <w:color w:val="7A1418"/>
          <w:sz w:val="30"/>
          <w:szCs w:val="30"/>
        </w:rPr>
        <w:t xml:space="preserve">7. Points d'honnêteté — à revérifier avant le module 4</w:t>
      </w:r>
    </w:p>
    <w:p>
      <w:pPr>
        <w:spacing w:after="120" w:line="276"/>
      </w:pPr>
      <w:r>
        <w:rPr>
          <w:rFonts w:ascii="Carlito" w:cs="Carlito" w:eastAsia="Carlito" w:hAnsi="Carlito"/>
          <w:color w:val="1B1416"/>
          <w:sz w:val="20"/>
          <w:szCs w:val="20"/>
        </w:rPr>
        <w:t xml:space="preserve">Le diaporama distingue partout ce qui est en production de ce qui est spécifié mais pas codé, pour ne pas former sur des écrans inexistants. Plusieurs de ces réserves, écrites en août, ne tiennent plus : le code a avancé. Elles sont listées ici telles qu'elles figurent encore dans les slides, avec ce que la base dit au 01/09.</w:t>
      </w:r>
    </w:p>
    <w:tbl>
      <w:tblPr>
        <w:tblW w:type="dxa" w:w="9360"/>
        <w:tblBorders>
          <w:top w:val="single" w:color="7A1418" w:sz="8"/>
          <w:left w:val="none"/>
          <w:bottom w:val="single" w:color="DCCFCF" w:sz="4"/>
          <w:right w:val="none"/>
          <w:insideH w:val="single" w:color="DCCFCF" w:sz="2"/>
          <w:insideV w:val="none"/>
        </w:tblBorders>
      </w:tblPr>
      <w:tblGrid>
        <w:gridCol w:w="4180"/>
        <w:gridCol w:w="5180"/>
      </w:tblGrid>
      <w:tr>
        <w:trPr>
          <w:tblHeader/>
        </w:trPr>
        <w:tc>
          <w:tcPr>
            <w:tcW w:type="dxa" w:w="4180"/>
            <w:tcMar>
              <w:top w:type="dxa" w:w="90"/>
              <w:left w:type="dxa" w:w="110"/>
              <w:bottom w:type="dxa" w:w="90"/>
              <w:right w:type="dxa" w:w="110"/>
            </w:tcMar>
          </w:tcPr>
          <w:p>
            <w:pPr>
              <w:spacing w:after="0" w:line="250"/>
            </w:pPr>
            <w:r>
              <w:rPr>
                <w:rFonts w:ascii="Carlito" w:cs="Carlito" w:eastAsia="Carlito" w:hAnsi="Carlito"/>
                <w:b/>
                <w:bCs/>
                <w:color w:val="7A1418"/>
                <w:sz w:val="17"/>
                <w:szCs w:val="17"/>
              </w:rPr>
              <w:t xml:space="preserve">Réserve inscrite dans le diaporama</w:t>
            </w:r>
          </w:p>
        </w:tc>
        <w:tc>
          <w:tcPr>
            <w:tcW w:type="dxa" w:w="5180"/>
            <w:tcMar>
              <w:top w:type="dxa" w:w="90"/>
              <w:left w:type="dxa" w:w="110"/>
              <w:bottom w:type="dxa" w:w="90"/>
              <w:right w:type="dxa" w:w="110"/>
            </w:tcMar>
          </w:tcPr>
          <w:p>
            <w:pPr>
              <w:spacing w:after="0" w:line="250"/>
            </w:pPr>
            <w:r>
              <w:rPr>
                <w:rFonts w:ascii="Carlito" w:cs="Carlito" w:eastAsia="Carlito" w:hAnsi="Carlito"/>
                <w:b/>
                <w:bCs/>
                <w:color w:val="7A1418"/>
                <w:sz w:val="17"/>
                <w:szCs w:val="17"/>
              </w:rPr>
              <w:t xml:space="preserve">État vérifié au 01/09/2026</w:t>
            </w:r>
          </w:p>
        </w:tc>
      </w:tr>
      <w:tr>
        <w:tc>
          <w:tcPr>
            <w:tcW w:type="dxa" w:w="4180"/>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PEB</w:t>
            </w:r>
            <w:r>
              <w:rPr>
                <w:rFonts w:ascii="Carlito" w:cs="Carlito" w:eastAsia="Carlito" w:hAnsi="Carlito"/>
                <w:color w:val="1B1416"/>
                <w:sz w:val="18"/>
                <w:szCs w:val="18"/>
              </w:rPr>
              <w:t xml:space="preserve"> : cycle de vie spécifié, aucun écran — aujourd'hui, conversation entre coordinations.</w:t>
            </w:r>
          </w:p>
        </w:tc>
        <w:tc>
          <w:tcPr>
            <w:tcW w:type="dxa" w:w="5180"/>
            <w:tcMar>
              <w:top w:type="dxa" w:w="90"/>
              <w:left w:type="dxa" w:w="110"/>
              <w:bottom w:type="dxa" w:w="90"/>
              <w:right w:type="dxa" w:w="110"/>
            </w:tcMar>
          </w:tcPr>
          <w:p>
            <w:pPr>
              <w:spacing w:after="0" w:line="250"/>
            </w:pPr>
            <w:r>
              <w:rPr>
                <w:rFonts w:ascii="Carlito" w:cs="Carlito" w:eastAsia="Carlito" w:hAnsi="Carlito"/>
                <w:b/>
                <w:bCs/>
                <w:color w:val="B01218"/>
                <w:sz w:val="18"/>
                <w:szCs w:val="18"/>
              </w:rPr>
              <w:t xml:space="preserve">À corriger. </w:t>
            </w:r>
            <w:r>
              <w:rPr>
                <w:rFonts w:ascii="Carlito" w:cs="Carlito" w:eastAsia="Carlito" w:hAnsi="Carlito"/>
                <w:color w:val="1B1416"/>
                <w:sz w:val="18"/>
                <w:szCs w:val="18"/>
              </w:rPr>
              <w:t xml:space="preserve">Cinq tables interlibrary_* existent, un cron anarbib-peb-detect-overdue-daily tourne, et des composants front (PebHistorySection, ExchangeProposalForm, ExchangeRequestsList) sont présents. Vérifier l'état réel des écrans avant le module 4.</w:t>
            </w:r>
          </w:p>
        </w:tc>
      </w:tr>
      <w:tr>
        <w:tc>
          <w:tcPr>
            <w:tcW w:type="dxa" w:w="4180"/>
            <w:shd w:fill="FBF7F5" w:val="clear"/>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Carte lecteur·rice</w:t>
            </w:r>
            <w:r>
              <w:rPr>
                <w:rFonts w:ascii="Carlito" w:cs="Carlito" w:eastAsia="Carlito" w:hAnsi="Carlito"/>
                <w:color w:val="1B1416"/>
                <w:sz w:val="18"/>
                <w:szCs w:val="18"/>
              </w:rPr>
              <w:t xml:space="preserve"> : api.resolve_reader_card absente → recherche nominale au comptoir.</w:t>
            </w:r>
          </w:p>
        </w:tc>
        <w:tc>
          <w:tcPr>
            <w:tcW w:type="dxa" w:w="5180"/>
            <w:shd w:fill="FBF7F5" w:val="clear"/>
            <w:tcMar>
              <w:top w:type="dxa" w:w="90"/>
              <w:left w:type="dxa" w:w="110"/>
              <w:bottom w:type="dxa" w:w="90"/>
              <w:right w:type="dxa" w:w="110"/>
            </w:tcMar>
          </w:tcPr>
          <w:p>
            <w:pPr>
              <w:spacing w:after="0" w:line="250"/>
            </w:pPr>
            <w:r>
              <w:rPr>
                <w:rFonts w:ascii="Carlito" w:cs="Carlito" w:eastAsia="Carlito" w:hAnsi="Carlito"/>
                <w:b/>
                <w:bCs/>
                <w:color w:val="B01218"/>
                <w:sz w:val="18"/>
                <w:szCs w:val="18"/>
              </w:rPr>
              <w:t xml:space="preserve">À corriger. </w:t>
            </w:r>
            <w:r>
              <w:rPr>
                <w:rFonts w:ascii="Carlito" w:cs="Carlito" w:eastAsia="Carlito" w:hAnsi="Carlito"/>
                <w:color w:val="1B1416"/>
                <w:sz w:val="18"/>
                <w:szCs w:val="18"/>
              </w:rPr>
              <w:t xml:space="preserve">La fonction resolve_reader_card existe désormais dans la base.</w:t>
            </w:r>
          </w:p>
        </w:tc>
      </w:tr>
      <w:tr>
        <w:tc>
          <w:tcPr>
            <w:tcW w:type="dxa" w:w="4180"/>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Rappels d'échéance et relances de retard</w:t>
            </w:r>
            <w:r>
              <w:rPr>
                <w:rFonts w:ascii="Carlito" w:cs="Carlito" w:eastAsia="Carlito" w:hAnsi="Carlito"/>
                <w:color w:val="1B1416"/>
                <w:sz w:val="18"/>
                <w:szCs w:val="18"/>
              </w:rPr>
              <w:t xml:space="preserve"> : codés, non confirmés en production.</w:t>
            </w:r>
          </w:p>
        </w:tc>
        <w:tc>
          <w:tcPr>
            <w:tcW w:type="dxa" w:w="5180"/>
            <w:tcMar>
              <w:top w:type="dxa" w:w="90"/>
              <w:left w:type="dxa" w:w="110"/>
              <w:bottom w:type="dxa" w:w="90"/>
              <w:right w:type="dxa" w:w="110"/>
            </w:tcMar>
          </w:tcPr>
          <w:p>
            <w:pPr>
              <w:spacing w:after="0" w:line="250"/>
            </w:pPr>
            <w:r>
              <w:rPr>
                <w:rFonts w:ascii="Carlito" w:cs="Carlito" w:eastAsia="Carlito" w:hAnsi="Carlito"/>
                <w:b/>
                <w:bCs/>
                <w:color w:val="B01218"/>
                <w:sz w:val="18"/>
                <w:szCs w:val="18"/>
              </w:rPr>
              <w:t xml:space="preserve">À corriger. </w:t>
            </w:r>
            <w:r>
              <w:rPr>
                <w:rFonts w:ascii="Carlito" w:cs="Carlito" w:eastAsia="Carlito" w:hAnsi="Carlito"/>
                <w:color w:val="1B1416"/>
                <w:sz w:val="18"/>
                <w:szCs w:val="18"/>
              </w:rPr>
              <w:t xml:space="preserve">Le cron anarbib-notify-loan-cycle-daily est actif (15 h 09 UTC), de même que la table loan_cycle_notifications.</w:t>
            </w:r>
          </w:p>
        </w:tc>
      </w:tr>
      <w:tr>
        <w:tc>
          <w:tcPr>
            <w:tcW w:type="dxa" w:w="4180"/>
            <w:shd w:fill="FBF7F5" w:val="clear"/>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Onglet team</w:t>
            </w:r>
            <w:r>
              <w:rPr>
                <w:rFonts w:ascii="Carlito" w:cs="Carlito" w:eastAsia="Carlito" w:hAnsi="Carlito"/>
                <w:color w:val="1B1416"/>
                <w:sz w:val="18"/>
                <w:szCs w:val="18"/>
              </w:rPr>
              <w:t xml:space="preserve"> : lots carence / audit / mails / UI encore à livrer.</w:t>
            </w:r>
          </w:p>
        </w:tc>
        <w:tc>
          <w:tcPr>
            <w:tcW w:type="dxa" w:w="5180"/>
            <w:shd w:fill="FBF7F5" w:val="clear"/>
            <w:tcMar>
              <w:top w:type="dxa" w:w="90"/>
              <w:left w:type="dxa" w:w="110"/>
              <w:bottom w:type="dxa" w:w="90"/>
              <w:right w:type="dxa" w:w="110"/>
            </w:tcMar>
          </w:tcPr>
          <w:p>
            <w:pPr>
              <w:spacing w:after="0" w:line="250"/>
            </w:pPr>
            <w:r>
              <w:rPr>
                <w:rFonts w:ascii="Carlito" w:cs="Carlito" w:eastAsia="Carlito" w:hAnsi="Carlito"/>
                <w:b/>
                <w:bCs/>
                <w:color w:val="B01218"/>
                <w:sz w:val="18"/>
                <w:szCs w:val="18"/>
              </w:rPr>
              <w:t xml:space="preserve">À corriger. </w:t>
            </w:r>
            <w:r>
              <w:rPr>
                <w:rFonts w:ascii="Carlito" w:cs="Carlito" w:eastAsia="Carlito" w:hAnsi="Carlito"/>
                <w:color w:val="1B1416"/>
                <w:sz w:val="18"/>
                <w:szCs w:val="18"/>
              </w:rPr>
              <w:t xml:space="preserve">library_membership_audit (41 lignes), team_notification_outbox (44 lignes) et les crons team-pending-removal-complete, team-inactive-cleanup, cooptation-reminders sont tous actifs.</w:t>
            </w:r>
          </w:p>
        </w:tc>
      </w:tr>
      <w:tr>
        <w:tc>
          <w:tcPr>
            <w:tcW w:type="dxa" w:w="4180"/>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Livre perdu ou abîmé</w:t>
            </w:r>
            <w:r>
              <w:rPr>
                <w:rFonts w:ascii="Carlito" w:cs="Carlito" w:eastAsia="Carlito" w:hAnsi="Carlito"/>
                <w:color w:val="1B1416"/>
                <w:sz w:val="18"/>
                <w:szCs w:val="18"/>
              </w:rPr>
              <w:t xml:space="preserve"> : aucun flux ne le couvre.</w:t>
            </w:r>
          </w:p>
        </w:tc>
        <w:tc>
          <w:tcPr>
            <w:tcW w:type="dxa" w:w="5180"/>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Non revérifié.</w:t>
            </w:r>
            <w:r>
              <w:rPr>
                <w:rFonts w:ascii="Carlito" w:cs="Carlito" w:eastAsia="Carlito" w:hAnsi="Carlito"/>
                <w:color w:val="1B1416"/>
                <w:sz w:val="18"/>
                <w:szCs w:val="18"/>
              </w:rPr>
              <w:t xml:space="preserve"> Traitement hors SIGB + remontée en coordination (slide 63).</w:t>
            </w:r>
          </w:p>
        </w:tc>
      </w:tr>
      <w:tr>
        <w:tc>
          <w:tcPr>
            <w:tcW w:type="dxa" w:w="4180"/>
            <w:shd w:fill="FBF7F5" w:val="clear"/>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Partage numérique et outils fédéralistes</w:t>
            </w:r>
            <w:r>
              <w:rPr>
                <w:rFonts w:ascii="Carlito" w:cs="Carlito" w:eastAsia="Carlito" w:hAnsi="Carlito"/>
                <w:color w:val="1B1416"/>
                <w:sz w:val="18"/>
                <w:szCs w:val="18"/>
              </w:rPr>
              <w:t xml:space="preserve"> : hors périmètre de la formation initiale.</w:t>
            </w:r>
          </w:p>
        </w:tc>
        <w:tc>
          <w:tcPr>
            <w:tcW w:type="dxa" w:w="5180"/>
            <w:shd w:fill="FBF7F5" w:val="clear"/>
            <w:tcMar>
              <w:top w:type="dxa" w:w="90"/>
              <w:left w:type="dxa" w:w="110"/>
              <w:bottom w:type="dxa" w:w="90"/>
              <w:right w:type="dxa" w:w="110"/>
            </w:tcMar>
          </w:tcPr>
          <w:p>
            <w:pPr>
              <w:spacing w:after="0" w:line="250"/>
            </w:pPr>
            <w:r>
              <w:rPr>
                <w:rFonts w:ascii="Carlito" w:cs="Carlito" w:eastAsia="Carlito" w:hAnsi="Carlito"/>
                <w:b/>
                <w:bCs/>
                <w:color w:val="1B1416"/>
                <w:sz w:val="18"/>
                <w:szCs w:val="18"/>
              </w:rPr>
              <w:t xml:space="preserve">Tient toujours.</w:t>
            </w:r>
            <w:r>
              <w:rPr>
                <w:rFonts w:ascii="Carlito" w:cs="Carlito" w:eastAsia="Carlito" w:hAnsi="Carlito"/>
                <w:color w:val="1B1416"/>
                <w:sz w:val="18"/>
                <w:szCs w:val="18"/>
              </w:rPr>
              <w:t xml:space="preserve"> Décision de périmètre, pas un constat de code.</w:t>
            </w:r>
          </w:p>
        </w:tc>
      </w:tr>
    </w:tbl>
    <w:p>
      <w:pPr>
        <w:spacing w:after="60" w:line="276"/>
      </w:pPr>
      <w:r>
        <w:rPr>
          <w:rFonts w:ascii="Carlito" w:cs="Carlito" w:eastAsia="Carlito" w:hAnsi="Carlito"/>
          <w:color w:val="1B1416"/>
          <w:sz w:val="20"/>
          <w:szCs w:val="20"/>
        </w:rPr>
        <w:t xml:space="preserve"/>
      </w:r>
    </w:p>
    <w:p>
      <w:pPr>
        <w:spacing w:after="120" w:line="276"/>
      </w:pPr>
      <w:r>
        <w:rPr>
          <w:rFonts w:ascii="Carlito" w:cs="Carlito" w:eastAsia="Carlito" w:hAnsi="Carlito"/>
          <w:b/>
          <w:bCs/>
          <w:color w:val="1B1416"/>
          <w:sz w:val="20"/>
          <w:szCs w:val="20"/>
        </w:rPr>
        <w:t xml:space="preserve">Ces quatre corrections concernent les modules 4 et 5, c'est-à-dire les soirées 4 à 6. </w:t>
      </w:r>
      <w:r>
        <w:rPr>
          <w:rFonts w:ascii="Carlito" w:cs="Carlito" w:eastAsia="Carlito" w:hAnsi="Carlito"/>
          <w:color w:val="1B1416"/>
          <w:sz w:val="20"/>
          <w:szCs w:val="20"/>
        </w:rPr>
        <w:t xml:space="preserve">Il reste donc du temps, mais elles doivent être faites avant : annoncer comme manquant ce qui existe abîme exactement la crédibilité que la démarche cherche à construire.</w:t>
      </w:r>
    </w:p>
    <w:p>
      <w:pPr>
        <w:pStyle w:val="Heading1"/>
        <w:spacing w:after="160" w:before="360"/>
      </w:pPr>
      <w:r>
        <w:rPr>
          <w:rFonts w:ascii="Caladea" w:cs="Caladea" w:eastAsia="Caladea" w:hAnsi="Caladea"/>
          <w:b/>
          <w:bCs/>
          <w:color w:val="7A1418"/>
          <w:sz w:val="30"/>
          <w:szCs w:val="30"/>
        </w:rPr>
        <w:t xml:space="preserve">8. Objectif chiffré porté par la formation</w:t>
      </w:r>
    </w:p>
    <w:p>
      <w:pPr>
        <w:pBdr>
          <w:top w:val="single" w:color="FBF7F5" w:sz="2" w:space="6"/>
          <w:left w:val="single" w:color="B01218" w:sz="18" w:space="8"/>
        </w:pBdr>
        <w:shd w:fill="FBF7F5" w:val="clear"/>
        <w:spacing w:after="80" w:before="120" w:line="276"/>
        <w:ind w:left="220" w:right="160"/>
      </w:pPr>
      <w:r>
        <w:rPr>
          <w:rFonts w:ascii="Carlito" w:cs="Carlito" w:eastAsia="Carlito" w:hAnsi="Carlito"/>
          <w:b/>
          <w:bCs/>
          <w:color w:val="1B1416"/>
          <w:sz w:val="20"/>
          <w:szCs w:val="20"/>
        </w:rPr>
        <w:t xml:space="preserve">5 exemplaires sur 2 758 portent une donnée d'acquisition</w:t>
      </w:r>
    </w:p>
    <w:p>
      <w:pPr>
        <w:pBdr>
          <w:bottom w:val="single" w:color="FBF7F5" w:sz="2" w:space="6"/>
          <w:left w:val="single" w:color="B01218" w:sz="18" w:space="8"/>
        </w:pBdr>
        <w:shd w:fill="FBF7F5" w:val="clear"/>
        <w:spacing w:after="200" w:before="0" w:line="276"/>
        <w:ind w:left="220" w:right="160"/>
      </w:pPr>
      <w:r>
        <w:rPr>
          <w:rFonts w:ascii="Carlito" w:cs="Carlito" w:eastAsia="Carlito" w:hAnsi="Carlito"/>
          <w:color w:val="1B1416"/>
          <w:sz w:val="20"/>
          <w:szCs w:val="20"/>
        </w:rPr>
        <w:t xml:space="preserve">Écart EA-ACQ-1, vérifié dans la base le 01/09/2026. Vingt-trois portent une note de provenance.</w:t>
      </w:r>
    </w:p>
    <w:p>
      <w:pPr>
        <w:spacing w:after="120" w:line="276"/>
      </w:pPr>
      <w:r>
        <w:rPr>
          <w:rFonts w:ascii="Carlito" w:cs="Carlito" w:eastAsia="Carlito" w:hAnsi="Carlito"/>
          <w:color w:val="1B1416"/>
          <w:sz w:val="20"/>
          <w:szCs w:val="20"/>
        </w:rPr>
        <w:t xml:space="preserve">Le diaporama en fait un engagement explicite (slides 42 et 18) : aucun exemplaire nouveau sans mode d'acquisition. Le rattrapage rétroactif n'est pas demandé — seul l'arrêt de la dette l'est.</w:t>
      </w:r>
    </w:p>
    <w:p>
      <w:pPr>
        <w:spacing w:after="120" w:line="276"/>
      </w:pPr>
      <w:r>
        <w:rPr>
          <w:rFonts w:ascii="Carlito" w:cs="Carlito" w:eastAsia="Carlito" w:hAnsi="Carlito"/>
          <w:color w:val="1B1416"/>
          <w:sz w:val="20"/>
          <w:szCs w:val="20"/>
        </w:rPr>
        <w:t xml:space="preserve">Dans une bibliothèque militante, la provenance n'est pas un détail érudit : c'est l'histoire du collectif, qui a donné, quand, après quel événement. Sans elle, le fonds devient une pile anonyme en une génération. C'est pour ça que c'est le seul objectif chiffré de la formation.</w:t>
      </w:r>
    </w:p>
    <w:p>
      <w:pPr>
        <w:pStyle w:val="Heading1"/>
        <w:spacing w:after="160" w:before="360"/>
      </w:pPr>
      <w:r>
        <w:rPr>
          <w:rFonts w:ascii="Caladea" w:cs="Caladea" w:eastAsia="Caladea" w:hAnsi="Caladea"/>
          <w:b/>
          <w:bCs/>
          <w:color w:val="7A1418"/>
          <w:sz w:val="30"/>
          <w:szCs w:val="30"/>
        </w:rPr>
        <w:t xml:space="preserve">9. Fabrication</w:t>
      </w:r>
    </w:p>
    <w:p>
      <w:pPr>
        <w:spacing w:after="120" w:line="276"/>
      </w:pPr>
      <w:r>
        <w:rPr>
          <w:rFonts w:ascii="Carlito" w:cs="Carlito" w:eastAsia="Carlito" w:hAnsi="Carlito"/>
          <w:color w:val="1B1416"/>
          <w:sz w:val="20"/>
          <w:szCs w:val="20"/>
        </w:rPr>
        <w:t xml:space="preserve">Diaporama généré par script (pptxgenjs), 89 slides, palette AnarBib : bordeaux 140A0C / 0A0506, rouge C4161C, crème F3EAE6. Contrôle de mise en page automatisé — débordement sous le plancher et chevauchement de blocs — puis relecture visuelle des 89 rendus.</w:t>
      </w:r>
    </w:p>
    <w:p>
      <w:pPr>
        <w:spacing w:after="120" w:line="276"/>
      </w:pPr>
      <w:r>
        <w:rPr>
          <w:rFonts w:ascii="Carlito" w:cs="Carlito" w:eastAsia="Carlito" w:hAnsi="Carlito"/>
          <w:color w:val="1B1416"/>
          <w:sz w:val="20"/>
          <w:szCs w:val="20"/>
        </w:rPr>
        <w:t xml:space="preserve">Polices : Cambria et Calibri en substitution sûre de Bitter et Georgia, à rebasculer sur Bitter si la police est installée sur les postes.</w:t>
      </w:r>
    </w:p>
    <w:p>
      <w:pPr>
        <w:spacing w:after="120" w:line="276"/>
      </w:pPr>
      <w:r>
        <w:rPr>
          <w:rFonts w:ascii="Carlito" w:cs="Carlito" w:eastAsia="Carlito" w:hAnsi="Carlito"/>
          <w:color w:val="1B1416"/>
          <w:sz w:val="20"/>
          <w:szCs w:val="20"/>
        </w:rPr>
        <w:t xml:space="preserve">Documents d'accompagnement produits en parallèle, tous versionnés dans le projet : le conducteur de la séance 1 (animation, en français, phrases à prononcer en PT-BR), le roteiro de la capsule (PT-BR, minuté), et une conversion PDF du diaporama pour la lecture hors PowerPoint.</w:t>
      </w:r>
    </w:p>
    <w:p>
      <w:pPr>
        <w:pBdr>
          <w:bottom w:val="single" w:color="7A1418" w:sz="12" w:space="8"/>
        </w:pBdr>
        <w:spacing w:after="160" w:before="240"/>
      </w:pPr>
    </w:p>
    <w:p>
      <w:pPr>
        <w:pStyle w:val="Heading1"/>
        <w:spacing w:after="160" w:before="360"/>
      </w:pPr>
      <w:r>
        <w:rPr>
          <w:rFonts w:ascii="Caladea" w:cs="Caladea" w:eastAsia="Caladea" w:hAnsi="Caladea"/>
          <w:b/>
          <w:bCs/>
          <w:color w:val="7A1418"/>
          <w:sz w:val="30"/>
          <w:szCs w:val="30"/>
        </w:rPr>
        <w:t xml:space="preserve">Annexe — l'écart de cosignature, et sa résolution</w:t>
      </w:r>
    </w:p>
    <w:p>
      <w:pPr>
        <w:spacing w:after="200" w:line="260"/>
      </w:pPr>
      <w:r>
        <w:rPr>
          <w:rFonts w:ascii="Carlito" w:cs="Carlito" w:eastAsia="Carlito" w:hAnsi="Carlito"/>
          <w:i/>
          <w:iCs/>
          <w:color w:val="6B5A5C"/>
          <w:sz w:val="18"/>
          <w:szCs w:val="18"/>
        </w:rPr>
        <w:t xml:space="preserve">Genre : trace (constat de code)  ·  Ouvert le 2026-08-26, clos le 2026-09-01  ·  Base : projet uflwmikiyjfnikiphtcp</w:t>
      </w:r>
    </w:p>
    <w:p>
      <w:pPr>
        <w:pStyle w:val="Heading2"/>
        <w:spacing w:after="120" w:before="240"/>
      </w:pPr>
      <w:r>
        <w:rPr>
          <w:rFonts w:ascii="Caladea" w:cs="Caladea" w:eastAsia="Caladea" w:hAnsi="Caladea"/>
          <w:b/>
          <w:bCs/>
          <w:color w:val="1B1416"/>
          <w:sz w:val="23"/>
          <w:szCs w:val="23"/>
        </w:rPr>
        <w:t xml:space="preserve">Le constat d'origine</w:t>
      </w:r>
    </w:p>
    <w:p>
      <w:pPr>
        <w:spacing w:after="120" w:line="276"/>
      </w:pPr>
      <w:r>
        <w:rPr>
          <w:rFonts w:ascii="Carlito" w:cs="Carlito" w:eastAsia="Carlito" w:hAnsi="Carlito"/>
          <w:color w:val="1B1416"/>
          <w:sz w:val="20"/>
          <w:szCs w:val="20"/>
        </w:rPr>
        <w:t xml:space="preserve">La BLMF est en team_admission_mode = 'cosignature'. Pourtant la promotion de Mariana Santos au rôle coordenador, le 26/08/2026 à 07:02:31, s'est faite en une seule transaction, par un seul acteur, sans aucune sollicitation de Rafael Gaia — qui était l'autre coordenador actif. Ce n'était pas une erreur de manipulation : le code ne prévoyait pas de collégialité à cet endroit.</w:t>
      </w:r>
    </w:p>
    <w:p>
      <w:pPr>
        <w:spacing w:after="120" w:line="276"/>
      </w:pPr>
      <w:r>
        <w:rPr>
          <w:rFonts w:ascii="Carlito" w:cs="Carlito" w:eastAsia="Carlito" w:hAnsi="Carlito"/>
          <w:color w:val="1B1416"/>
          <w:sz w:val="20"/>
          <w:szCs w:val="20"/>
        </w:rPr>
        <w:t xml:space="preserve">Deux mécanismes coexistaient. Le circuit d'invitation (proposition, ratification, acceptation) lisait bien team_admission_mode, mais refusait explicitement le rôle coordenador. La promotion directe, elle, ne vérifiait qu'une chose : que l'acteur puisse gérer la bibliothèque. Aucune ratification, aucun consentement de la personne promue, effet immédiat. C'est le chemin qui avait été emprunté — et le circuit collégial n'avait, à cette date, jamais servi une seule fois.</w:t>
      </w:r>
    </w:p>
    <w:p>
      <w:pPr>
        <w:pStyle w:val="Heading2"/>
        <w:spacing w:after="120" w:before="240"/>
      </w:pPr>
      <w:r>
        <w:rPr>
          <w:rFonts w:ascii="Caladea" w:cs="Caladea" w:eastAsia="Caladea" w:hAnsi="Caladea"/>
          <w:b/>
          <w:bCs/>
          <w:color w:val="1B1416"/>
          <w:sz w:val="23"/>
          <w:szCs w:val="23"/>
        </w:rPr>
        <w:t xml:space="preserve">L'arbitrage</w:t>
      </w:r>
    </w:p>
    <w:p>
      <w:pPr>
        <w:spacing w:after="120" w:line="276"/>
      </w:pPr>
      <w:r>
        <w:rPr>
          <w:rFonts w:ascii="Carlito" w:cs="Carlito" w:eastAsia="Carlito" w:hAnsi="Carlito"/>
          <w:color w:val="1B1416"/>
          <w:sz w:val="20"/>
          <w:szCs w:val="20"/>
        </w:rPr>
        <w:t xml:space="preserve">Le principe P2 de spec-gouvernance-roles.md nomme les deux cas : « l'entrée dans une équipe (devenir librarian, devenir coordenador) se fait par cooptation des coordenadores existant·es. » Le code n'en implémentait qu'un. Deux lectures se défendaient : P8 (« le SIGB ne modélise pas l'AG ») contre P2 (devenir coordenador donne accès à la configuration, aux cotisations et au pouvoir d'exclure — c'est précisément là qu'une seconde main est utile).</w:t>
      </w:r>
    </w:p>
    <w:p>
      <w:pPr>
        <w:pBdr>
          <w:top w:val="single" w:color="FBF7F5" w:sz="2" w:space="6"/>
          <w:bottom w:val="single" w:color="FBF7F5" w:sz="2" w:space="6"/>
          <w:left w:val="single" w:color="B01218" w:sz="18" w:space="8"/>
        </w:pBdr>
        <w:shd w:fill="FBF7F5" w:val="clear"/>
        <w:spacing w:after="200" w:before="120" w:line="276"/>
        <w:ind w:left="220" w:right="160"/>
      </w:pPr>
      <w:r>
        <w:rPr>
          <w:rFonts w:ascii="Carlito" w:cs="Carlito" w:eastAsia="Carlito" w:hAnsi="Carlito"/>
          <w:b/>
          <w:bCs/>
          <w:color w:val="1B1416"/>
          <w:sz w:val="20"/>
          <w:szCs w:val="20"/>
        </w:rPr>
        <w:t xml:space="preserve">L'arbitrage n'était pas technique, et il a été tranché politiquement : </w:t>
      </w:r>
      <w:r>
        <w:rPr>
          <w:rFonts w:ascii="Carlito" w:cs="Carlito" w:eastAsia="Carlito" w:hAnsi="Carlito"/>
          <w:color w:val="1B1416"/>
          <w:sz w:val="20"/>
          <w:szCs w:val="20"/>
        </w:rPr>
        <w:t xml:space="preserve">« Il faut corriger cela pour l'avenir. La collégialité est un principe de base. »</w:t>
      </w:r>
    </w:p>
    <w:p>
      <w:pPr>
        <w:pStyle w:val="Heading2"/>
        <w:spacing w:after="120" w:before="240"/>
      </w:pPr>
      <w:r>
        <w:rPr>
          <w:rFonts w:ascii="Caladea" w:cs="Caladea" w:eastAsia="Caladea" w:hAnsi="Caladea"/>
          <w:b/>
          <w:bCs/>
          <w:color w:val="1B1416"/>
          <w:sz w:val="23"/>
          <w:szCs w:val="23"/>
        </w:rPr>
        <w:t xml:space="preserve">Ce qui a été livré</w:t>
      </w:r>
    </w:p>
    <w:p>
      <w:pPr>
        <w:pStyle w:val="ListParagraph"/>
        <w:numPr>
          <w:ilvl w:val="0"/>
          <w:numId w:val="2"/>
        </w:numPr>
        <w:spacing w:after="80" w:line="276"/>
      </w:pPr>
      <w:r>
        <w:rPr>
          <w:rFonts w:ascii="Carlito" w:cs="Carlito" w:eastAsia="Carlito" w:hAnsi="Carlito"/>
          <w:b/>
          <w:bCs/>
          <w:color w:val="1B1416"/>
          <w:sz w:val="20"/>
          <w:szCs w:val="20"/>
        </w:rPr>
        <w:t xml:space="preserve">Le circuit d'invitation accepte les deux rôles.</w:t>
      </w:r>
      <w:r>
        <w:rPr>
          <w:rFonts w:ascii="Carlito" w:cs="Carlito" w:eastAsia="Carlito" w:hAnsi="Carlito"/>
          <w:color w:val="1B1416"/>
          <w:sz w:val="20"/>
          <w:szCs w:val="20"/>
        </w:rPr>
        <w:t xml:space="preserve"> La contrainte de base autorise désormais role_proposed ∈ {librarian, coordenador}.</w:t>
      </w:r>
    </w:p>
    <w:p>
      <w:pPr>
        <w:pStyle w:val="ListParagraph"/>
        <w:numPr>
          <w:ilvl w:val="0"/>
          <w:numId w:val="2"/>
        </w:numPr>
        <w:spacing w:after="80" w:line="276"/>
      </w:pPr>
      <w:r>
        <w:rPr>
          <w:rFonts w:ascii="Carlito" w:cs="Carlito" w:eastAsia="Carlito" w:hAnsi="Carlito"/>
          <w:b/>
          <w:bCs/>
          <w:color w:val="1B1416"/>
          <w:sz w:val="20"/>
          <w:szCs w:val="20"/>
        </w:rPr>
        <w:t xml:space="preserve">La personne visée est exclue du quorum.</w:t>
      </w:r>
      <w:r>
        <w:rPr>
          <w:rFonts w:ascii="Carlito" w:cs="Carlito" w:eastAsia="Carlito" w:hAnsi="Carlito"/>
          <w:color w:val="1B1416"/>
          <w:sz w:val="20"/>
          <w:szCs w:val="20"/>
        </w:rPr>
        <w:t xml:space="preserve"> Deux ratifications sont requises dès que l'équipe compte deux autres membres actifs — sinon la promotion se ratifierait elle-même.</w:t>
      </w:r>
    </w:p>
    <w:p>
      <w:pPr>
        <w:pStyle w:val="ListParagraph"/>
        <w:numPr>
          <w:ilvl w:val="0"/>
          <w:numId w:val="2"/>
        </w:numPr>
        <w:spacing w:after="80" w:line="276"/>
      </w:pPr>
      <w:r>
        <w:rPr>
          <w:rFonts w:ascii="Carlito" w:cs="Carlito" w:eastAsia="Carlito" w:hAnsi="Carlito"/>
          <w:b/>
          <w:bCs/>
          <w:color w:val="1B1416"/>
          <w:sz w:val="20"/>
          <w:szCs w:val="20"/>
        </w:rPr>
        <w:t xml:space="preserve">La promotion directe refuse et explique.</w:t>
      </w:r>
      <w:r>
        <w:rPr>
          <w:rFonts w:ascii="Carlito" w:cs="Carlito" w:eastAsia="Carlito" w:hAnsi="Carlito"/>
          <w:color w:val="1B1416"/>
          <w:sz w:val="20"/>
          <w:szCs w:val="20"/>
        </w:rPr>
        <w:t xml:space="preserve"> fn_team_promote_to_coordenador lève collegiality_required, avec un HINT indiquant le circuit à emprunter.</w:t>
      </w:r>
    </w:p>
    <w:p>
      <w:pPr>
        <w:pStyle w:val="ListParagraph"/>
        <w:numPr>
          <w:ilvl w:val="0"/>
          <w:numId w:val="2"/>
        </w:numPr>
        <w:spacing w:after="80" w:line="276"/>
      </w:pPr>
      <w:r>
        <w:rPr>
          <w:rFonts w:ascii="Carlito" w:cs="Carlito" w:eastAsia="Carlito" w:hAnsi="Carlito"/>
          <w:b/>
          <w:bCs/>
          <w:color w:val="1B1416"/>
          <w:sz w:val="20"/>
          <w:szCs w:val="20"/>
        </w:rPr>
        <w:t xml:space="preserve">Les invitations expirent.</w:t>
      </w:r>
      <w:r>
        <w:rPr>
          <w:rFonts w:ascii="Carlito" w:cs="Carlito" w:eastAsia="Carlito" w:hAnsi="Carlito"/>
          <w:color w:val="1B1416"/>
          <w:sz w:val="20"/>
          <w:szCs w:val="20"/>
        </w:rPr>
        <w:t xml:space="preserve"> Nouvelle fonction fn_team_expire_invitations et cron anarbib-team-invitations-expire, tous les jours à 3 h 20.</w:t>
      </w:r>
    </w:p>
    <w:p>
      <w:pPr>
        <w:pStyle w:val="ListParagraph"/>
        <w:numPr>
          <w:ilvl w:val="0"/>
          <w:numId w:val="2"/>
        </w:numPr>
        <w:spacing w:after="80" w:line="276"/>
      </w:pPr>
      <w:r>
        <w:rPr>
          <w:rFonts w:ascii="Carlito" w:cs="Carlito" w:eastAsia="Carlito" w:hAnsi="Carlito"/>
          <w:b/>
          <w:bCs/>
          <w:color w:val="1B1416"/>
          <w:sz w:val="20"/>
          <w:szCs w:val="20"/>
        </w:rPr>
        <w:t xml:space="preserve">Le front suit</w:t>
      </w:r>
      <w:r>
        <w:rPr>
          <w:rFonts w:ascii="Carlito" w:cs="Carlito" w:eastAsia="Carlito" w:hAnsi="Carlito"/>
          <w:color w:val="1B1416"/>
          <w:sz w:val="20"/>
          <w:szCs w:val="20"/>
        </w:rPr>
        <w:t xml:space="preserve"> : le bouton propose au lieu de promouvoir, les écrans de ratification et d'acceptation affichent le rôle proposé, et les gabarits de mail distinguent les deux cas dans les dix locales.</w:t>
      </w:r>
    </w:p>
    <w:p>
      <w:pPr>
        <w:pStyle w:val="Heading2"/>
        <w:spacing w:after="120" w:before="240"/>
      </w:pPr>
      <w:r>
        <w:rPr>
          <w:rFonts w:ascii="Caladea" w:cs="Caladea" w:eastAsia="Caladea" w:hAnsi="Caladea"/>
          <w:b/>
          <w:bCs/>
          <w:color w:val="1B1416"/>
          <w:sz w:val="23"/>
          <w:szCs w:val="23"/>
        </w:rPr>
        <w:t xml:space="preserve">État au 1er septembre</w:t>
      </w:r>
    </w:p>
    <w:p>
      <w:pPr>
        <w:spacing w:after="120" w:line="276"/>
      </w:pPr>
      <w:r>
        <w:rPr>
          <w:rFonts w:ascii="Carlito" w:cs="Carlito" w:eastAsia="Carlito" w:hAnsi="Carlito"/>
          <w:color w:val="1B1416"/>
          <w:sz w:val="20"/>
          <w:szCs w:val="20"/>
        </w:rPr>
        <w:t xml:space="preserve">Le circuit collégial n'est plus théorique : il a servi trois fois, toutes pour le rôle coordenador.</w:t>
      </w:r>
    </w:p>
    <w:tbl>
      <w:tblPr>
        <w:tblW w:type="dxa" w:w="9360"/>
        <w:tblBorders>
          <w:top w:val="single" w:color="7A1418" w:sz="8"/>
          <w:left w:val="none"/>
          <w:bottom w:val="single" w:color="DCCFCF" w:sz="4"/>
          <w:right w:val="none"/>
          <w:insideH w:val="single" w:color="DCCFCF" w:sz="2"/>
          <w:insideV w:val="none"/>
        </w:tblBorders>
      </w:tblPr>
      <w:tblGrid>
        <w:gridCol w:w="1800"/>
        <w:gridCol w:w="1500"/>
        <w:gridCol w:w="1560"/>
        <w:gridCol w:w="4500"/>
      </w:tblGrid>
      <w:tr>
        <w:trPr>
          <w:tblHeader/>
        </w:trPr>
        <w:tc>
          <w:tcPr>
            <w:tcW w:type="dxa" w:w="1800"/>
            <w:tcMar>
              <w:top w:type="dxa" w:w="90"/>
              <w:left w:type="dxa" w:w="110"/>
              <w:bottom w:type="dxa" w:w="90"/>
              <w:right w:type="dxa" w:w="110"/>
            </w:tcMar>
          </w:tcPr>
          <w:p>
            <w:pPr>
              <w:spacing w:after="0" w:line="250"/>
            </w:pPr>
            <w:r>
              <w:rPr>
                <w:rFonts w:ascii="Carlito" w:cs="Carlito" w:eastAsia="Carlito" w:hAnsi="Carlito"/>
                <w:b/>
                <w:bCs/>
                <w:color w:val="7A1418"/>
                <w:sz w:val="17"/>
                <w:szCs w:val="17"/>
              </w:rPr>
              <w:t xml:space="preserve">Bibliothèque</w:t>
            </w:r>
          </w:p>
        </w:tc>
        <w:tc>
          <w:tcPr>
            <w:tcW w:type="dxa" w:w="1500"/>
            <w:tcMar>
              <w:top w:type="dxa" w:w="90"/>
              <w:left w:type="dxa" w:w="110"/>
              <w:bottom w:type="dxa" w:w="90"/>
              <w:right w:type="dxa" w:w="110"/>
            </w:tcMar>
          </w:tcPr>
          <w:p>
            <w:pPr>
              <w:spacing w:after="0" w:line="250"/>
            </w:pPr>
            <w:r>
              <w:rPr>
                <w:rFonts w:ascii="Carlito" w:cs="Carlito" w:eastAsia="Carlito" w:hAnsi="Carlito"/>
                <w:b/>
                <w:bCs/>
                <w:color w:val="7A1418"/>
                <w:sz w:val="17"/>
                <w:szCs w:val="17"/>
              </w:rPr>
              <w:t xml:space="preserve">Créée le</w:t>
            </w:r>
          </w:p>
        </w:tc>
        <w:tc>
          <w:tcPr>
            <w:tcW w:type="dxa" w:w="1560"/>
            <w:tcMar>
              <w:top w:type="dxa" w:w="90"/>
              <w:left w:type="dxa" w:w="110"/>
              <w:bottom w:type="dxa" w:w="90"/>
              <w:right w:type="dxa" w:w="110"/>
            </w:tcMar>
          </w:tcPr>
          <w:p>
            <w:pPr>
              <w:spacing w:after="0" w:line="250"/>
            </w:pPr>
            <w:r>
              <w:rPr>
                <w:rFonts w:ascii="Carlito" w:cs="Carlito" w:eastAsia="Carlito" w:hAnsi="Carlito"/>
                <w:b/>
                <w:bCs/>
                <w:color w:val="7A1418"/>
                <w:sz w:val="17"/>
                <w:szCs w:val="17"/>
              </w:rPr>
              <w:t xml:space="preserve">Ratifications</w:t>
            </w:r>
          </w:p>
        </w:tc>
        <w:tc>
          <w:tcPr>
            <w:tcW w:type="dxa" w:w="4500"/>
            <w:tcMar>
              <w:top w:type="dxa" w:w="90"/>
              <w:left w:type="dxa" w:w="110"/>
              <w:bottom w:type="dxa" w:w="90"/>
              <w:right w:type="dxa" w:w="110"/>
            </w:tcMar>
          </w:tcPr>
          <w:p>
            <w:pPr>
              <w:spacing w:after="0" w:line="250"/>
            </w:pPr>
            <w:r>
              <w:rPr>
                <w:rFonts w:ascii="Carlito" w:cs="Carlito" w:eastAsia="Carlito" w:hAnsi="Carlito"/>
                <w:b/>
                <w:bCs/>
                <w:color w:val="7A1418"/>
                <w:sz w:val="17"/>
                <w:szCs w:val="17"/>
              </w:rPr>
              <w:t xml:space="preserve">État</w:t>
            </w:r>
          </w:p>
        </w:tc>
      </w:tr>
      <w:tr>
        <w:tc>
          <w:tcPr>
            <w:tcW w:type="dxa" w:w="18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btl</w:t>
            </w:r>
          </w:p>
        </w:tc>
        <w:tc>
          <w:tcPr>
            <w:tcW w:type="dxa" w:w="15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30/08/2026</w:t>
            </w:r>
          </w:p>
        </w:tc>
        <w:tc>
          <w:tcPr>
            <w:tcW w:type="dxa" w:w="156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2</w:t>
            </w:r>
          </w:p>
        </w:tc>
        <w:tc>
          <w:tcPr>
            <w:tcW w:type="dxa" w:w="45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ready — en attente d'acceptation par la personne</w:t>
            </w:r>
          </w:p>
        </w:tc>
      </w:tr>
      <w:tr>
        <w:tc>
          <w:tcPr>
            <w:tcW w:type="dxa" w:w="180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blmf-teste</w:t>
            </w:r>
          </w:p>
        </w:tc>
        <w:tc>
          <w:tcPr>
            <w:tcW w:type="dxa" w:w="150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01/09/2026</w:t>
            </w:r>
          </w:p>
        </w:tc>
        <w:tc>
          <w:tcPr>
            <w:tcW w:type="dxa" w:w="156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2</w:t>
            </w:r>
          </w:p>
        </w:tc>
        <w:tc>
          <w:tcPr>
            <w:tcW w:type="dxa" w:w="4500"/>
            <w:shd w:fill="FBF7F5" w:val="clear"/>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accepted</w:t>
            </w:r>
          </w:p>
        </w:tc>
      </w:tr>
      <w:tr>
        <w:tc>
          <w:tcPr>
            <w:tcW w:type="dxa" w:w="18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blmf-teste</w:t>
            </w:r>
          </w:p>
        </w:tc>
        <w:tc>
          <w:tcPr>
            <w:tcW w:type="dxa" w:w="15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01/09/2026</w:t>
            </w:r>
          </w:p>
        </w:tc>
        <w:tc>
          <w:tcPr>
            <w:tcW w:type="dxa" w:w="156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1</w:t>
            </w:r>
          </w:p>
        </w:tc>
        <w:tc>
          <w:tcPr>
            <w:tcW w:type="dxa" w:w="4500"/>
            <w:tcMar>
              <w:top w:type="dxa" w:w="90"/>
              <w:left w:type="dxa" w:w="110"/>
              <w:bottom w:type="dxa" w:w="90"/>
              <w:right w:type="dxa" w:w="110"/>
            </w:tcMar>
          </w:tcPr>
          <w:p>
            <w:pPr>
              <w:spacing w:after="0" w:line="250"/>
            </w:pPr>
            <w:r>
              <w:rPr>
                <w:rFonts w:ascii="Carlito" w:cs="Carlito" w:eastAsia="Carlito" w:hAnsi="Carlito"/>
                <w:color w:val="1B1416"/>
                <w:sz w:val="18"/>
                <w:szCs w:val="18"/>
              </w:rPr>
              <w:t xml:space="preserve">pending_ratification</w:t>
            </w:r>
          </w:p>
        </w:tc>
      </w:tr>
    </w:tbl>
    <w:p>
      <w:pPr>
        <w:spacing w:after="60" w:line="276"/>
      </w:pPr>
      <w:r>
        <w:rPr>
          <w:rFonts w:ascii="Carlito" w:cs="Carlito" w:eastAsia="Carlito" w:hAnsi="Carlito"/>
          <w:color w:val="1B1416"/>
          <w:sz w:val="20"/>
          <w:szCs w:val="20"/>
        </w:rPr>
        <w:t xml:space="preserve"/>
      </w:r>
    </w:p>
    <w:p>
      <w:pPr>
        <w:pBdr>
          <w:top w:val="single" w:color="FBF7F5" w:sz="2" w:space="6"/>
          <w:bottom w:val="single" w:color="FBF7F5" w:sz="2" w:space="6"/>
          <w:left w:val="single" w:color="B01218" w:sz="18" w:space="8"/>
        </w:pBdr>
        <w:shd w:fill="FBF7F5" w:val="clear"/>
        <w:spacing w:after="200" w:before="120" w:line="276"/>
        <w:ind w:left="220" w:right="160"/>
      </w:pPr>
      <w:r>
        <w:rPr>
          <w:rFonts w:ascii="Carlito" w:cs="Carlito" w:eastAsia="Carlito" w:hAnsi="Carlito"/>
          <w:b/>
          <w:bCs/>
          <w:color w:val="B01218"/>
          <w:sz w:val="20"/>
          <w:szCs w:val="20"/>
        </w:rPr>
        <w:t xml:space="preserve">Un point de vigilance. </w:t>
      </w:r>
      <w:r>
        <w:rPr>
          <w:rFonts w:ascii="Carlito" w:cs="Carlito" w:eastAsia="Carlito" w:hAnsi="Carlito"/>
          <w:color w:val="1B1416"/>
          <w:sz w:val="20"/>
          <w:szCs w:val="20"/>
        </w:rPr>
        <w:t xml:space="preserve">L'invitation de la BTL du 30/08 est en état ready depuis deux jours : les deux ratifications sont acquises, mais la personne concernée n'a pas encore accepté. Le cron d'expiration la fermera au bout de trente jours, soit le 29/09. Il faut la prévenir — d'autant que, comme le montre le §1, la connexion n'est pas un réflexe à la BTL.</w:t>
      </w:r>
    </w:p>
    <w:p>
      <w:pPr>
        <w:pStyle w:val="Heading2"/>
        <w:spacing w:after="120" w:before="240"/>
      </w:pPr>
      <w:r>
        <w:rPr>
          <w:rFonts w:ascii="Caladea" w:cs="Caladea" w:eastAsia="Caladea" w:hAnsi="Caladea"/>
          <w:b/>
          <w:bCs/>
          <w:color w:val="1B1416"/>
          <w:sz w:val="23"/>
          <w:szCs w:val="23"/>
        </w:rPr>
        <w:t xml:space="preserve">La suite : le salto colegial</w:t>
      </w:r>
    </w:p>
    <w:p>
      <w:pPr>
        <w:spacing w:after="120" w:line="276"/>
      </w:pPr>
      <w:r>
        <w:rPr>
          <w:rFonts w:ascii="Carlito" w:cs="Carlito" w:eastAsia="Carlito" w:hAnsi="Carlito"/>
          <w:color w:val="1B1416"/>
          <w:sz w:val="20"/>
          <w:szCs w:val="20"/>
        </w:rPr>
        <w:t xml:space="preserve">Le circuit collégial refermé, une marche restait : pour entrer dans le cercle coordenador, il fallait avoir été bibliothécaire — fn_team_propose_invitation levait precondition_failed: target must be active librarian first. Dans la base, les huit membres d'équipe du réseau sont effectivement tous passés par une ligne reader puis une ligne librarian.</w:t>
      </w:r>
    </w:p>
    <w:p>
      <w:pPr>
        <w:spacing w:after="120" w:line="276"/>
      </w:pPr>
      <w:r>
        <w:rPr>
          <w:rFonts w:ascii="Carlito" w:cs="Carlito" w:eastAsia="Carlito" w:hAnsi="Carlito"/>
          <w:color w:val="1B1416"/>
          <w:sz w:val="20"/>
          <w:szCs w:val="20"/>
        </w:rPr>
        <w:t xml:space="preserve">Pour un collectif horizontal comme la BTL, cette étape intermédiaire ne correspond à rien : leurs rôles ne sont pas des degrés, et une seule décision d'assemblée demandait deux circuits dans le logiciel. La réponse n'a pas été de supprimer la marche pour tout le monde, mais d'en faire une option de bibliothèque.</w:t>
      </w:r>
    </w:p>
    <w:p>
      <w:pPr>
        <w:pBdr>
          <w:top w:val="single" w:color="FBF7F5" w:sz="2" w:space="6"/>
          <w:left w:val="single" w:color="B01218" w:sz="18" w:space="8"/>
        </w:pBdr>
        <w:shd w:fill="FBF7F5" w:val="clear"/>
        <w:spacing w:after="80" w:before="120" w:line="276"/>
        <w:ind w:left="220" w:right="160"/>
      </w:pPr>
      <w:r>
        <w:rPr>
          <w:rFonts w:ascii="Carlito" w:cs="Carlito" w:eastAsia="Carlito" w:hAnsi="Carlito"/>
          <w:b/>
          <w:bCs/>
          <w:color w:val="1B1416"/>
          <w:sz w:val="20"/>
          <w:szCs w:val="20"/>
        </w:rPr>
        <w:t xml:space="preserve">Le salto colegial</w:t>
      </w:r>
      <w:r>
        <w:rPr>
          <w:rFonts w:ascii="Carlito" w:cs="Carlito" w:eastAsia="Carlito" w:hAnsi="Carlito"/>
          <w:color w:val="1B1416"/>
          <w:sz w:val="20"/>
          <w:szCs w:val="20"/>
        </w:rPr>
        <w:t xml:space="preserve"> : proposer quelqu'un directement de lecteur·rice à la coordination, par le même circuit en trois temps — proposition, endossement, acceptation. Il raccourcit l'escalier, jamais les consentements.</w:t>
      </w:r>
    </w:p>
    <w:p>
      <w:pPr>
        <w:pBdr>
          <w:bottom w:val="single" w:color="FBF7F5" w:sz="2" w:space="6"/>
          <w:left w:val="single" w:color="B01218" w:sz="18" w:space="8"/>
        </w:pBdr>
        <w:shd w:fill="FBF7F5" w:val="clear"/>
        <w:spacing w:after="200" w:before="0" w:line="276"/>
        <w:ind w:left="220" w:right="160"/>
      </w:pPr>
      <w:r>
        <w:rPr>
          <w:rFonts w:ascii="Carlito" w:cs="Carlito" w:eastAsia="Carlito" w:hAnsi="Carlito"/>
          <w:color w:val="1B1416"/>
          <w:sz w:val="20"/>
          <w:szCs w:val="20"/>
        </w:rPr>
        <w:t xml:space="preserve">Désactivé par défaut dans tout le réseau. Vérifié le 01/09 : allow_direct_coordenador est à true sur btl et blmf-teste, à false sur blmf et mleg. Réversible à tout moment ; les propositions de saut encore ouvertes échouent alors à l'acceptation.</w:t>
      </w:r>
    </w:p>
    <w:p>
      <w:pPr>
        <w:spacing w:after="120" w:line="276"/>
      </w:pPr>
      <w:r>
        <w:rPr>
          <w:rFonts w:ascii="Carlito" w:cs="Carlito" w:eastAsia="Carlito" w:hAnsi="Carlito"/>
          <w:color w:val="1B1416"/>
          <w:sz w:val="20"/>
          <w:szCs w:val="20"/>
        </w:rPr>
        <w:t xml:space="preserve">C'est le meilleur argument dont dispose la formation, et il n'est pas rhétorique : le logiciel n'a ni imposé sa forme au collectif de la BTL, ni refusé la leur. Il a exécuté une décision qui s'est prise en assemblée, pas dans le code. Une formation en ligne dédiée (« O salto colegial ») a été produite pour la BTL.</w:t>
      </w:r>
    </w:p>
    <w:sectPr>
      <w:pgSz w:w="11906" w:h="16838" w:orient="portrait"/>
      <w:pgMar w:top="1000" w:right="900" w:bottom="10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B01218"/>
      </w:rPr>
    </w:lvl>
  </w:abstractNum>
  <w:abstractNum w:abstractNumId="3" w15:restartNumberingAfterBreak="0">
    <w:multiLevelType w:val="hybridMultilevel"/>
    <w:lvl w:ilvl="0" w15:tentative="1">
      <w:start w:val="1"/>
      <w:numFmt w:val="decimal"/>
      <w:lvlText w:val="%1."/>
      <w:lvlJc w:val="left"/>
      <w:pPr>
        <w:ind w:left="360" w:hanging="260"/>
      </w:pPr>
      <w:rPr>
        <w:b/>
        <w:bCs/>
        <w:color w:val="B0121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color w:val="1B141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2026-09-01T20:28:35.455Z</dcterms:created>
  <dcterms:modified xsi:type="dcterms:W3CDTF">2026-09-01T20:28:35.456Z</dcterms:modified>
</cp:coreProperties>
</file>

<file path=docProps/custom.xml><?xml version="1.0" encoding="utf-8"?>
<Properties xmlns="http://schemas.openxmlformats.org/officeDocument/2006/custom-properties" xmlns:vt="http://schemas.openxmlformats.org/officeDocument/2006/docPropsVTypes"/>
</file>