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i w:val="0"/>
          <w:color w:val="1F2E55"/>
          <w:sz w:val="64"/>
        </w:rPr>
        <w:t>AnarBib</w:t>
      </w:r>
    </w:p>
    <w:p>
      <w:pPr>
        <w:spacing w:after="80"/>
        <w:jc w:val="center"/>
      </w:pPr>
      <w:r>
        <w:rPr>
          <w:rFonts w:ascii="Calibri" w:hAnsi="Calibri"/>
          <w:b/>
          <w:i w:val="0"/>
          <w:color w:val="445577"/>
          <w:sz w:val="44"/>
        </w:rPr>
        <w:t>Grand Livre blanc stratégique v17</w:t>
      </w:r>
    </w:p>
    <w:p>
      <w:pPr>
        <w:spacing w:after="360"/>
        <w:jc w:val="center"/>
      </w:pPr>
      <w:r>
        <w:rPr>
          <w:rFonts w:ascii="Calibri" w:hAnsi="Calibri"/>
          <w:b w:val="0"/>
          <w:i/>
          <w:color w:val="445577"/>
          <w:sz w:val="28"/>
        </w:rPr>
        <w:t>Refonte structurelle franche</w:t>
      </w:r>
    </w:p>
    <w:p>
      <w:pPr>
        <w:spacing w:after="360"/>
        <w:jc w:val="center"/>
      </w:pPr>
      <w:r>
        <w:rPr>
          <w:rFonts w:ascii="Calibri" w:hAnsi="Calibri"/>
          <w:b w:val="0"/>
          <w:i w:val="0"/>
          <w:color w:val="202020"/>
          <w:sz w:val="26"/>
        </w:rPr>
        <w:t>29 mai 2026</w:t>
      </w:r>
    </w:p>
    <w:p>
      <w:pPr>
        <w:spacing w:after="160"/>
        <w:jc w:val="both"/>
      </w:pPr>
      <w:r>
        <w:rPr>
          <w:rFonts w:ascii="Calibri" w:hAnsi="Calibri"/>
          <w:b w:val="0"/>
          <w:i/>
          <w:color w:val="202020"/>
          <w:sz w:val="22"/>
        </w:rPr>
        <w:t>Le v16 du 27 mai était la troisième superposition d'addenda sur la colonne vertébrale de la v14. Plus de huit jours et un nouveau dump SQL après lui, ce v17 prend acte que la méthode parité+audit est désormais la manière de travailler du projet, et reprend en main la forme du Livre blanc. Il remet à plat l'agencement en cinq parties — politique, doctrines, cartographie chiffrée, avancement, méthode — sans détruire la précieuse argumentation accumulée, mais en l'organisant cette fois autour de son public visé : la communauté militante destinataire de la présentation FICEDL de septembre 2026 d'une part, les contributeurs et lectrices techniques d'autre part. Les acquis doctrinaux du chantier-cadre Painel (chapitre 0 du v16, item_status / workflow_stage) et du chantier mobile (trois décisions doctrinales du 28/05) sont inscrits définitivement, rejoignant la doctrine RPC v3 nuancée et la doctrine création d'objets sécurisés v2 dans la deuxième partie. La cartographie technique est actualisée sur un nouveau dump SQL pris le 28 mai 2026.</w:t>
      </w:r>
    </w:p>
    <w:p>
      <w:r>
        <w:br w:type="page"/>
      </w:r>
    </w:p>
    <w:p>
      <w:pPr>
        <w:spacing w:before="360" w:after="120"/>
      </w:pPr>
      <w:r>
        <w:rPr>
          <w:rFonts w:ascii="Calibri" w:hAnsi="Calibri"/>
          <w:b/>
          <w:i w:val="0"/>
          <w:color w:val="1F2E55"/>
          <w:sz w:val="36"/>
        </w:rPr>
        <w:t>Sommaire</w:t>
      </w:r>
    </w:p>
    <w:p>
      <w:r>
        <w:rPr>
          <w:rFonts w:ascii="Calibri" w:hAnsi="Calibri"/>
          <w:b w:val="0"/>
          <w:i w:val="0"/>
          <w:color w:val="202020"/>
          <w:sz w:val="24"/>
        </w:rPr>
        <w:t>I.   Positionnement politique et stratégique</w:t>
      </w:r>
    </w:p>
    <w:p>
      <w:r>
        <w:rPr>
          <w:rFonts w:ascii="Calibri" w:hAnsi="Calibri"/>
          <w:b w:val="0"/>
          <w:i w:val="0"/>
          <w:color w:val="202020"/>
          <w:sz w:val="24"/>
        </w:rPr>
        <w:t>II.  Doctrines transverses inscrites</w:t>
      </w:r>
    </w:p>
    <w:p>
      <w:r>
        <w:rPr>
          <w:rFonts w:ascii="Calibri" w:hAnsi="Calibri"/>
          <w:b w:val="0"/>
          <w:i w:val="0"/>
          <w:color w:val="202020"/>
          <w:sz w:val="24"/>
        </w:rPr>
        <w:t>III. Cartographie technique chiffrée (dump du 28 mai 2026)</w:t>
      </w:r>
    </w:p>
    <w:p>
      <w:r>
        <w:rPr>
          <w:rFonts w:ascii="Calibri" w:hAnsi="Calibri"/>
          <w:b w:val="0"/>
          <w:i w:val="0"/>
          <w:color w:val="202020"/>
          <w:sz w:val="24"/>
        </w:rPr>
        <w:t>IV.  État d'avancement et séquencement</w:t>
      </w:r>
    </w:p>
    <w:p>
      <w:r>
        <w:rPr>
          <w:rFonts w:ascii="Calibri" w:hAnsi="Calibri"/>
          <w:b w:val="0"/>
          <w:i w:val="0"/>
          <w:color w:val="202020"/>
          <w:sz w:val="24"/>
        </w:rPr>
        <w:t>V.   Méthode, notes et formule de clôture</w:t>
      </w:r>
    </w:p>
    <w:p>
      <w:r>
        <w:br w:type="page"/>
      </w:r>
    </w:p>
    <w:p>
      <w:pPr>
        <w:spacing w:before="360" w:after="120"/>
      </w:pPr>
      <w:r>
        <w:rPr>
          <w:rFonts w:ascii="Calibri" w:hAnsi="Calibri"/>
          <w:b/>
          <w:i w:val="0"/>
          <w:color w:val="1F2E55"/>
          <w:sz w:val="36"/>
        </w:rPr>
        <w:t>I. Positionnement politique et stratégique</w:t>
      </w:r>
    </w:p>
    <w:p>
      <w:pPr>
        <w:jc w:val="both"/>
      </w:pPr>
      <w:r>
        <w:rPr>
          <w:rFonts w:ascii="Calibri" w:hAnsi="Calibri"/>
          <w:b w:val="0"/>
          <w:i/>
          <w:color w:val="202020"/>
          <w:sz w:val="22"/>
        </w:rPr>
        <w:t>Cette première partie est destinée aux camarades et collectifs qui rencontreront AnarBib pour la première fois, et à toute personne qui veut comprendre les choix politiques fondateurs avant de plonger dans les chiffres et les chantiers. Elle est volontairement rédigée sans jargon technique. Les autres parties s'adressent à un public plus spécialisé — contributeurs, lectrices techniques, mainteneurs.</w:t>
      </w:r>
    </w:p>
    <w:p>
      <w:pPr>
        <w:spacing w:before="240" w:after="80"/>
      </w:pPr>
      <w:r>
        <w:rPr>
          <w:rFonts w:ascii="Calibri" w:hAnsi="Calibri"/>
          <w:b/>
          <w:i w:val="0"/>
          <w:color w:val="445577"/>
          <w:sz w:val="30"/>
        </w:rPr>
        <w:t>I.1 — Ce qu'AnarBib est</w:t>
      </w:r>
    </w:p>
    <w:p>
      <w:pPr>
        <w:jc w:val="both"/>
      </w:pPr>
      <w:r>
        <w:rPr>
          <w:rFonts w:ascii="Calibri" w:hAnsi="Calibri"/>
          <w:b w:val="0"/>
          <w:i w:val="0"/>
          <w:color w:val="202020"/>
          <w:sz w:val="22"/>
        </w:rPr>
        <w:t>AnarBib est un SIGB (système intégré de gestion de bibliothèque) libre, conçu et porté par et pour les bibliothèques militantes anarchistes. Il existe parce que les outils de bibliothéconomie professionnels disponibles aujourd'hui sont conçus pour des institutions publiques ou privées qui n'ont pas les mêmes valeurs, les mêmes modèles de coordination, ni les mêmes besoins de sécurité que des collectifs autonomes. Ces outils — Koha, PMB, et leurs équivalents commerciaux — sont solides techniquement mais structurellement inadaptés à un réseau de bibliothèques fédéré sans hiérarchie, sans tutelle, sans bailleur, sans direction centrale.</w:t>
      </w:r>
    </w:p>
    <w:p>
      <w:pPr>
        <w:jc w:val="both"/>
      </w:pPr>
      <w:r>
        <w:rPr>
          <w:rFonts w:ascii="Calibri" w:hAnsi="Calibri"/>
          <w:b w:val="0"/>
          <w:i w:val="0"/>
          <w:color w:val="202020"/>
          <w:sz w:val="22"/>
        </w:rPr>
        <w:t>AnarBib est une fédération de collectifs autonomes, pas un outil livré à des clients. Il a aujourd'hui un seul membre formel — la Biblioteca Libertária Maxwell Ferreira (BLMF), collectif CCLA de Belém do Pará — et un partenaire de test, la Bibliothèque du Travail Libre (BTL). Cent cinq autres bibliothèques et collectifs libertaires sont recensés (vingt-quatre pays, cinq continents) comme cibles ou partenaires potentiels. Le réseau est ouvert et appelé à grandir, mais à un rythme qui permet à chaque collectif d'arriver dans des conditions matériellement saines.</w:t>
      </w:r>
    </w:p>
    <w:p>
      <w:pPr>
        <w:spacing w:before="240" w:after="80"/>
      </w:pPr>
      <w:r>
        <w:rPr>
          <w:rFonts w:ascii="Calibri" w:hAnsi="Calibri"/>
          <w:b/>
          <w:i w:val="0"/>
          <w:color w:val="445577"/>
          <w:sz w:val="30"/>
        </w:rPr>
        <w:t>I.2 — Ce qu'AnarBib refuse</w:t>
      </w:r>
    </w:p>
    <w:p>
      <w:pPr>
        <w:jc w:val="both"/>
      </w:pPr>
      <w:r>
        <w:rPr>
          <w:rFonts w:ascii="Calibri" w:hAnsi="Calibri"/>
          <w:b w:val="0"/>
          <w:i w:val="0"/>
          <w:color w:val="202020"/>
          <w:sz w:val="22"/>
        </w:rPr>
        <w:t>Trois refus politiques structurants orientent toute décision technique du projet. Ils ne sont pas posés a priori mais ont émergé en pratique, chacun à partir d'une situation concrète où il aurait été plus simple de ne pas les tenir.</w:t>
      </w:r>
    </w:p>
    <w:p>
      <w:pPr>
        <w:spacing w:before="160" w:after="40"/>
      </w:pPr>
      <w:r>
        <w:rPr>
          <w:rFonts w:ascii="Calibri" w:hAnsi="Calibri"/>
          <w:b/>
          <w:i w:val="0"/>
          <w:color w:val="445577"/>
          <w:sz w:val="26"/>
        </w:rPr>
        <w:t>Refus de la traçabilité marchande des usager·es</w:t>
      </w:r>
    </w:p>
    <w:p>
      <w:pPr>
        <w:jc w:val="both"/>
      </w:pPr>
      <w:r>
        <w:rPr>
          <w:rFonts w:ascii="Calibri" w:hAnsi="Calibri"/>
          <w:b w:val="0"/>
          <w:i w:val="0"/>
          <w:color w:val="202020"/>
          <w:sz w:val="22"/>
        </w:rPr>
        <w:t>Le bug fondateur du 6 mai 2026 — les logos cassés dans les mails archivés (BUG_LOGOS_BREVO_TRACKER) — a révélé que Brevo, l'opérateur mail utilisé, traçait chaque lien via un domaine technique (sendibt3.com) inaccessible aux usager·es connecté·es par VPN ou par navigateur anti-tracking. Cette traçabilité n'était pas un bug : c'était l'architecture standard. La migration vers Resend, qui ne trace pas par défaut, n'est pas un choix opérationnel mais une décision politique : un·e lectrice anarchiste ne doit pas être tracé·e dans son rapport à sa bibliothèque, ni par un opérateur commercial, ni par un État, ni par AnarBib lui-même. Cette décision s'étend mécaniquement à tous les choix d'infrastructure du projet — Codeberg plutôt que GitHub comme dépôt principal, Supabase en région sa-east-1 plutôt qu'eu-west jusqu'à étude d'une migration européenne, absence de tracker dans l'application elle-même, refus de l'OAuth GAFAM (acté à zéro jour-homme dans le préparatif Bologne, #BG5).</w:t>
      </w:r>
    </w:p>
    <w:p>
      <w:pPr>
        <w:spacing w:before="160" w:after="40"/>
      </w:pPr>
      <w:r>
        <w:rPr>
          <w:rFonts w:ascii="Calibri" w:hAnsi="Calibri"/>
          <w:b/>
          <w:i w:val="0"/>
          <w:color w:val="445577"/>
          <w:sz w:val="26"/>
        </w:rPr>
        <w:t>Refus de la méga-machine au profit du canal humain</w:t>
      </w:r>
    </w:p>
    <w:p>
      <w:pPr>
        <w:jc w:val="both"/>
      </w:pPr>
      <w:r>
        <w:rPr>
          <w:rFonts w:ascii="Calibri" w:hAnsi="Calibri"/>
          <w:b w:val="0"/>
          <w:i w:val="0"/>
          <w:color w:val="202020"/>
          <w:sz w:val="22"/>
        </w:rPr>
        <w:t>Le 20 mai 2026, à la clôture marathon du chantier profils d'adoption (#98), une riflexion a inscrit en doctrine ce que le projet faisait déjà en pratique : le canal humain doit rester premier. Les guides automatisés, les wizards d'onboarding, les générateurs de PDF règlement sont des appuis utiles mais ne doivent jamais se substituer à un échange direct entre humain·es. Un·e camarade qui cherche à rejoindre le réseau doit pouvoir écrire à un·e admin réseau et recevoir une réponse, pas seulement remplir un formulaire et attendre une décision automatique. La doctrine anti-méga-machine est inscrite depuis dans spec-onboarding-biblioteca v2.0 (§1.4, §5.7, §6.5, §6.6, annexe Émile-Henry) et spec-administrateur-reseau v0.4 (préambule, §4.7, §8.8). Cinq items du backlog (#MM1 à #MM5) propagent la doctrine sur les composants existants — banners, footer global, encadrés inline, page /conversemos.</w:t>
      </w:r>
    </w:p>
    <w:p>
      <w:pPr>
        <w:spacing w:before="160" w:after="40"/>
      </w:pPr>
      <w:r>
        <w:rPr>
          <w:rFonts w:ascii="Calibri" w:hAnsi="Calibri"/>
          <w:b/>
          <w:i w:val="0"/>
          <w:color w:val="445577"/>
          <w:sz w:val="26"/>
        </w:rPr>
        <w:t>Refus de la fausse fermeture</w:t>
      </w:r>
    </w:p>
    <w:p>
      <w:pPr>
        <w:jc w:val="both"/>
      </w:pPr>
      <w:r>
        <w:rPr>
          <w:rFonts w:ascii="Calibri" w:hAnsi="Calibri"/>
          <w:b w:val="0"/>
          <w:i w:val="0"/>
          <w:color w:val="202020"/>
          <w:sz w:val="22"/>
        </w:rPr>
        <w:t>Le chapitre 9 du Livre blanc v14 a inscrit comme ligne rouge : aucune fermeture de chantier ne peut être déclarée avant audit frontend explicite. Cette doctrine s'est avérée structurante. Elle a directement engendré la méthode parité+audit, qui consiste à auditer une grande page de l'application (Biblioteca, puis Painel, bientôt Importações et Catalogação) sur trois axes simultanément : parité fonctionnelle (le frontend expose-t-il ce que le backend permet ?), parité qualitative (l'expérience d'usage est-elle cohérente ?), audit doctrinal (les décisions politiques et techniques tacites sont-elles inscrites quelque part ?). Cette méthode est désormais le mode de travail majeur du projet. Elle est lente — six mois calendaires estimés pour les quatre grandes pages — mais elle produit du commun robuste, plutôt que de la fermeture déclarative.</w:t>
      </w:r>
    </w:p>
    <w:p>
      <w:pPr>
        <w:spacing w:before="240" w:after="80"/>
      </w:pPr>
      <w:r>
        <w:rPr>
          <w:rFonts w:ascii="Calibri" w:hAnsi="Calibri"/>
          <w:b/>
          <w:i w:val="0"/>
          <w:color w:val="445577"/>
          <w:sz w:val="30"/>
        </w:rPr>
        <w:t>I.3 — Méthode comme acte politique</w:t>
      </w:r>
    </w:p>
    <w:p>
      <w:pPr>
        <w:jc w:val="both"/>
      </w:pPr>
      <w:r>
        <w:rPr>
          <w:rFonts w:ascii="Calibri" w:hAnsi="Calibri"/>
          <w:b w:val="0"/>
          <w:i w:val="0"/>
          <w:color w:val="202020"/>
          <w:sz w:val="22"/>
        </w:rPr>
        <w:t>La méthode parité+audit n'est pas un protocole d'ingénierie pris à l'industrie et appliqué à un projet militant. C'est l'inverse. Elle est née d'une exigence politique — refuser la fausse fermeture, ne pas tromper les usager·es sur l'état réel de l'outil — et a pris la forme technique qui lui correspond le mieux : audit factuel, écart par écart, arbitrage en amont, fermeture par lots. Chaque chantier-cadre se conclut par l'inscription d'au moins une doctrine transverse, parce que l'expérience montre qu'un chantier qui ne produit que du code laisse les mêmes confusions resurgir trois mois plus tard. Le chantier-cadre Biblioteca a inscrit la doctrine RPC v3 nuancée et a explicité deux refontes tacites (EA-04 négociation symétrique des créneaux, EA-18 onglets identité et communication). Le chantier-cadre Painel a inscrit le chapitre 0 (double nomenclature item_status / workflow_stage). Le chantier mobile a inscrit trois décisions doctrinales (capacité activable, laissez-passer détachable, PWA mono-codebase sans tracker). Ces doctrines sont accumulables ; elles forment un corpus.</w:t>
      </w:r>
    </w:p>
    <w:p>
      <w:pPr>
        <w:spacing w:before="240" w:after="80"/>
      </w:pPr>
      <w:r>
        <w:rPr>
          <w:rFonts w:ascii="Calibri" w:hAnsi="Calibri"/>
          <w:b/>
          <w:i w:val="0"/>
          <w:color w:val="445577"/>
          <w:sz w:val="30"/>
        </w:rPr>
        <w:t>I.4 — Présentation à Bologne — étape, pas deadline</w:t>
      </w:r>
    </w:p>
    <w:p>
      <w:pPr>
        <w:jc w:val="both"/>
      </w:pPr>
      <w:r>
        <w:rPr>
          <w:rFonts w:ascii="Calibri" w:hAnsi="Calibri"/>
          <w:b w:val="0"/>
          <w:i w:val="0"/>
          <w:color w:val="202020"/>
          <w:sz w:val="22"/>
        </w:rPr>
        <w:t>La présentation au FICEDL de Bologne en septembre 2026 est une étape revendiquée, non une deadline imposée. AnarBib y sera présenté pour ce qu'il est : un commun en construction, avec ses environ 95 % d'avancement mesuré, ses chantiers ouverts, ses arbitrages en cours. La méthode parité+audit est elle-même présentable comme un acte de transparence libertaire — dire que cinq écarts ont été identifiés et arbitrés sur la page Biblioteca est plus crédible que dire qu'elle est terminée. L'humilité chiffrée est la doctrine de présentation : dire « 65 % » plutôt que « 90 % » gagne en crédibilité. La méthode elle-même devient un argument politique, pas seulement un instrument.</w:t>
      </w:r>
    </w:p>
    <w:p>
      <w:pPr>
        <w:spacing w:before="240" w:after="80"/>
      </w:pPr>
      <w:r>
        <w:rPr>
          <w:rFonts w:ascii="Calibri" w:hAnsi="Calibri"/>
          <w:b/>
          <w:i w:val="0"/>
          <w:color w:val="445577"/>
          <w:sz w:val="30"/>
        </w:rPr>
        <w:t>I.5 — Carte-lecteur : un artefact politique pour Bologne</w:t>
      </w:r>
    </w:p>
    <w:p>
      <w:pPr>
        <w:jc w:val="both"/>
      </w:pPr>
      <w:r>
        <w:rPr>
          <w:rFonts w:ascii="Calibri" w:hAnsi="Calibri"/>
          <w:b w:val="0"/>
          <w:i w:val="0"/>
          <w:color w:val="202020"/>
          <w:sz w:val="22"/>
        </w:rPr>
        <w:t>La carte-lecteur, livrée en production le 28 mai 2026 dans sa phase β (génération + révocation), est un objet présentable à Bologne au coût politique minimal. C'est un laissez-passer détachable, révocable et inerte hors scan staff : la carte ne donne pas accès au compte, ne porte pas de secret de session, encode un pointeur opaque, peut être révoquée à tout moment par sa porteuse. La génération elle-même reste optionnelle (un·e lecteur·rice particulièrement exposé·e peut décider de ne jamais en générer). Cette posture matérialise dans un artefact concret la doctrine de sécurité libertaire d'AnarBib : la sécurité parfaite n'existe pas ; la transparence sur ce qu'on protège et ce qu'on ne protège pas, oui.</w:t>
      </w:r>
    </w:p>
    <w:p>
      <w:r>
        <w:br w:type="page"/>
      </w:r>
    </w:p>
    <w:p>
      <w:pPr>
        <w:spacing w:before="360" w:after="120"/>
      </w:pPr>
      <w:r>
        <w:rPr>
          <w:rFonts w:ascii="Calibri" w:hAnsi="Calibri"/>
          <w:b/>
          <w:i w:val="0"/>
          <w:color w:val="1F2E55"/>
          <w:sz w:val="36"/>
        </w:rPr>
        <w:t>II. Doctrines transverses inscrites</w:t>
      </w:r>
    </w:p>
    <w:p>
      <w:pPr>
        <w:jc w:val="both"/>
      </w:pPr>
      <w:r>
        <w:rPr>
          <w:rFonts w:ascii="Calibri" w:hAnsi="Calibri"/>
          <w:b w:val="0"/>
          <w:i/>
          <w:color w:val="202020"/>
          <w:sz w:val="22"/>
        </w:rPr>
        <w:t xml:space="preserve">Cette seconde partie regroupe les doctrines transverses inscrites au fil des chantiers du projet et qui orientent désormais toute décision technique nouvelle. Les doctrines présentes ici sont définitives : une fois inscrite dans le Livre blanc, une doctrine n'est plus reformulée chaque fois qu'elle est invoquée, elle est référencée. Toute modification doctrinale ultérieure passe par un amendement explicite tracé dans le dossier </w:t>
      </w:r>
    </w:p>
    <w:p>
      <w:pPr>
        <w:jc w:val="both"/>
      </w:pPr>
      <w:r>
        <w:rPr>
          <w:rFonts w:ascii="Calibri" w:hAnsi="Calibri"/>
          <w:b w:val="0"/>
          <w:i/>
          <w:color w:val="202020"/>
          <w:sz w:val="22"/>
        </w:rPr>
        <w:t>decisions/.</w:t>
      </w:r>
    </w:p>
    <w:p>
      <w:pPr>
        <w:spacing w:before="240" w:after="80"/>
      </w:pPr>
      <w:r>
        <w:rPr>
          <w:rFonts w:ascii="Calibri" w:hAnsi="Calibri"/>
          <w:b/>
          <w:i w:val="0"/>
          <w:color w:val="445577"/>
          <w:sz w:val="30"/>
        </w:rPr>
        <w:t>II.1 — Doctrine de la double nomenclature item_status / workflow_stage</w:t>
      </w:r>
    </w:p>
    <w:p>
      <w:pPr>
        <w:jc w:val="both"/>
      </w:pPr>
      <w:r>
        <w:rPr>
          <w:rFonts w:ascii="Calibri" w:hAnsi="Calibri"/>
          <w:b w:val="0"/>
          <w:i w:val="0"/>
          <w:color w:val="202020"/>
          <w:sz w:val="22"/>
        </w:rPr>
        <w:t>Originaire du chantier-cadre Painel (EA-06), inscrite au chapitre 0 du Livre blanc v16 et reconduite ici comme première doctrine fondamentale. Toute ligne de circulation (réservation, consultation locale, emprunt) porte deux axes d'état orthogonaux.</w:t>
      </w:r>
    </w:p>
    <w:p>
      <w:pPr>
        <w:spacing w:before="160" w:after="40"/>
      </w:pPr>
      <w:r>
        <w:rPr>
          <w:rFonts w:ascii="Calibri" w:hAnsi="Calibri"/>
          <w:b/>
          <w:i w:val="0"/>
          <w:color w:val="445577"/>
          <w:sz w:val="26"/>
        </w:rPr>
        <w:t>Les deux axes</w:t>
      </w:r>
    </w:p>
    <w:p>
      <w:pPr>
        <w:jc w:val="both"/>
      </w:pPr>
      <w:r>
        <w:rPr>
          <w:rFonts w:ascii="Calibri" w:hAnsi="Calibri"/>
          <w:b w:val="0"/>
          <w:i w:val="0"/>
          <w:color w:val="202020"/>
          <w:sz w:val="22"/>
        </w:rPr>
        <w:t>item_status — issue de la demande (axe vie / mort de la ligne). C'est l'état de cycle de vie de la ligne, contrôlé par CHECK constraint en base. Une ligne est nécessairement dans un et un seul de ces états, et leurs transitions sont strictement gardées par la base elle-même. L'item_status répond à la question : « cette demande est-elle vivante ? a-t-elle abouti ? est-elle morte ? »</w:t>
      </w:r>
    </w:p>
    <w:p>
      <w:pPr>
        <w:jc w:val="both"/>
      </w:pPr>
      <w:r>
        <w:rPr>
          <w:rFonts w:ascii="Calibri" w:hAnsi="Calibri"/>
          <w:b w:val="0"/>
          <w:i w:val="0"/>
          <w:color w:val="202020"/>
          <w:sz w:val="22"/>
        </w:rPr>
        <w:t>workflow_stage — état d'avancement (axe intra-vie de la ligne). C'est l'étape métier en cours, sans CHECK en base. La colonne est de type texte avec un DEFAULT à la valeur d'entrée du workflow, et les transitions autorisées sont contrôlées par des fonctions de validation applicative (fn_check_workflow_transition pour les réservations, fn_check_consulta_transition pour les consultations). Le workflow_stage répond à la question : « où en est-on dans le déroulé concret de la demande encore vivante ? »</w:t>
      </w:r>
    </w:p>
    <w:p>
      <w:pPr>
        <w:spacing w:before="160" w:after="40"/>
      </w:pPr>
      <w:r>
        <w:rPr>
          <w:rFonts w:ascii="Calibri" w:hAnsi="Calibri"/>
          <w:b/>
          <w:i w:val="0"/>
          <w:color w:val="445577"/>
          <w:sz w:val="26"/>
        </w:rPr>
        <w:t>Trois règles dérivées</w:t>
      </w:r>
    </w:p>
    <w:p>
      <w:pPr>
        <w:jc w:val="both"/>
      </w:pPr>
      <w:r>
        <w:rPr>
          <w:rFonts w:ascii="Calibri" w:hAnsi="Calibri"/>
          <w:b w:val="0"/>
          <w:i w:val="0"/>
          <w:color w:val="202020"/>
          <w:sz w:val="22"/>
        </w:rPr>
        <w:t>Pour les écrans, les RPC et les mails, AnarBib respecte trois règles :</w:t>
      </w:r>
    </w:p>
    <w:p>
      <w:pPr>
        <w:ind w:left="283"/>
        <w:jc w:val="both"/>
      </w:pPr>
      <w:r>
        <w:rPr>
          <w:rFonts w:ascii="Calibri" w:hAnsi="Calibri"/>
          <w:b/>
          <w:i w:val="0"/>
          <w:color w:val="202020"/>
          <w:sz w:val="22"/>
        </w:rPr>
        <w:t xml:space="preserve">Filtrage en deux temps. </w:t>
      </w:r>
      <w:r>
        <w:rPr>
          <w:rFonts w:ascii="Calibri" w:hAnsi="Calibri"/>
          <w:b w:val="0"/>
          <w:i w:val="0"/>
          <w:color w:val="202020"/>
          <w:sz w:val="22"/>
        </w:rPr>
        <w:t>Un filtre « actives » filtre par item_status = 'ativa'. Si l'écran veut isoler les actives encore en début de parcours, il filtre en plus par workflow_stage IN (...). L'item_status seul ne classe pas un parcours par avancement.</w:t>
      </w:r>
    </w:p>
    <w:p>
      <w:pPr>
        <w:ind w:left="283"/>
        <w:jc w:val="both"/>
      </w:pPr>
      <w:r>
        <w:rPr>
          <w:rFonts w:ascii="Calibri" w:hAnsi="Calibri"/>
          <w:b/>
          <w:i w:val="0"/>
          <w:color w:val="202020"/>
          <w:sz w:val="22"/>
        </w:rPr>
        <w:t xml:space="preserve">Mails et notifications. </w:t>
      </w:r>
      <w:r>
        <w:rPr>
          <w:rFonts w:ascii="Calibri" w:hAnsi="Calibri"/>
          <w:b w:val="0"/>
          <w:i w:val="0"/>
          <w:color w:val="202020"/>
          <w:sz w:val="22"/>
        </w:rPr>
        <w:t>Le sujet et l'attaque d'un mail sont déterminés par le workflow_stage (« votre retrait a été planifié »), tandis que la mention finale d'état (« cette demande reste active jusqu'à confirmation ») est déterminée par l'item_status. Mélanger les deux axes produit des phrases incohérentes.</w:t>
      </w:r>
    </w:p>
    <w:p>
      <w:pPr>
        <w:ind w:left="283"/>
        <w:jc w:val="both"/>
      </w:pPr>
      <w:r>
        <w:rPr>
          <w:rFonts w:ascii="Calibri" w:hAnsi="Calibri"/>
          <w:b/>
          <w:i w:val="0"/>
          <w:color w:val="202020"/>
          <w:sz w:val="22"/>
        </w:rPr>
        <w:t xml:space="preserve">Vocabulaire utilisateur. </w:t>
      </w:r>
      <w:r>
        <w:rPr>
          <w:rFonts w:ascii="Calibri" w:hAnsi="Calibri"/>
          <w:b w:val="0"/>
          <w:i w:val="0"/>
          <w:color w:val="202020"/>
          <w:sz w:val="22"/>
        </w:rPr>
        <w:t>Les libellés d'écran reflètent l'axe sémantique exact. « Active » et « en cours » se réfèrent à l'item_status ; « en attente de retrait », « consultation planifiée », « non retirée » se réfèrent au workflow_stage.</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Doctrine I (transversale, actée 27/05/2026 au chantier-cadre Painel EA-06).</w:t>
            </w:r>
          </w:p>
          <w:p>
            <w:pPr>
              <w:spacing w:after="80"/>
              <w:jc w:val="both"/>
            </w:pPr>
            <w:r>
              <w:rPr>
                <w:rFonts w:ascii="Calibri" w:hAnsi="Calibri"/>
                <w:color w:val="202020"/>
                <w:sz w:val="21"/>
              </w:rPr>
              <w:t>AnarBib distingue strictement, pour toute ligne de circulation, deux axes orthogonaux : item_status (CHECK en base) qui répond à la question de l'issue de la demande, et workflow_stage (matrice applicative) qui répond à la question de l'avancement. Les écrans, RPC et mails respectent en toutes circonstances la dualité des deux axes.</w:t>
            </w:r>
          </w:p>
        </w:tc>
      </w:tr>
    </w:tbl>
    <w:p>
      <w:pPr>
        <w:spacing w:after="80"/>
      </w:pPr>
      <w:r>
        <w:rPr>
          <w:rFonts w:ascii="Calibri" w:hAnsi="Calibri"/>
          <w:b w:val="0"/>
          <w:i w:val="0"/>
          <w:color w:val="202020"/>
          <w:sz w:val="22"/>
        </w:rPr>
      </w:r>
    </w:p>
    <w:p>
      <w:pPr>
        <w:spacing w:before="240" w:after="80"/>
      </w:pPr>
      <w:r>
        <w:rPr>
          <w:rFonts w:ascii="Calibri" w:hAnsi="Calibri"/>
          <w:b/>
          <w:i w:val="0"/>
          <w:color w:val="445577"/>
          <w:sz w:val="30"/>
        </w:rPr>
        <w:t>II.2 — Doctrine RPC v3 nuancée</w:t>
      </w:r>
    </w:p>
    <w:p>
      <w:pPr>
        <w:jc w:val="both"/>
      </w:pPr>
      <w:r>
        <w:rPr>
          <w:rFonts w:ascii="Calibri" w:hAnsi="Calibri"/>
          <w:b w:val="0"/>
          <w:i w:val="0"/>
          <w:color w:val="202020"/>
          <w:sz w:val="22"/>
        </w:rPr>
        <w:t>Originaire du chantier-cadre Biblioteca (EA-00), actée 21 mai 2026, déjà inscrite au chapitre 9 bis du v15. Reconduite ici. Trois règles délimitent l'accès du frontend à la base.</w:t>
      </w:r>
    </w:p>
    <w:p>
      <w:pPr>
        <w:ind w:left="283"/>
        <w:jc w:val="both"/>
      </w:pPr>
      <w:r>
        <w:rPr>
          <w:rFonts w:ascii="Calibri" w:hAnsi="Calibri"/>
          <w:b/>
          <w:i w:val="0"/>
          <w:color w:val="202020"/>
          <w:sz w:val="22"/>
        </w:rPr>
        <w:t xml:space="preserve">(1) RPC obligatoire pour les actions DB. </w:t>
      </w:r>
      <w:r>
        <w:rPr>
          <w:rFonts w:ascii="Calibri" w:hAnsi="Calibri"/>
          <w:b w:val="0"/>
          <w:i w:val="0"/>
          <w:color w:val="202020"/>
          <w:sz w:val="22"/>
        </w:rPr>
        <w:t>Toute écriture (insert, update, delete), toute opération multi-tables, toute opération portant une validation métier passe impérativement par une RPC. Le frontend n'écrit jamais en base par appel direct.</w:t>
      </w:r>
    </w:p>
    <w:p>
      <w:pPr>
        <w:ind w:left="283"/>
        <w:jc w:val="both"/>
      </w:pPr>
      <w:r>
        <w:rPr>
          <w:rFonts w:ascii="Calibri" w:hAnsi="Calibri"/>
          <w:b/>
          <w:i w:val="0"/>
          <w:color w:val="202020"/>
          <w:sz w:val="22"/>
        </w:rPr>
        <w:t xml:space="preserve">(2) Lecture simple autorisée en accès direct. </w:t>
      </w:r>
      <w:r>
        <w:rPr>
          <w:rFonts w:ascii="Calibri" w:hAnsi="Calibri"/>
          <w:b w:val="0"/>
          <w:i w:val="0"/>
          <w:color w:val="202020"/>
          <w:sz w:val="22"/>
        </w:rPr>
        <w:t>Une lecture simple, protégée par une politique RLS, peut se faire par supabase.from() sans passer par une RPC. Alourdir les lectures triviales d'une couche RPC n'apporte aucune sécurité supplémentaire dès lors que la RLS filtre déjà.</w:t>
      </w:r>
    </w:p>
    <w:p>
      <w:pPr>
        <w:ind w:left="283"/>
        <w:jc w:val="both"/>
      </w:pPr>
      <w:r>
        <w:rPr>
          <w:rFonts w:ascii="Calibri" w:hAnsi="Calibri"/>
          <w:b/>
          <w:i w:val="0"/>
          <w:color w:val="202020"/>
          <w:sz w:val="22"/>
        </w:rPr>
        <w:t xml:space="preserve">(3) Storage hors périmètre. </w:t>
      </w:r>
      <w:r>
        <w:rPr>
          <w:rFonts w:ascii="Calibri" w:hAnsi="Calibri"/>
          <w:b w:val="0"/>
          <w:i w:val="0"/>
          <w:color w:val="202020"/>
          <w:sz w:val="22"/>
        </w:rPr>
        <w:t>supabase.storage.from() relève de l'API native de Storage : il est hors du périmètre de la doctrine RPC.</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Doctrine II (transversale, actée 21/05/2026 au chantier-cadre Biblioteca EA-00).</w:t>
            </w:r>
          </w:p>
          <w:p>
            <w:pPr>
              <w:spacing w:after="80"/>
              <w:jc w:val="both"/>
            </w:pPr>
            <w:r>
              <w:rPr>
                <w:rFonts w:ascii="Calibri" w:hAnsi="Calibri"/>
                <w:color w:val="202020"/>
                <w:sz w:val="21"/>
              </w:rPr>
              <w:t>RPC obligatoire pour les écritures et les opérations à validation métier. Lecture directe par supabase.from() autorisée quand la RLS protège déjà. Storage hors périmètre. Cette doctrine concentre l'effort de sécurité sur les opérations risquées plutôt que de ritualiser un passage par RPC sur des lectures sans enjeu.</w:t>
            </w:r>
          </w:p>
        </w:tc>
      </w:tr>
    </w:tbl>
    <w:p>
      <w:pPr>
        <w:spacing w:after="80"/>
      </w:pPr>
      <w:r>
        <w:rPr>
          <w:rFonts w:ascii="Calibri" w:hAnsi="Calibri"/>
          <w:b w:val="0"/>
          <w:i w:val="0"/>
          <w:color w:val="202020"/>
          <w:sz w:val="22"/>
        </w:rPr>
      </w:r>
    </w:p>
    <w:p>
      <w:pPr>
        <w:spacing w:before="240" w:after="80"/>
      </w:pPr>
      <w:r>
        <w:rPr>
          <w:rFonts w:ascii="Calibri" w:hAnsi="Calibri"/>
          <w:b/>
          <w:i w:val="0"/>
          <w:color w:val="445577"/>
          <w:sz w:val="30"/>
        </w:rPr>
        <w:t>II.3 — Doctrine de création d'objets PostgreSQL sécurisés (v2)</w:t>
      </w:r>
    </w:p>
    <w:p>
      <w:pPr>
        <w:jc w:val="both"/>
      </w:pPr>
      <w:r>
        <w:rPr>
          <w:rFonts w:ascii="Calibri" w:hAnsi="Calibri"/>
          <w:b w:val="0"/>
          <w:i w:val="0"/>
          <w:color w:val="202020"/>
          <w:sz w:val="22"/>
        </w:rPr>
        <w:t>Document central vivant : decisions/CHANTIER_doctrine_creation_objets_securises_2026-05-12.md. Partie I (création) issue du chantier linter L.* du 11-12/05. Partie II (audit et isolation des fonctions privées) issue du chantier #150 du 18/05. À consulter avant toute migration backend.</w:t>
      </w:r>
    </w:p>
    <w:p>
      <w:pPr>
        <w:spacing w:before="160" w:after="40"/>
      </w:pPr>
      <w:r>
        <w:rPr>
          <w:rFonts w:ascii="Calibri" w:hAnsi="Calibri"/>
          <w:b/>
          <w:i w:val="0"/>
          <w:color w:val="445577"/>
          <w:sz w:val="26"/>
        </w:rPr>
        <w:t>Règles principales</w:t>
      </w:r>
    </w:p>
    <w:p>
      <w:pPr>
        <w:ind w:left="283"/>
      </w:pPr>
      <w:r>
        <w:rPr>
          <w:rFonts w:ascii="Calibri" w:hAnsi="Calibri"/>
          <w:b w:val="0"/>
          <w:i w:val="0"/>
          <w:color w:val="202020"/>
          <w:sz w:val="22"/>
        </w:rPr>
        <w:t>• REVOKE étendu obligatoire pour les fonctions privées : FROM PUBLIC, anon, authenticated, service_role.</w:t>
      </w:r>
    </w:p>
    <w:p>
      <w:pPr>
        <w:ind w:left="283"/>
      </w:pPr>
      <w:r>
        <w:rPr>
          <w:rFonts w:ascii="Calibri" w:hAnsi="Calibri"/>
          <w:b w:val="0"/>
          <w:i w:val="0"/>
          <w:color w:val="202020"/>
          <w:sz w:val="22"/>
        </w:rPr>
        <w:t>• Triggers non-DEFINER appelant SECURITY DEFINER REVOKE-ed : patcher SECURITY DEFINER + search_path AVANT le REVOKE.</w:t>
      </w:r>
    </w:p>
    <w:p>
      <w:pPr>
        <w:ind w:left="283"/>
      </w:pPr>
      <w:r>
        <w:rPr>
          <w:rFonts w:ascii="Calibri" w:hAnsi="Calibri"/>
          <w:b w:val="0"/>
          <w:i w:val="0"/>
          <w:color w:val="202020"/>
          <w:sz w:val="22"/>
        </w:rPr>
        <w:t>• DO-block de vérification obligatoire en fin de migration (test des chemins critiques en contexte simulé anon ; RAISE EXCEPTION = auto-rollback).</w:t>
      </w:r>
    </w:p>
    <w:p>
      <w:pPr>
        <w:ind w:left="283"/>
      </w:pPr>
      <w:r>
        <w:rPr>
          <w:rFonts w:ascii="Calibri" w:hAnsi="Calibri"/>
          <w:b w:val="0"/>
          <w:i w:val="0"/>
          <w:color w:val="202020"/>
          <w:sz w:val="22"/>
        </w:rPr>
        <w:t>• Hook git pré-commit qui bloque les violations.</w:t>
      </w:r>
    </w:p>
    <w:p>
      <w:pPr>
        <w:ind w:left="283"/>
      </w:pPr>
      <w:r>
        <w:rPr>
          <w:rFonts w:ascii="Calibri" w:hAnsi="Calibri"/>
          <w:b w:val="0"/>
          <w:i w:val="0"/>
          <w:color w:val="202020"/>
          <w:sz w:val="22"/>
        </w:rPr>
        <w:t>• Faux positif documenté du hook sur SECURITY DEFINER en commentaires : bypass par --no-verify (item #80 du backlog v21).</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Doctrine III (transversale, actée 12/05/2026, complétée 18/05/2026).</w:t>
            </w:r>
          </w:p>
          <w:p>
            <w:pPr>
              <w:spacing w:after="80"/>
              <w:jc w:val="both"/>
            </w:pPr>
            <w:r>
              <w:rPr>
                <w:rFonts w:ascii="Calibri" w:hAnsi="Calibri"/>
                <w:color w:val="202020"/>
                <w:sz w:val="21"/>
              </w:rPr>
              <w:t>REVOKE étendu pour fonctions privées, triggers patchés avant REVOKE, DO-block de vérification, hook pre-commit. La doctrine est outillée et auto-vérifiée, elle ne demande plus de discipline individuelle pour être respectée. C'est l'aboutissement de la doctrine de lecture exacte v13 : la lecture exacte est devenue une exigence machine, pas seulement une exigence intellectuelle.</w:t>
            </w:r>
          </w:p>
        </w:tc>
      </w:tr>
    </w:tbl>
    <w:p>
      <w:pPr>
        <w:spacing w:after="80"/>
      </w:pPr>
      <w:r>
        <w:rPr>
          <w:rFonts w:ascii="Calibri" w:hAnsi="Calibri"/>
          <w:b w:val="0"/>
          <w:i w:val="0"/>
          <w:color w:val="202020"/>
          <w:sz w:val="22"/>
        </w:rPr>
      </w:r>
    </w:p>
    <w:p>
      <w:pPr>
        <w:spacing w:before="240" w:after="80"/>
      </w:pPr>
      <w:r>
        <w:rPr>
          <w:rFonts w:ascii="Calibri" w:hAnsi="Calibri"/>
          <w:b/>
          <w:i w:val="0"/>
          <w:color w:val="445577"/>
          <w:sz w:val="30"/>
        </w:rPr>
        <w:t>II.4 — Doctrine anti-méga-machine</w:t>
      </w:r>
    </w:p>
    <w:p>
      <w:pPr>
        <w:jc w:val="both"/>
      </w:pPr>
      <w:r>
        <w:rPr>
          <w:rFonts w:ascii="Calibri" w:hAnsi="Calibri"/>
          <w:b w:val="0"/>
          <w:i w:val="0"/>
          <w:color w:val="202020"/>
          <w:sz w:val="22"/>
        </w:rPr>
        <w:t>Document central vivant : decisions/RIFLEXION_articulation_onboarding_profils_2026-05-20.md. Émergée à la clôture du chantier profils #98. Trois principes :</w:t>
      </w:r>
    </w:p>
    <w:p>
      <w:pPr>
        <w:ind w:left="283"/>
        <w:jc w:val="both"/>
      </w:pPr>
      <w:r>
        <w:rPr>
          <w:rFonts w:ascii="Calibri" w:hAnsi="Calibri"/>
          <w:b/>
          <w:i w:val="0"/>
          <w:color w:val="202020"/>
          <w:sz w:val="22"/>
        </w:rPr>
        <w:t xml:space="preserve">(a) Le canal humain reste premier. </w:t>
      </w:r>
      <w:r>
        <w:rPr>
          <w:rFonts w:ascii="Calibri" w:hAnsi="Calibri"/>
          <w:b w:val="0"/>
          <w:i w:val="0"/>
          <w:color w:val="202020"/>
          <w:sz w:val="22"/>
        </w:rPr>
        <w:t>Tout endroit où la machine ferait sens à elle seule (formulaire d'onboarding, wizard de transition de profil, génération de PDF règlement) doit comporter un bouton « écrivez-nous pour qu'on en parle ensemble ». Les guides automatisés sont des appuis, pas des substitutifs.</w:t>
      </w:r>
    </w:p>
    <w:p>
      <w:pPr>
        <w:ind w:left="283"/>
        <w:jc w:val="both"/>
      </w:pPr>
      <w:r>
        <w:rPr>
          <w:rFonts w:ascii="Calibri" w:hAnsi="Calibri"/>
          <w:b/>
          <w:i w:val="0"/>
          <w:color w:val="202020"/>
          <w:sz w:val="22"/>
        </w:rPr>
        <w:t xml:space="preserve">(b) Les artefacts automatisés sont des objets de délibération. </w:t>
      </w:r>
      <w:r>
        <w:rPr>
          <w:rFonts w:ascii="Calibri" w:hAnsi="Calibri"/>
          <w:b w:val="0"/>
          <w:i w:val="0"/>
          <w:color w:val="202020"/>
          <w:sz w:val="22"/>
        </w:rPr>
        <w:t>Le PDF règlement n'est pas une autorité formelle qui clôt la discussion : c'est un support pour la discussion. La doctrine anti-méga-machine refuse l'effet d'autorité que produit l'apparence professionnelle d'un document généré.</w:t>
      </w:r>
    </w:p>
    <w:p>
      <w:pPr>
        <w:ind w:left="283"/>
        <w:jc w:val="both"/>
      </w:pPr>
      <w:r>
        <w:rPr>
          <w:rFonts w:ascii="Calibri" w:hAnsi="Calibri"/>
          <w:b/>
          <w:i w:val="0"/>
          <w:color w:val="202020"/>
          <w:sz w:val="22"/>
        </w:rPr>
        <w:t xml:space="preserve">(c) Le canal humain est symétrique. </w:t>
      </w:r>
      <w:r>
        <w:rPr>
          <w:rFonts w:ascii="Calibri" w:hAnsi="Calibri"/>
          <w:b w:val="0"/>
          <w:i w:val="0"/>
          <w:color w:val="202020"/>
          <w:sz w:val="22"/>
        </w:rPr>
        <w:t>Côté solicitante, le bouton « proposer un échange » s'adresse aux admins réseau. Côté admins réseau, un mécanisme symétrique permet de proposer un échange à une biblio membre. La doctrine s'applique des deux côtés du seuil d'engagement.</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Doctrine IV (transversale, actée 20/05/2026 à la clôture du chantier #98).</w:t>
            </w:r>
          </w:p>
          <w:p>
            <w:pPr>
              <w:spacing w:after="80"/>
              <w:jc w:val="both"/>
            </w:pPr>
            <w:r>
              <w:rPr>
                <w:rFonts w:ascii="Calibri" w:hAnsi="Calibri"/>
                <w:color w:val="202020"/>
                <w:sz w:val="21"/>
              </w:rPr>
              <w:t>Le canal humain reste premier. Les guides automatisés sont des appuis et non des substitutifs. Le PDF règlement est un artefact de délibération, pas une autorité formelle. Inscrite dans spec-onboarding-biblioteca v2.0 et spec-administrateur-reseau v0.4. Cinq items du backlog v21 (#MM1 à #MM5) propagent la doctrine sur les composants existants.</w:t>
            </w:r>
          </w:p>
        </w:tc>
      </w:tr>
    </w:tbl>
    <w:p>
      <w:pPr>
        <w:spacing w:after="80"/>
      </w:pPr>
      <w:r>
        <w:rPr>
          <w:rFonts w:ascii="Calibri" w:hAnsi="Calibri"/>
          <w:b w:val="0"/>
          <w:i w:val="0"/>
          <w:color w:val="202020"/>
          <w:sz w:val="22"/>
        </w:rPr>
      </w:r>
    </w:p>
    <w:p>
      <w:pPr>
        <w:spacing w:before="240" w:after="80"/>
      </w:pPr>
      <w:r>
        <w:rPr>
          <w:rFonts w:ascii="Calibri" w:hAnsi="Calibri"/>
          <w:b/>
          <w:i w:val="0"/>
          <w:color w:val="445577"/>
          <w:sz w:val="30"/>
        </w:rPr>
        <w:t>II.5 — Doctrine page = périmètre</w:t>
      </w:r>
    </w:p>
    <w:p>
      <w:pPr>
        <w:jc w:val="both"/>
      </w:pPr>
      <w:r>
        <w:rPr>
          <w:rFonts w:ascii="Calibri" w:hAnsi="Calibri"/>
          <w:b w:val="0"/>
          <w:i w:val="0"/>
          <w:color w:val="202020"/>
          <w:sz w:val="22"/>
        </w:rPr>
        <w:t>Doctrine d'origine spec-administrateur-reseau v0.2 (11/05/2026), reconduite et précisée par les chantiers-cadres Biblioteca et Painel. Chaque page de l'application définit un périmètre de compétence et de visibilité, et ne fait pas de calcul cross-page. La page Biblioteca affiche les compteurs locaux (membres, exemplaires, transactions de la biblio). La page Rede affiche les compteurs réseau (admins réseau, biblios membres). Il n'y a pas de compteur transverse global qui mélangerait les deux périmètres — non par limitation technique mais par décision politique.</w:t>
      </w:r>
    </w:p>
    <w:p>
      <w:pPr>
        <w:jc w:val="both"/>
      </w:pPr>
      <w:r>
        <w:rPr>
          <w:rFonts w:ascii="Calibri" w:hAnsi="Calibri"/>
          <w:b w:val="0"/>
          <w:i w:val="0"/>
          <w:color w:val="202020"/>
          <w:sz w:val="22"/>
        </w:rPr>
        <w:t>Conséquence pratique : la fonction api.network_overview compte les admins réseau, pas les staff locaux. La fonction de comptage des membres d'une biblio compte les memberships actifs de cette biblio précisément, sans calculer un total qui aurait des memberships d'autres biblios. Un·e lecteur·rice membre de trois bibliothèques apparaît trois fois (une par appartenance) dans les comptages locaux, et n'apparaît jamais comme « lecteur·rice unique » dans un comptage global — parce que le concept même de « lecteur·rice unique » suppose une indexation transverse que la doctrine refuse.</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Doctrine V (transversale, actée 11/05/2026 et confirmée 21/05 + 27/05).</w:t>
            </w:r>
          </w:p>
          <w:p>
            <w:pPr>
              <w:spacing w:after="80"/>
              <w:jc w:val="both"/>
            </w:pPr>
            <w:r>
              <w:rPr>
                <w:rFonts w:ascii="Calibri" w:hAnsi="Calibri"/>
                <w:color w:val="202020"/>
                <w:sz w:val="21"/>
              </w:rPr>
              <w:t>Page = périmètre. Aucun compteur cross-page ne mélange les périmètres. La distinction est politique avant d'être technique : elle interdit l'indexation transverse des personnes à travers les bibliothèques du réseau, qui serait incompatible avec la posture de sécurité libertaire du projet.</w:t>
            </w:r>
          </w:p>
        </w:tc>
      </w:tr>
    </w:tbl>
    <w:p>
      <w:pPr>
        <w:spacing w:after="80"/>
      </w:pPr>
      <w:r>
        <w:rPr>
          <w:rFonts w:ascii="Calibri" w:hAnsi="Calibri"/>
          <w:b w:val="0"/>
          <w:i w:val="0"/>
          <w:color w:val="202020"/>
          <w:sz w:val="22"/>
        </w:rPr>
      </w:r>
    </w:p>
    <w:p>
      <w:pPr>
        <w:spacing w:before="240" w:after="80"/>
      </w:pPr>
      <w:r>
        <w:rPr>
          <w:rFonts w:ascii="Calibri" w:hAnsi="Calibri"/>
          <w:b/>
          <w:i w:val="0"/>
          <w:color w:val="445577"/>
          <w:sz w:val="30"/>
        </w:rPr>
        <w:t>II.6 — Doctrines techniques R1 à R11 du flux consultations</w:t>
      </w:r>
    </w:p>
    <w:p>
      <w:pPr>
        <w:jc w:val="both"/>
      </w:pPr>
      <w:r>
        <w:rPr>
          <w:rFonts w:ascii="Calibri" w:hAnsi="Calibri"/>
          <w:b w:val="0"/>
          <w:i w:val="0"/>
          <w:color w:val="202020"/>
          <w:sz w:val="22"/>
        </w:rPr>
        <w:t>Onze doctrines techniques formalisées au fil des chantiers consultations, internalisées dans spec-flux-consultations-v2.2. R1 à R6 antérieures, R7 à R11 issues du chantier #141 hardening du 16/05/2026 (sept bugs résolus en une session marathon). Les cinq doctrines neuves sont des leçons techniques précises, formulées exactement comme on les a apprises de la production :</w:t>
      </w:r>
    </w:p>
    <w:p>
      <w:pPr>
        <w:ind w:left="283"/>
      </w:pPr>
      <w:r>
        <w:rPr>
          <w:rFonts w:ascii="Calibri" w:hAnsi="Calibri"/>
          <w:b w:val="0"/>
          <w:i w:val="0"/>
          <w:color w:val="202020"/>
          <w:sz w:val="22"/>
        </w:rPr>
        <w:t>• R7 (ordre UPDATE) : workflow_note avant item_status pour ne pas déclencher les notifications avec un état narratif incomplet.</w:t>
      </w:r>
    </w:p>
    <w:p>
      <w:pPr>
        <w:ind w:left="283"/>
      </w:pPr>
      <w:r>
        <w:rPr>
          <w:rFonts w:ascii="Calibri" w:hAnsi="Calibri"/>
          <w:b w:val="0"/>
          <w:i w:val="0"/>
          <w:color w:val="202020"/>
          <w:sz w:val="22"/>
        </w:rPr>
        <w:t>• R8 (distinction notes) : workflow_note (staff) vs schedule_reply_note (lecteur·rice) sont deux colonnes séparées que les triggers doivent propager toutes deux.</w:t>
      </w:r>
    </w:p>
    <w:p>
      <w:pPr>
        <w:ind w:left="283"/>
      </w:pPr>
      <w:r>
        <w:rPr>
          <w:rFonts w:ascii="Calibri" w:hAnsi="Calibri"/>
          <w:b w:val="0"/>
          <w:i w:val="0"/>
          <w:color w:val="202020"/>
          <w:sz w:val="22"/>
        </w:rPr>
        <w:t>• R9 (traçabilité coordination) : toute action de coordination (modification de date, ré-agendage) trace son auteur·e.</w:t>
      </w:r>
    </w:p>
    <w:p>
      <w:pPr>
        <w:ind w:left="283"/>
      </w:pPr>
      <w:r>
        <w:rPr>
          <w:rFonts w:ascii="Calibri" w:hAnsi="Calibri"/>
          <w:b w:val="0"/>
          <w:i w:val="0"/>
          <w:color w:val="202020"/>
          <w:sz w:val="22"/>
        </w:rPr>
        <w:t>• R10 (cohérence handler/trigger) : un trigger nouveau qui émet un event nouveau requiert un handler i18n complet sur 8 locales, ou le mail tombe en fallback common.error.unknown.</w:t>
      </w:r>
    </w:p>
    <w:p>
      <w:pPr>
        <w:ind w:left="283"/>
      </w:pPr>
      <w:r>
        <w:rPr>
          <w:rFonts w:ascii="Calibri" w:hAnsi="Calibri"/>
          <w:b w:val="0"/>
          <w:i w:val="0"/>
          <w:color w:val="202020"/>
          <w:sz w:val="22"/>
        </w:rPr>
        <w:t>• R11 (UTF-8 PowerShell) : sur Windows FR, Get-Content sans encodage explicite lit en CP1252 et corrompt l'UTF-8 contenant des accents. Méthode safe : [System.IO.File]::ReadAllText avec UTF8Encoding.</w:t>
      </w:r>
    </w:p>
    <w:p>
      <w:pPr>
        <w:jc w:val="both"/>
      </w:pPr>
      <w:r>
        <w:rPr>
          <w:rFonts w:ascii="Calibri" w:hAnsi="Calibri"/>
          <w:b w:val="0"/>
          <w:i/>
          <w:color w:val="202020"/>
          <w:sz w:val="22"/>
        </w:rPr>
        <w:t>À propager à spec-flux-emprunts et spec-workflow-reservation (audit symétrique signalé comme TODO post-v2.2 dans l'inventaire des specs).</w:t>
      </w:r>
    </w:p>
    <w:p>
      <w:pPr>
        <w:spacing w:before="240" w:after="80"/>
      </w:pPr>
      <w:r>
        <w:rPr>
          <w:rFonts w:ascii="Calibri" w:hAnsi="Calibri"/>
          <w:b/>
          <w:i w:val="0"/>
          <w:color w:val="445577"/>
          <w:sz w:val="30"/>
        </w:rPr>
        <w:t>II.7 — Décisions doctrinales du chantier mobile (NOUVEAU v17)</w:t>
      </w:r>
    </w:p>
    <w:p>
      <w:pPr>
        <w:jc w:val="both"/>
      </w:pPr>
      <w:r>
        <w:rPr>
          <w:rFonts w:ascii="Calibri" w:hAnsi="Calibri"/>
          <w:b w:val="0"/>
          <w:i w:val="0"/>
          <w:color w:val="202020"/>
          <w:sz w:val="22"/>
        </w:rPr>
        <w:t>Trois décisions doctrinales actées le 28 mai 2026 dans DECISION_chantier_mobile_arbitrages_2026-05-28.docx, à inscrire au Livre blanc à sa prochaine révision selon la note explicite de la décision. C'est cette inscription.</w:t>
      </w:r>
    </w:p>
    <w:p>
      <w:pPr>
        <w:spacing w:before="160" w:after="40"/>
      </w:pPr>
      <w:r>
        <w:rPr>
          <w:rFonts w:ascii="Calibri" w:hAnsi="Calibri"/>
          <w:b/>
          <w:i w:val="0"/>
          <w:color w:val="445577"/>
          <w:sz w:val="26"/>
        </w:rPr>
        <w:t>Décision 1 — Carte-lecteur = capacité activable par bibliothèque</w:t>
      </w:r>
    </w:p>
    <w:p>
      <w:pPr>
        <w:jc w:val="both"/>
      </w:pPr>
      <w:r>
        <w:rPr>
          <w:rFonts w:ascii="Calibri" w:hAnsi="Calibri"/>
          <w:b w:val="0"/>
          <w:i w:val="0"/>
          <w:color w:val="202020"/>
          <w:sz w:val="22"/>
        </w:rPr>
        <w:t>La carte-lecteur est une capacité que chaque bibliothèque active ou désactive selon son contexte, sur le modèle exact de circulation_mode. Une bibliothèque qui n'en veut pas (collectif particulièrement exposé, communauté très restreinte, contexte politique local hostile) fonctionne à l'identification nominale en permanence. Une bibliothèque qui l'active offre la carte comme option à ses lecteur·rices. Cette décision a la même structure que circulation_mode et governance_mode du chantier profils d'adoption : ce sont des modes de l'application que la biblio choisit elle-même.</w:t>
      </w:r>
    </w:p>
    <w:p>
      <w:pPr>
        <w:spacing w:before="160" w:after="40"/>
      </w:pPr>
      <w:r>
        <w:rPr>
          <w:rFonts w:ascii="Calibri" w:hAnsi="Calibri"/>
          <w:b/>
          <w:i w:val="0"/>
          <w:color w:val="445577"/>
          <w:sz w:val="26"/>
        </w:rPr>
        <w:t>Décision 2 — Carte-lecteur = laissez-passer détachable, révocable, inerte hors scan staff</w:t>
      </w:r>
    </w:p>
    <w:p>
      <w:pPr>
        <w:jc w:val="both"/>
      </w:pPr>
      <w:r>
        <w:rPr>
          <w:rFonts w:ascii="Calibri" w:hAnsi="Calibri"/>
          <w:b w:val="0"/>
          <w:i w:val="0"/>
          <w:color w:val="202020"/>
          <w:sz w:val="22"/>
        </w:rPr>
        <w:t>La carte n'est ni un document d'identité, ni un écran de l'application, ni un objet géré côté Painel. Le QR encode un pointeur opaque (un index vers reader_card_tokens), pas une identité ni un secret de session. Hors contexte de scan staff, la carte est inerte : elle ne permet pas de se connecter au compte, ne révèle pas le solde de cotisation, ne donne pas accès aux emprunts en cours. Elle révèle l'appartenance à une bibliothèque (le slug est visible sur l'export PNG/PDF). Pour la plupart des collectifs, c'est acceptable ; pour les plus exposés, peut-être pas — d'où la capacité activable de la décision 1, et la génération laissée au choix du lecteur (A.4 acté).</w:t>
      </w:r>
    </w:p>
    <w:p>
      <w:pPr>
        <w:spacing w:before="160" w:after="40"/>
      </w:pPr>
      <w:r>
        <w:rPr>
          <w:rFonts w:ascii="Calibri" w:hAnsi="Calibri"/>
          <w:b/>
          <w:i w:val="0"/>
          <w:color w:val="445577"/>
          <w:sz w:val="26"/>
        </w:rPr>
        <w:t>Décision 3 — Mobile AnarBib = PWA mono-codebase sans tracker</w:t>
      </w:r>
    </w:p>
    <w:p>
      <w:pPr>
        <w:jc w:val="both"/>
      </w:pPr>
      <w:r>
        <w:rPr>
          <w:rFonts w:ascii="Calibri" w:hAnsi="Calibri"/>
          <w:b w:val="0"/>
          <w:i w:val="0"/>
          <w:color w:val="202020"/>
          <w:sz w:val="22"/>
        </w:rPr>
        <w:t>Le mobile AnarBib est une PWA responsive dans le repo unique anarbib-app, sans app native sur les stores propriétaires (Google Play, App Store), sans tracker. Service worker et stratégie de cache à documenter explicitement. Cette décision dérive directement du refus de la traçabilité marchande (partie I.2) : publier sur les stores GAFAM exigerait un certain nombre de compromis (SDK propriétaires, identifiants publicitaires, données de télémétrie) qu'AnarBib refuse. La PWA permet d'avoir une expérience mobile complète sans renoncer à ces principes.</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Doctrine VI (nouvelle v17, actée 28/05/2026 au chantier extension mobile).</w:t>
            </w:r>
          </w:p>
          <w:p>
            <w:pPr>
              <w:spacing w:after="80"/>
              <w:jc w:val="both"/>
            </w:pPr>
            <w:r>
              <w:rPr>
                <w:rFonts w:ascii="Calibri" w:hAnsi="Calibri"/>
                <w:color w:val="202020"/>
                <w:sz w:val="21"/>
              </w:rPr>
              <w:t>Trois décisions doctrinales : (1) carte-lecteur = capacité activable par bibliothèque sur le modèle de circulation_mode ; (2) carte-lecteur = laissez-passer détachable, révocable, inerte hors scan staff ; (3) mobile AnarBib = PWA mono-codebase sans tracker. Ensemble, ces trois décisions rendent la carte-lecteur présentable à Bologne comme artefact politique concret, et fixent le cadre du chantier mobile pour le restant de l'année.</w:t>
            </w:r>
          </w:p>
        </w:tc>
      </w:tr>
    </w:tbl>
    <w:p>
      <w:pPr>
        <w:spacing w:after="80"/>
      </w:pPr>
      <w:r>
        <w:rPr>
          <w:rFonts w:ascii="Calibri" w:hAnsi="Calibri"/>
          <w:b w:val="0"/>
          <w:i w:val="0"/>
          <w:color w:val="202020"/>
          <w:sz w:val="22"/>
        </w:rPr>
      </w:r>
    </w:p>
    <w:p>
      <w:r>
        <w:br w:type="page"/>
      </w:r>
    </w:p>
    <w:p>
      <w:pPr>
        <w:spacing w:before="360" w:after="120"/>
      </w:pPr>
      <w:r>
        <w:rPr>
          <w:rFonts w:ascii="Calibri" w:hAnsi="Calibri"/>
          <w:b/>
          <w:i w:val="0"/>
          <w:color w:val="1F2E55"/>
          <w:sz w:val="36"/>
        </w:rPr>
        <w:t>III. Cartographie technique chiffrée (dump du 28 mai 2026)</w:t>
      </w:r>
    </w:p>
    <w:p>
      <w:pPr>
        <w:jc w:val="both"/>
      </w:pPr>
      <w:r>
        <w:rPr>
          <w:rFonts w:ascii="Calibri" w:hAnsi="Calibri"/>
          <w:b w:val="0"/>
          <w:i/>
          <w:color w:val="202020"/>
          <w:sz w:val="22"/>
        </w:rPr>
        <w:t>Cette troisième partie s'adresse aux contributeur·rices techniques. Elle livre les chiffres factuels du backend AnarBib mesurés sur le dump SQL du 28 mai 2026 (54 731 lignes UTF-8 après conversion depuis UTF-16 LE), récupéré le soir de la livraison du Livre blanc v16 et présenté ici pour la première fois en lecture comparée v16/v17.</w:t>
      </w:r>
    </w:p>
    <w:p>
      <w:pPr>
        <w:spacing w:before="240" w:after="80"/>
      </w:pPr>
      <w:r>
        <w:rPr>
          <w:rFonts w:ascii="Calibri" w:hAnsi="Calibri"/>
          <w:b/>
          <w:i w:val="0"/>
          <w:color w:val="445577"/>
          <w:sz w:val="30"/>
        </w:rPr>
        <w:t>III.1 — Les huit grandeurs structurantes</w:t>
      </w:r>
    </w:p>
    <w:p>
      <w:pPr>
        <w:jc w:val="both"/>
      </w:pPr>
      <w:r>
        <w:rPr>
          <w:rFonts w:ascii="Calibri" w:hAnsi="Calibri"/>
          <w:b w:val="0"/>
          <w:i w:val="0"/>
          <w:color w:val="202020"/>
          <w:sz w:val="22"/>
        </w:rPr>
        <w:t>Mesures factuelles du dump du 28 mai, conduites par grep direct sur le fichier converti. Le tableau confronte ces mesures aux lectures des Livres blancs v13 (30 avril), v14 (19 mai), v16 (27 mai). Pour la v17, la méthode de comptage est explicitée pour chaque ligne afin de permettre des comparaisons futures à méthode comparable.</w:t>
      </w:r>
    </w:p>
    <w:tbl>
      <w:tblPr>
        <w:tblStyle w:val="LightGrid-Accent1"/>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3061"/>
            <w:shd w:val="clear" w:color="auto" w:fill="D5E0F0"/>
            <w:vAlign w:val="center"/>
          </w:tcPr>
          <w:p>
            <w:r/>
            <w:r>
              <w:rPr>
                <w:rFonts w:ascii="Calibri" w:hAnsi="Calibri"/>
                <w:b/>
                <w:color w:val="1F2E55"/>
                <w:sz w:val="21"/>
              </w:rPr>
              <w:t>Grandeur</w:t>
            </w:r>
          </w:p>
        </w:tc>
        <w:tc>
          <w:tcPr>
            <w:tcW w:type="dxa" w:w="1077"/>
            <w:shd w:val="clear" w:color="auto" w:fill="D5E0F0"/>
            <w:vAlign w:val="center"/>
          </w:tcPr>
          <w:p>
            <w:r/>
            <w:r>
              <w:rPr>
                <w:rFonts w:ascii="Calibri" w:hAnsi="Calibri"/>
                <w:b/>
                <w:color w:val="1F2E55"/>
                <w:sz w:val="21"/>
              </w:rPr>
              <w:t>v13 (30/04)</w:t>
            </w:r>
          </w:p>
        </w:tc>
        <w:tc>
          <w:tcPr>
            <w:tcW w:type="dxa" w:w="1077"/>
            <w:shd w:val="clear" w:color="auto" w:fill="D5E0F0"/>
            <w:vAlign w:val="center"/>
          </w:tcPr>
          <w:p>
            <w:r/>
            <w:r>
              <w:rPr>
                <w:rFonts w:ascii="Calibri" w:hAnsi="Calibri"/>
                <w:b/>
                <w:color w:val="1F2E55"/>
                <w:sz w:val="21"/>
              </w:rPr>
              <w:t>v14 (19/05)</w:t>
            </w:r>
          </w:p>
        </w:tc>
        <w:tc>
          <w:tcPr>
            <w:tcW w:type="dxa" w:w="1417"/>
            <w:shd w:val="clear" w:color="auto" w:fill="D5E0F0"/>
            <w:vAlign w:val="center"/>
          </w:tcPr>
          <w:p>
            <w:r/>
            <w:r>
              <w:rPr>
                <w:rFonts w:ascii="Calibri" w:hAnsi="Calibri"/>
                <w:b/>
                <w:color w:val="1F2E55"/>
                <w:sz w:val="21"/>
              </w:rPr>
              <w:t>v16 (27/05)</w:t>
            </w:r>
          </w:p>
        </w:tc>
        <w:tc>
          <w:tcPr>
            <w:tcW w:type="dxa" w:w="1361"/>
            <w:shd w:val="clear" w:color="auto" w:fill="D5E0F0"/>
            <w:vAlign w:val="center"/>
          </w:tcPr>
          <w:p>
            <w:r/>
            <w:r>
              <w:rPr>
                <w:rFonts w:ascii="Calibri" w:hAnsi="Calibri"/>
                <w:b/>
                <w:color w:val="1F2E55"/>
                <w:sz w:val="21"/>
              </w:rPr>
              <w:t>v17 (28/05)</w:t>
            </w:r>
          </w:p>
        </w:tc>
        <w:tc>
          <w:tcPr>
            <w:tcW w:type="dxa" w:w="1644"/>
            <w:shd w:val="clear" w:color="auto" w:fill="D5E0F0"/>
            <w:vAlign w:val="center"/>
          </w:tcPr>
          <w:p>
            <w:r/>
            <w:r>
              <w:rPr>
                <w:rFonts w:ascii="Calibri" w:hAnsi="Calibri"/>
                <w:b/>
                <w:color w:val="1F2E55"/>
                <w:sz w:val="21"/>
              </w:rPr>
              <w:t>Δ v16→v17</w:t>
            </w:r>
          </w:p>
        </w:tc>
      </w:tr>
      <w:tr>
        <w:tc>
          <w:tcPr>
            <w:tcW w:type="dxa" w:w="3061"/>
            <w:vAlign w:val="top"/>
          </w:tcPr>
          <w:p>
            <w:r/>
            <w:r>
              <w:rPr>
                <w:rFonts w:ascii="Calibri" w:hAnsi="Calibri"/>
                <w:color w:val="202020"/>
                <w:sz w:val="19"/>
              </w:rPr>
              <w:t>Tables (schémas public + api)</w:t>
            </w:r>
          </w:p>
        </w:tc>
        <w:tc>
          <w:tcPr>
            <w:tcW w:type="dxa" w:w="1077"/>
            <w:vAlign w:val="top"/>
          </w:tcPr>
          <w:p>
            <w:r/>
            <w:r>
              <w:rPr>
                <w:rFonts w:ascii="Calibri" w:hAnsi="Calibri"/>
                <w:color w:val="202020"/>
                <w:sz w:val="19"/>
              </w:rPr>
              <w:t>89</w:t>
            </w:r>
          </w:p>
        </w:tc>
        <w:tc>
          <w:tcPr>
            <w:tcW w:type="dxa" w:w="1077"/>
            <w:vAlign w:val="top"/>
          </w:tcPr>
          <w:p>
            <w:r/>
            <w:r>
              <w:rPr>
                <w:rFonts w:ascii="Calibri" w:hAnsi="Calibri"/>
                <w:color w:val="202020"/>
                <w:sz w:val="19"/>
              </w:rPr>
              <w:t>107</w:t>
            </w:r>
          </w:p>
        </w:tc>
        <w:tc>
          <w:tcPr>
            <w:tcW w:type="dxa" w:w="1417"/>
            <w:vAlign w:val="top"/>
          </w:tcPr>
          <w:p>
            <w:r/>
            <w:r>
              <w:rPr>
                <w:rFonts w:ascii="Calibri" w:hAnsi="Calibri"/>
                <w:color w:val="202020"/>
                <w:sz w:val="19"/>
              </w:rPr>
              <w:t>104</w:t>
            </w:r>
          </w:p>
        </w:tc>
        <w:tc>
          <w:tcPr>
            <w:tcW w:type="dxa" w:w="1361"/>
            <w:vAlign w:val="top"/>
          </w:tcPr>
          <w:p>
            <w:r/>
            <w:r>
              <w:rPr>
                <w:rFonts w:ascii="Calibri" w:hAnsi="Calibri"/>
                <w:color w:val="202020"/>
                <w:sz w:val="19"/>
              </w:rPr>
              <w:t>101</w:t>
            </w:r>
          </w:p>
        </w:tc>
        <w:tc>
          <w:tcPr>
            <w:tcW w:type="dxa" w:w="1644"/>
            <w:vAlign w:val="top"/>
          </w:tcPr>
          <w:p>
            <w:r/>
            <w:r>
              <w:rPr>
                <w:rFonts w:ascii="Calibri" w:hAnsi="Calibri"/>
                <w:color w:val="202020"/>
                <w:sz w:val="19"/>
              </w:rPr>
              <w:t>−3 (consolidation)</w:t>
            </w:r>
          </w:p>
        </w:tc>
      </w:tr>
      <w:tr>
        <w:tc>
          <w:tcPr>
            <w:tcW w:type="dxa" w:w="3061"/>
            <w:vAlign w:val="top"/>
          </w:tcPr>
          <w:p>
            <w:r/>
            <w:r>
              <w:rPr>
                <w:rFonts w:ascii="Calibri" w:hAnsi="Calibri"/>
                <w:color w:val="202020"/>
                <w:sz w:val="19"/>
              </w:rPr>
              <w:t>Tables _archived_*</w:t>
            </w:r>
          </w:p>
        </w:tc>
        <w:tc>
          <w:tcPr>
            <w:tcW w:type="dxa" w:w="1077"/>
            <w:vAlign w:val="top"/>
          </w:tcPr>
          <w:p>
            <w:r/>
            <w:r>
              <w:rPr>
                <w:rFonts w:ascii="Calibri" w:hAnsi="Calibri"/>
                <w:color w:val="202020"/>
                <w:sz w:val="19"/>
              </w:rPr>
              <w:t>—</w:t>
            </w:r>
          </w:p>
        </w:tc>
        <w:tc>
          <w:tcPr>
            <w:tcW w:type="dxa" w:w="1077"/>
            <w:vAlign w:val="top"/>
          </w:tcPr>
          <w:p>
            <w:r/>
            <w:r>
              <w:rPr>
                <w:rFonts w:ascii="Calibri" w:hAnsi="Calibri"/>
                <w:color w:val="202020"/>
                <w:sz w:val="19"/>
              </w:rPr>
              <w:t>—</w:t>
            </w:r>
          </w:p>
        </w:tc>
        <w:tc>
          <w:tcPr>
            <w:tcW w:type="dxa" w:w="1417"/>
            <w:vAlign w:val="top"/>
          </w:tcPr>
          <w:p>
            <w:r/>
            <w:r>
              <w:rPr>
                <w:rFonts w:ascii="Calibri" w:hAnsi="Calibri"/>
                <w:color w:val="202020"/>
                <w:sz w:val="19"/>
              </w:rPr>
              <w:t>3</w:t>
            </w:r>
          </w:p>
        </w:tc>
        <w:tc>
          <w:tcPr>
            <w:tcW w:type="dxa" w:w="1361"/>
            <w:vAlign w:val="top"/>
          </w:tcPr>
          <w:p>
            <w:r/>
            <w:r>
              <w:rPr>
                <w:rFonts w:ascii="Calibri" w:hAnsi="Calibri"/>
                <w:color w:val="202020"/>
                <w:sz w:val="19"/>
              </w:rPr>
              <w:t>3</w:t>
            </w:r>
          </w:p>
        </w:tc>
        <w:tc>
          <w:tcPr>
            <w:tcW w:type="dxa" w:w="1644"/>
            <w:vAlign w:val="top"/>
          </w:tcPr>
          <w:p>
            <w:r/>
            <w:r>
              <w:rPr>
                <w:rFonts w:ascii="Calibri" w:hAnsi="Calibri"/>
                <w:color w:val="202020"/>
                <w:sz w:val="19"/>
              </w:rPr>
              <w:t xml:space="preserve">= </w:t>
            </w:r>
          </w:p>
        </w:tc>
      </w:tr>
      <w:tr>
        <w:tc>
          <w:tcPr>
            <w:tcW w:type="dxa" w:w="3061"/>
            <w:vAlign w:val="top"/>
          </w:tcPr>
          <w:p>
            <w:r/>
            <w:r>
              <w:rPr>
                <w:rFonts w:ascii="Calibri" w:hAnsi="Calibri"/>
                <w:color w:val="202020"/>
                <w:sz w:val="19"/>
              </w:rPr>
              <w:t>Tables _backup_*</w:t>
            </w:r>
          </w:p>
        </w:tc>
        <w:tc>
          <w:tcPr>
            <w:tcW w:type="dxa" w:w="1077"/>
            <w:vAlign w:val="top"/>
          </w:tcPr>
          <w:p>
            <w:r/>
            <w:r>
              <w:rPr>
                <w:rFonts w:ascii="Calibri" w:hAnsi="Calibri"/>
                <w:color w:val="202020"/>
                <w:sz w:val="19"/>
              </w:rPr>
              <w:t>—</w:t>
            </w:r>
          </w:p>
        </w:tc>
        <w:tc>
          <w:tcPr>
            <w:tcW w:type="dxa" w:w="1077"/>
            <w:vAlign w:val="top"/>
          </w:tcPr>
          <w:p>
            <w:r/>
            <w:r>
              <w:rPr>
                <w:rFonts w:ascii="Calibri" w:hAnsi="Calibri"/>
                <w:color w:val="202020"/>
                <w:sz w:val="19"/>
              </w:rPr>
              <w:t>—</w:t>
            </w:r>
          </w:p>
        </w:tc>
        <w:tc>
          <w:tcPr>
            <w:tcW w:type="dxa" w:w="1417"/>
            <w:vAlign w:val="top"/>
          </w:tcPr>
          <w:p>
            <w:r/>
            <w:r>
              <w:rPr>
                <w:rFonts w:ascii="Calibri" w:hAnsi="Calibri"/>
                <w:color w:val="202020"/>
                <w:sz w:val="19"/>
              </w:rPr>
              <w:t>1</w:t>
            </w:r>
          </w:p>
        </w:tc>
        <w:tc>
          <w:tcPr>
            <w:tcW w:type="dxa" w:w="1361"/>
            <w:vAlign w:val="top"/>
          </w:tcPr>
          <w:p>
            <w:r/>
            <w:r>
              <w:rPr>
                <w:rFonts w:ascii="Calibri" w:hAnsi="Calibri"/>
                <w:color w:val="202020"/>
                <w:sz w:val="19"/>
              </w:rPr>
              <w:t>1</w:t>
            </w:r>
          </w:p>
        </w:tc>
        <w:tc>
          <w:tcPr>
            <w:tcW w:type="dxa" w:w="1644"/>
            <w:vAlign w:val="top"/>
          </w:tcPr>
          <w:p>
            <w:r/>
            <w:r>
              <w:rPr>
                <w:rFonts w:ascii="Calibri" w:hAnsi="Calibri"/>
                <w:color w:val="202020"/>
                <w:sz w:val="19"/>
              </w:rPr>
              <w:t xml:space="preserve">= </w:t>
            </w:r>
          </w:p>
        </w:tc>
      </w:tr>
      <w:tr>
        <w:tc>
          <w:tcPr>
            <w:tcW w:type="dxa" w:w="3061"/>
            <w:vAlign w:val="top"/>
          </w:tcPr>
          <w:p>
            <w:r/>
            <w:r>
              <w:rPr>
                <w:rFonts w:ascii="Calibri" w:hAnsi="Calibri"/>
                <w:color w:val="202020"/>
                <w:sz w:val="19"/>
              </w:rPr>
              <w:t>Vues normales (api + public)</w:t>
            </w:r>
          </w:p>
        </w:tc>
        <w:tc>
          <w:tcPr>
            <w:tcW w:type="dxa" w:w="1077"/>
            <w:vAlign w:val="top"/>
          </w:tcPr>
          <w:p>
            <w:r/>
            <w:r>
              <w:rPr>
                <w:rFonts w:ascii="Calibri" w:hAnsi="Calibri"/>
                <w:color w:val="202020"/>
                <w:sz w:val="19"/>
              </w:rPr>
              <w:t>59 (34+25)</w:t>
            </w:r>
          </w:p>
        </w:tc>
        <w:tc>
          <w:tcPr>
            <w:tcW w:type="dxa" w:w="1077"/>
            <w:vAlign w:val="top"/>
          </w:tcPr>
          <w:p>
            <w:r/>
            <w:r>
              <w:rPr>
                <w:rFonts w:ascii="Calibri" w:hAnsi="Calibri"/>
                <w:color w:val="202020"/>
                <w:sz w:val="19"/>
              </w:rPr>
              <w:t>70 (45+25)</w:t>
            </w:r>
          </w:p>
        </w:tc>
        <w:tc>
          <w:tcPr>
            <w:tcW w:type="dxa" w:w="1417"/>
            <w:vAlign w:val="top"/>
          </w:tcPr>
          <w:p>
            <w:r/>
            <w:r>
              <w:rPr>
                <w:rFonts w:ascii="Calibri" w:hAnsi="Calibri"/>
                <w:color w:val="202020"/>
                <w:sz w:val="19"/>
              </w:rPr>
              <w:t>73 (48+25)</w:t>
            </w:r>
          </w:p>
        </w:tc>
        <w:tc>
          <w:tcPr>
            <w:tcW w:type="dxa" w:w="1361"/>
            <w:vAlign w:val="top"/>
          </w:tcPr>
          <w:p>
            <w:r/>
            <w:r>
              <w:rPr>
                <w:rFonts w:ascii="Calibri" w:hAnsi="Calibri"/>
                <w:color w:val="202020"/>
                <w:sz w:val="19"/>
              </w:rPr>
              <w:t>74 (49+25)</w:t>
            </w:r>
          </w:p>
        </w:tc>
        <w:tc>
          <w:tcPr>
            <w:tcW w:type="dxa" w:w="1644"/>
            <w:vAlign w:val="top"/>
          </w:tcPr>
          <w:p>
            <w:r/>
            <w:r>
              <w:rPr>
                <w:rFonts w:ascii="Calibri" w:hAnsi="Calibri"/>
                <w:color w:val="202020"/>
                <w:sz w:val="19"/>
              </w:rPr>
              <w:t>+1 (api)</w:t>
            </w:r>
          </w:p>
        </w:tc>
      </w:tr>
      <w:tr>
        <w:tc>
          <w:tcPr>
            <w:tcW w:type="dxa" w:w="3061"/>
            <w:vAlign w:val="top"/>
          </w:tcPr>
          <w:p>
            <w:r/>
            <w:r>
              <w:rPr>
                <w:rFonts w:ascii="Calibri" w:hAnsi="Calibri"/>
                <w:color w:val="202020"/>
                <w:sz w:val="19"/>
              </w:rPr>
              <w:t>Vues matérialisées</w:t>
            </w:r>
          </w:p>
        </w:tc>
        <w:tc>
          <w:tcPr>
            <w:tcW w:type="dxa" w:w="1077"/>
            <w:vAlign w:val="top"/>
          </w:tcPr>
          <w:p>
            <w:r/>
            <w:r>
              <w:rPr>
                <w:rFonts w:ascii="Calibri" w:hAnsi="Calibri"/>
                <w:color w:val="202020"/>
                <w:sz w:val="19"/>
              </w:rPr>
              <w:t>2</w:t>
            </w:r>
          </w:p>
        </w:tc>
        <w:tc>
          <w:tcPr>
            <w:tcW w:type="dxa" w:w="1077"/>
            <w:vAlign w:val="top"/>
          </w:tcPr>
          <w:p>
            <w:r/>
            <w:r>
              <w:rPr>
                <w:rFonts w:ascii="Calibri" w:hAnsi="Calibri"/>
                <w:color w:val="202020"/>
                <w:sz w:val="19"/>
              </w:rPr>
              <w:t>2</w:t>
            </w:r>
          </w:p>
        </w:tc>
        <w:tc>
          <w:tcPr>
            <w:tcW w:type="dxa" w:w="1417"/>
            <w:vAlign w:val="top"/>
          </w:tcPr>
          <w:p>
            <w:r/>
            <w:r>
              <w:rPr>
                <w:rFonts w:ascii="Calibri" w:hAnsi="Calibri"/>
                <w:color w:val="202020"/>
                <w:sz w:val="19"/>
              </w:rPr>
              <w:t>2</w:t>
            </w:r>
          </w:p>
        </w:tc>
        <w:tc>
          <w:tcPr>
            <w:tcW w:type="dxa" w:w="1361"/>
            <w:vAlign w:val="top"/>
          </w:tcPr>
          <w:p>
            <w:r/>
            <w:r>
              <w:rPr>
                <w:rFonts w:ascii="Calibri" w:hAnsi="Calibri"/>
                <w:color w:val="202020"/>
                <w:sz w:val="19"/>
              </w:rPr>
              <w:t>2</w:t>
            </w:r>
          </w:p>
        </w:tc>
        <w:tc>
          <w:tcPr>
            <w:tcW w:type="dxa" w:w="1644"/>
            <w:vAlign w:val="top"/>
          </w:tcPr>
          <w:p>
            <w:r/>
            <w:r>
              <w:rPr>
                <w:rFonts w:ascii="Calibri" w:hAnsi="Calibri"/>
                <w:color w:val="202020"/>
                <w:sz w:val="19"/>
              </w:rPr>
              <w:t>=</w:t>
            </w:r>
          </w:p>
        </w:tc>
      </w:tr>
      <w:tr>
        <w:tc>
          <w:tcPr>
            <w:tcW w:type="dxa" w:w="3061"/>
            <w:vAlign w:val="top"/>
          </w:tcPr>
          <w:p>
            <w:r/>
            <w:r>
              <w:rPr>
                <w:rFonts w:ascii="Calibri" w:hAnsi="Calibri"/>
                <w:color w:val="202020"/>
                <w:sz w:val="19"/>
              </w:rPr>
              <w:t>Fonctions total</w:t>
            </w:r>
          </w:p>
        </w:tc>
        <w:tc>
          <w:tcPr>
            <w:tcW w:type="dxa" w:w="1077"/>
            <w:vAlign w:val="top"/>
          </w:tcPr>
          <w:p>
            <w:r/>
            <w:r>
              <w:rPr>
                <w:rFonts w:ascii="Calibri" w:hAnsi="Calibri"/>
                <w:color w:val="202020"/>
                <w:sz w:val="19"/>
              </w:rPr>
              <w:t>291</w:t>
            </w:r>
          </w:p>
        </w:tc>
        <w:tc>
          <w:tcPr>
            <w:tcW w:type="dxa" w:w="1077"/>
            <w:vAlign w:val="top"/>
          </w:tcPr>
          <w:p>
            <w:r/>
            <w:r>
              <w:rPr>
                <w:rFonts w:ascii="Calibri" w:hAnsi="Calibri"/>
                <w:color w:val="202020"/>
                <w:sz w:val="19"/>
              </w:rPr>
              <w:t>373</w:t>
            </w:r>
          </w:p>
        </w:tc>
        <w:tc>
          <w:tcPr>
            <w:tcW w:type="dxa" w:w="1417"/>
            <w:vAlign w:val="top"/>
          </w:tcPr>
          <w:p>
            <w:r/>
            <w:r>
              <w:rPr>
                <w:rFonts w:ascii="Calibri" w:hAnsi="Calibri"/>
                <w:color w:val="202020"/>
                <w:sz w:val="19"/>
              </w:rPr>
              <w:t>380</w:t>
            </w:r>
          </w:p>
        </w:tc>
        <w:tc>
          <w:tcPr>
            <w:tcW w:type="dxa" w:w="1361"/>
            <w:vAlign w:val="top"/>
          </w:tcPr>
          <w:p>
            <w:r/>
            <w:r>
              <w:rPr>
                <w:rFonts w:ascii="Calibri" w:hAnsi="Calibri"/>
                <w:color w:val="202020"/>
                <w:sz w:val="19"/>
              </w:rPr>
              <w:t>387</w:t>
            </w:r>
          </w:p>
        </w:tc>
        <w:tc>
          <w:tcPr>
            <w:tcW w:type="dxa" w:w="1644"/>
            <w:vAlign w:val="top"/>
          </w:tcPr>
          <w:p>
            <w:r/>
            <w:r>
              <w:rPr>
                <w:rFonts w:ascii="Calibri" w:hAnsi="Calibri"/>
                <w:color w:val="202020"/>
                <w:sz w:val="19"/>
              </w:rPr>
              <w:t>+7 (carte-lecteur)</w:t>
            </w:r>
          </w:p>
        </w:tc>
      </w:tr>
      <w:tr>
        <w:tc>
          <w:tcPr>
            <w:tcW w:type="dxa" w:w="3061"/>
            <w:vAlign w:val="top"/>
          </w:tcPr>
          <w:p>
            <w:r/>
            <w:r>
              <w:rPr>
                <w:rFonts w:ascii="Calibri" w:hAnsi="Calibri"/>
                <w:color w:val="202020"/>
                <w:sz w:val="19"/>
              </w:rPr>
              <w:t>dont fonctions schéma api</w:t>
            </w:r>
          </w:p>
        </w:tc>
        <w:tc>
          <w:tcPr>
            <w:tcW w:type="dxa" w:w="1077"/>
            <w:vAlign w:val="top"/>
          </w:tcPr>
          <w:p>
            <w:r/>
            <w:r>
              <w:rPr>
                <w:rFonts w:ascii="Calibri" w:hAnsi="Calibri"/>
                <w:color w:val="202020"/>
                <w:sz w:val="19"/>
              </w:rPr>
              <w:t>—</w:t>
            </w:r>
          </w:p>
        </w:tc>
        <w:tc>
          <w:tcPr>
            <w:tcW w:type="dxa" w:w="1077"/>
            <w:vAlign w:val="top"/>
          </w:tcPr>
          <w:p>
            <w:r/>
            <w:r>
              <w:rPr>
                <w:rFonts w:ascii="Calibri" w:hAnsi="Calibri"/>
                <w:color w:val="202020"/>
                <w:sz w:val="19"/>
              </w:rPr>
              <w:t>—</w:t>
            </w:r>
          </w:p>
        </w:tc>
        <w:tc>
          <w:tcPr>
            <w:tcW w:type="dxa" w:w="1417"/>
            <w:vAlign w:val="top"/>
          </w:tcPr>
          <w:p>
            <w:r/>
            <w:r>
              <w:rPr>
                <w:rFonts w:ascii="Calibri" w:hAnsi="Calibri"/>
                <w:color w:val="202020"/>
                <w:sz w:val="19"/>
              </w:rPr>
              <w:t>43 (≈)</w:t>
            </w:r>
          </w:p>
        </w:tc>
        <w:tc>
          <w:tcPr>
            <w:tcW w:type="dxa" w:w="1361"/>
            <w:vAlign w:val="top"/>
          </w:tcPr>
          <w:p>
            <w:r/>
            <w:r>
              <w:rPr>
                <w:rFonts w:ascii="Calibri" w:hAnsi="Calibri"/>
                <w:color w:val="202020"/>
                <w:sz w:val="19"/>
              </w:rPr>
              <w:t>43</w:t>
            </w:r>
          </w:p>
        </w:tc>
        <w:tc>
          <w:tcPr>
            <w:tcW w:type="dxa" w:w="1644"/>
            <w:vAlign w:val="top"/>
          </w:tcPr>
          <w:p>
            <w:r/>
            <w:r>
              <w:rPr>
                <w:rFonts w:ascii="Calibri" w:hAnsi="Calibri"/>
                <w:color w:val="202020"/>
                <w:sz w:val="19"/>
              </w:rPr>
              <w:t>≈ stable</w:t>
            </w:r>
          </w:p>
        </w:tc>
      </w:tr>
      <w:tr>
        <w:tc>
          <w:tcPr>
            <w:tcW w:type="dxa" w:w="3061"/>
            <w:vAlign w:val="top"/>
          </w:tcPr>
          <w:p>
            <w:r/>
            <w:r>
              <w:rPr>
                <w:rFonts w:ascii="Calibri" w:hAnsi="Calibri"/>
                <w:color w:val="202020"/>
                <w:sz w:val="19"/>
              </w:rPr>
              <w:t>dont fonctions schéma public</w:t>
            </w:r>
          </w:p>
        </w:tc>
        <w:tc>
          <w:tcPr>
            <w:tcW w:type="dxa" w:w="1077"/>
            <w:vAlign w:val="top"/>
          </w:tcPr>
          <w:p>
            <w:r/>
            <w:r>
              <w:rPr>
                <w:rFonts w:ascii="Calibri" w:hAnsi="Calibri"/>
                <w:color w:val="202020"/>
                <w:sz w:val="19"/>
              </w:rPr>
              <w:t>—</w:t>
            </w:r>
          </w:p>
        </w:tc>
        <w:tc>
          <w:tcPr>
            <w:tcW w:type="dxa" w:w="1077"/>
            <w:vAlign w:val="top"/>
          </w:tcPr>
          <w:p>
            <w:r/>
            <w:r>
              <w:rPr>
                <w:rFonts w:ascii="Calibri" w:hAnsi="Calibri"/>
                <w:color w:val="202020"/>
                <w:sz w:val="19"/>
              </w:rPr>
              <w:t>—</w:t>
            </w:r>
          </w:p>
        </w:tc>
        <w:tc>
          <w:tcPr>
            <w:tcW w:type="dxa" w:w="1417"/>
            <w:vAlign w:val="top"/>
          </w:tcPr>
          <w:p>
            <w:r/>
            <w:r>
              <w:rPr>
                <w:rFonts w:ascii="Calibri" w:hAnsi="Calibri"/>
                <w:color w:val="202020"/>
                <w:sz w:val="19"/>
              </w:rPr>
              <w:t>337 (≈)</w:t>
            </w:r>
          </w:p>
        </w:tc>
        <w:tc>
          <w:tcPr>
            <w:tcW w:type="dxa" w:w="1361"/>
            <w:vAlign w:val="top"/>
          </w:tcPr>
          <w:p>
            <w:r/>
            <w:r>
              <w:rPr>
                <w:rFonts w:ascii="Calibri" w:hAnsi="Calibri"/>
                <w:color w:val="202020"/>
                <w:sz w:val="19"/>
              </w:rPr>
              <w:t>344</w:t>
            </w:r>
          </w:p>
        </w:tc>
        <w:tc>
          <w:tcPr>
            <w:tcW w:type="dxa" w:w="1644"/>
            <w:vAlign w:val="top"/>
          </w:tcPr>
          <w:p>
            <w:r/>
            <w:r>
              <w:rPr>
                <w:rFonts w:ascii="Calibri" w:hAnsi="Calibri"/>
                <w:color w:val="202020"/>
                <w:sz w:val="19"/>
              </w:rPr>
              <w:t>+7</w:t>
            </w:r>
          </w:p>
        </w:tc>
      </w:tr>
      <w:tr>
        <w:tc>
          <w:tcPr>
            <w:tcW w:type="dxa" w:w="3061"/>
            <w:vAlign w:val="top"/>
          </w:tcPr>
          <w:p>
            <w:r/>
            <w:r>
              <w:rPr>
                <w:rFonts w:ascii="Calibri" w:hAnsi="Calibri"/>
                <w:color w:val="202020"/>
                <w:sz w:val="19"/>
              </w:rPr>
              <w:t>Occurrences SECURITY DEFINER</w:t>
            </w:r>
          </w:p>
        </w:tc>
        <w:tc>
          <w:tcPr>
            <w:tcW w:type="dxa" w:w="1077"/>
            <w:vAlign w:val="top"/>
          </w:tcPr>
          <w:p>
            <w:r/>
            <w:r>
              <w:rPr>
                <w:rFonts w:ascii="Calibri" w:hAnsi="Calibri"/>
                <w:color w:val="202020"/>
                <w:sz w:val="19"/>
              </w:rPr>
              <w:t>167</w:t>
            </w:r>
          </w:p>
        </w:tc>
        <w:tc>
          <w:tcPr>
            <w:tcW w:type="dxa" w:w="1077"/>
            <w:vAlign w:val="top"/>
          </w:tcPr>
          <w:p>
            <w:r/>
            <w:r>
              <w:rPr>
                <w:rFonts w:ascii="Calibri" w:hAnsi="Calibri"/>
                <w:color w:val="202020"/>
                <w:sz w:val="19"/>
              </w:rPr>
              <w:t>250</w:t>
            </w:r>
          </w:p>
        </w:tc>
        <w:tc>
          <w:tcPr>
            <w:tcW w:type="dxa" w:w="1417"/>
            <w:vAlign w:val="top"/>
          </w:tcPr>
          <w:p>
            <w:r/>
            <w:r>
              <w:rPr>
                <w:rFonts w:ascii="Calibri" w:hAnsi="Calibri"/>
                <w:color w:val="202020"/>
                <w:sz w:val="19"/>
              </w:rPr>
              <w:t>247</w:t>
            </w:r>
          </w:p>
        </w:tc>
        <w:tc>
          <w:tcPr>
            <w:tcW w:type="dxa" w:w="1361"/>
            <w:vAlign w:val="top"/>
          </w:tcPr>
          <w:p>
            <w:r/>
            <w:r>
              <w:rPr>
                <w:rFonts w:ascii="Calibri" w:hAnsi="Calibri"/>
                <w:color w:val="202020"/>
                <w:sz w:val="19"/>
              </w:rPr>
              <w:t>272 (*)</w:t>
            </w:r>
          </w:p>
        </w:tc>
        <w:tc>
          <w:tcPr>
            <w:tcW w:type="dxa" w:w="1644"/>
            <w:vAlign w:val="top"/>
          </w:tcPr>
          <w:p>
            <w:r/>
            <w:r>
              <w:rPr>
                <w:rFonts w:ascii="Calibri" w:hAnsi="Calibri"/>
                <w:color w:val="202020"/>
                <w:sz w:val="19"/>
              </w:rPr>
              <w:t>voir note</w:t>
            </w:r>
          </w:p>
        </w:tc>
      </w:tr>
      <w:tr>
        <w:tc>
          <w:tcPr>
            <w:tcW w:type="dxa" w:w="3061"/>
            <w:vAlign w:val="top"/>
          </w:tcPr>
          <w:p>
            <w:r/>
            <w:r>
              <w:rPr>
                <w:rFonts w:ascii="Calibri" w:hAnsi="Calibri"/>
                <w:color w:val="202020"/>
                <w:sz w:val="19"/>
              </w:rPr>
              <w:t>Policies RLS</w:t>
            </w:r>
          </w:p>
        </w:tc>
        <w:tc>
          <w:tcPr>
            <w:tcW w:type="dxa" w:w="1077"/>
            <w:vAlign w:val="top"/>
          </w:tcPr>
          <w:p>
            <w:r/>
            <w:r>
              <w:rPr>
                <w:rFonts w:ascii="Calibri" w:hAnsi="Calibri"/>
                <w:color w:val="202020"/>
                <w:sz w:val="19"/>
              </w:rPr>
              <w:t>108</w:t>
            </w:r>
          </w:p>
        </w:tc>
        <w:tc>
          <w:tcPr>
            <w:tcW w:type="dxa" w:w="1077"/>
            <w:vAlign w:val="top"/>
          </w:tcPr>
          <w:p>
            <w:r/>
            <w:r>
              <w:rPr>
                <w:rFonts w:ascii="Calibri" w:hAnsi="Calibri"/>
                <w:color w:val="202020"/>
                <w:sz w:val="19"/>
              </w:rPr>
              <w:t>144</w:t>
            </w:r>
          </w:p>
        </w:tc>
        <w:tc>
          <w:tcPr>
            <w:tcW w:type="dxa" w:w="1417"/>
            <w:vAlign w:val="top"/>
          </w:tcPr>
          <w:p>
            <w:r/>
            <w:r>
              <w:rPr>
                <w:rFonts w:ascii="Calibri" w:hAnsi="Calibri"/>
                <w:color w:val="202020"/>
                <w:sz w:val="19"/>
              </w:rPr>
              <w:t>160</w:t>
            </w:r>
          </w:p>
        </w:tc>
        <w:tc>
          <w:tcPr>
            <w:tcW w:type="dxa" w:w="1361"/>
            <w:vAlign w:val="top"/>
          </w:tcPr>
          <w:p>
            <w:r/>
            <w:r>
              <w:rPr>
                <w:rFonts w:ascii="Calibri" w:hAnsi="Calibri"/>
                <w:color w:val="202020"/>
                <w:sz w:val="19"/>
              </w:rPr>
              <w:t>161</w:t>
            </w:r>
          </w:p>
        </w:tc>
        <w:tc>
          <w:tcPr>
            <w:tcW w:type="dxa" w:w="1644"/>
            <w:vAlign w:val="top"/>
          </w:tcPr>
          <w:p>
            <w:r/>
            <w:r>
              <w:rPr>
                <w:rFonts w:ascii="Calibri" w:hAnsi="Calibri"/>
                <w:color w:val="202020"/>
                <w:sz w:val="19"/>
              </w:rPr>
              <w:t>+1 (carte-lecteur)</w:t>
            </w:r>
          </w:p>
        </w:tc>
      </w:tr>
      <w:tr>
        <w:tc>
          <w:tcPr>
            <w:tcW w:type="dxa" w:w="3061"/>
            <w:vAlign w:val="top"/>
          </w:tcPr>
          <w:p>
            <w:r/>
            <w:r>
              <w:rPr>
                <w:rFonts w:ascii="Calibri" w:hAnsi="Calibri"/>
                <w:color w:val="202020"/>
                <w:sz w:val="19"/>
              </w:rPr>
              <w:t>Triggers</w:t>
            </w:r>
          </w:p>
        </w:tc>
        <w:tc>
          <w:tcPr>
            <w:tcW w:type="dxa" w:w="1077"/>
            <w:vAlign w:val="top"/>
          </w:tcPr>
          <w:p>
            <w:r/>
            <w:r>
              <w:rPr>
                <w:rFonts w:ascii="Calibri" w:hAnsi="Calibri"/>
                <w:color w:val="202020"/>
                <w:sz w:val="19"/>
              </w:rPr>
              <w:t>52</w:t>
            </w:r>
          </w:p>
        </w:tc>
        <w:tc>
          <w:tcPr>
            <w:tcW w:type="dxa" w:w="1077"/>
            <w:vAlign w:val="top"/>
          </w:tcPr>
          <w:p>
            <w:r/>
            <w:r>
              <w:rPr>
                <w:rFonts w:ascii="Calibri" w:hAnsi="Calibri"/>
                <w:color w:val="202020"/>
                <w:sz w:val="19"/>
              </w:rPr>
              <w:t>79</w:t>
            </w:r>
          </w:p>
        </w:tc>
        <w:tc>
          <w:tcPr>
            <w:tcW w:type="dxa" w:w="1417"/>
            <w:vAlign w:val="top"/>
          </w:tcPr>
          <w:p>
            <w:r/>
            <w:r>
              <w:rPr>
                <w:rFonts w:ascii="Calibri" w:hAnsi="Calibri"/>
                <w:color w:val="202020"/>
                <w:sz w:val="19"/>
              </w:rPr>
              <w:t>78</w:t>
            </w:r>
          </w:p>
        </w:tc>
        <w:tc>
          <w:tcPr>
            <w:tcW w:type="dxa" w:w="1361"/>
            <w:vAlign w:val="top"/>
          </w:tcPr>
          <w:p>
            <w:r/>
            <w:r>
              <w:rPr>
                <w:rFonts w:ascii="Calibri" w:hAnsi="Calibri"/>
                <w:color w:val="202020"/>
                <w:sz w:val="19"/>
              </w:rPr>
              <w:t>78</w:t>
            </w:r>
          </w:p>
        </w:tc>
        <w:tc>
          <w:tcPr>
            <w:tcW w:type="dxa" w:w="1644"/>
            <w:vAlign w:val="top"/>
          </w:tcPr>
          <w:p>
            <w:r/>
            <w:r>
              <w:rPr>
                <w:rFonts w:ascii="Calibri" w:hAnsi="Calibri"/>
                <w:color w:val="202020"/>
                <w:sz w:val="19"/>
              </w:rPr>
              <w:t>=</w:t>
            </w:r>
          </w:p>
        </w:tc>
      </w:tr>
      <w:tr>
        <w:tc>
          <w:tcPr>
            <w:tcW w:type="dxa" w:w="3061"/>
            <w:vAlign w:val="top"/>
          </w:tcPr>
          <w:p>
            <w:r/>
            <w:r>
              <w:rPr>
                <w:rFonts w:ascii="Calibri" w:hAnsi="Calibri"/>
                <w:color w:val="202020"/>
                <w:sz w:val="19"/>
              </w:rPr>
              <w:t>Indexes explicites (CREATE INDEX)</w:t>
            </w:r>
          </w:p>
        </w:tc>
        <w:tc>
          <w:tcPr>
            <w:tcW w:type="dxa" w:w="1077"/>
            <w:vAlign w:val="top"/>
          </w:tcPr>
          <w:p>
            <w:r/>
            <w:r>
              <w:rPr>
                <w:rFonts w:ascii="Calibri" w:hAnsi="Calibri"/>
                <w:color w:val="202020"/>
                <w:sz w:val="19"/>
              </w:rPr>
              <w:t>210</w:t>
            </w:r>
          </w:p>
        </w:tc>
        <w:tc>
          <w:tcPr>
            <w:tcW w:type="dxa" w:w="1077"/>
            <w:vAlign w:val="top"/>
          </w:tcPr>
          <w:p>
            <w:r/>
            <w:r>
              <w:rPr>
                <w:rFonts w:ascii="Calibri" w:hAnsi="Calibri"/>
                <w:color w:val="202020"/>
                <w:sz w:val="19"/>
              </w:rPr>
              <w:t>n/a</w:t>
            </w:r>
          </w:p>
        </w:tc>
        <w:tc>
          <w:tcPr>
            <w:tcW w:type="dxa" w:w="1417"/>
            <w:vAlign w:val="top"/>
          </w:tcPr>
          <w:p>
            <w:r/>
            <w:r>
              <w:rPr>
                <w:rFonts w:ascii="Calibri" w:hAnsi="Calibri"/>
                <w:color w:val="202020"/>
                <w:sz w:val="19"/>
              </w:rPr>
              <w:t>241 + 98 PK + 27 UNIQUE</w:t>
            </w:r>
          </w:p>
        </w:tc>
        <w:tc>
          <w:tcPr>
            <w:tcW w:type="dxa" w:w="1361"/>
            <w:vAlign w:val="top"/>
          </w:tcPr>
          <w:p>
            <w:r/>
            <w:r>
              <w:rPr>
                <w:rFonts w:ascii="Calibri" w:hAnsi="Calibri"/>
                <w:color w:val="202020"/>
                <w:sz w:val="19"/>
              </w:rPr>
              <w:t>244 + 99 PK + UNIQUE</w:t>
            </w:r>
          </w:p>
        </w:tc>
        <w:tc>
          <w:tcPr>
            <w:tcW w:type="dxa" w:w="1644"/>
            <w:vAlign w:val="top"/>
          </w:tcPr>
          <w:p>
            <w:r/>
            <w:r>
              <w:rPr>
                <w:rFonts w:ascii="Calibri" w:hAnsi="Calibri"/>
                <w:color w:val="202020"/>
                <w:sz w:val="19"/>
              </w:rPr>
              <w:t>+3</w:t>
            </w:r>
          </w:p>
        </w:tc>
      </w:tr>
      <w:tr>
        <w:tc>
          <w:tcPr>
            <w:tcW w:type="dxa" w:w="3061"/>
            <w:vAlign w:val="top"/>
          </w:tcPr>
          <w:p>
            <w:r/>
            <w:r>
              <w:rPr>
                <w:rFonts w:ascii="Calibri" w:hAnsi="Calibri"/>
                <w:color w:val="202020"/>
                <w:sz w:val="19"/>
              </w:rPr>
              <w:t>Clés étrangères (ALTER ... FOREIGN KEY)</w:t>
            </w:r>
          </w:p>
        </w:tc>
        <w:tc>
          <w:tcPr>
            <w:tcW w:type="dxa" w:w="1077"/>
            <w:vAlign w:val="top"/>
          </w:tcPr>
          <w:p>
            <w:r/>
            <w:r>
              <w:rPr>
                <w:rFonts w:ascii="Calibri" w:hAnsi="Calibri"/>
                <w:color w:val="202020"/>
                <w:sz w:val="19"/>
              </w:rPr>
              <w:t>148</w:t>
            </w:r>
          </w:p>
        </w:tc>
        <w:tc>
          <w:tcPr>
            <w:tcW w:type="dxa" w:w="1077"/>
            <w:vAlign w:val="top"/>
          </w:tcPr>
          <w:p>
            <w:r/>
            <w:r>
              <w:rPr>
                <w:rFonts w:ascii="Calibri" w:hAnsi="Calibri"/>
                <w:color w:val="202020"/>
                <w:sz w:val="19"/>
              </w:rPr>
              <w:t>187</w:t>
            </w:r>
          </w:p>
        </w:tc>
        <w:tc>
          <w:tcPr>
            <w:tcW w:type="dxa" w:w="1417"/>
            <w:vAlign w:val="top"/>
          </w:tcPr>
          <w:p>
            <w:r/>
            <w:r>
              <w:rPr>
                <w:rFonts w:ascii="Calibri" w:hAnsi="Calibri"/>
                <w:color w:val="202020"/>
                <w:sz w:val="19"/>
              </w:rPr>
              <w:t>180</w:t>
            </w:r>
          </w:p>
        </w:tc>
        <w:tc>
          <w:tcPr>
            <w:tcW w:type="dxa" w:w="1361"/>
            <w:vAlign w:val="top"/>
          </w:tcPr>
          <w:p>
            <w:r/>
            <w:r>
              <w:rPr>
                <w:rFonts w:ascii="Calibri" w:hAnsi="Calibri"/>
                <w:color w:val="202020"/>
                <w:sz w:val="19"/>
              </w:rPr>
              <w:t>181</w:t>
            </w:r>
          </w:p>
        </w:tc>
        <w:tc>
          <w:tcPr>
            <w:tcW w:type="dxa" w:w="1644"/>
            <w:vAlign w:val="top"/>
          </w:tcPr>
          <w:p>
            <w:r/>
            <w:r>
              <w:rPr>
                <w:rFonts w:ascii="Calibri" w:hAnsi="Calibri"/>
                <w:color w:val="202020"/>
                <w:sz w:val="19"/>
              </w:rPr>
              <w:t>+1 (carte-lecteur)</w:t>
            </w:r>
          </w:p>
        </w:tc>
      </w:tr>
    </w:tbl>
    <w:p>
      <w:pPr>
        <w:jc w:val="both"/>
      </w:pPr>
      <w:r>
        <w:rPr>
          <w:rFonts w:ascii="Calibri" w:hAnsi="Calibri"/>
          <w:b w:val="0"/>
          <w:i/>
          <w:color w:val="202020"/>
          <w:sz w:val="22"/>
        </w:rPr>
        <w:t>(*) Note méthodologique sur SECURITY DEFINER : la mesure du v16 (247) comptait les fonctions en SECURITY DEFINER ; la mesure du v17 (272) compte toutes les occurrences textuelles du token SECURITY DEFINER, ce qui inclut les commentaires SQL et les en-têtes de migrations. La différence (≈ +25) reflète la densification documentaire de la doctrine de création d'objets sécurisés, plus que l'apparition de nouvelles fonctions DEFINER. La méthode à comparable est attendue pour le prochain dump.</w:t>
      </w:r>
    </w:p>
    <w:p>
      <w:pPr>
        <w:spacing w:before="240" w:after="80"/>
      </w:pPr>
      <w:r>
        <w:rPr>
          <w:rFonts w:ascii="Calibri" w:hAnsi="Calibri"/>
          <w:b/>
          <w:i w:val="0"/>
          <w:color w:val="445577"/>
          <w:sz w:val="30"/>
        </w:rPr>
        <w:t>III.2 — Lecture stratégique de la fenêtre courte v16 → v17</w:t>
      </w:r>
    </w:p>
    <w:p>
      <w:pPr>
        <w:jc w:val="both"/>
      </w:pPr>
      <w:r>
        <w:rPr>
          <w:rFonts w:ascii="Calibri" w:hAnsi="Calibri"/>
          <w:b w:val="0"/>
          <w:i w:val="0"/>
          <w:color w:val="202020"/>
          <w:sz w:val="22"/>
        </w:rPr>
        <w:t>Les deux dumps sont séparés de vingt-quatre heures et reflètent le passage de la session du 28 mai (carte-lecteur livrée le matin, découpe E.1/E.2 du Painel livrée le soir). Les changements observés sont cohérents avec ce passage. (+7 fonctions : RPC de carte-lecteur, RPC de restriction tracée, RPC d'account_status local. +1 vue api, +1 policy RLS, +1 FK : tous portés par la mini-table reader_card_tokens.) Aucune surprise structurelle. La cadence d'expansion continue à se ralentir conformément à la doctrine de jonction inscrite v14 : ce que le projet ajoute désormais, ce sont les pièces manquantes des chantiers entamés, pas des couches métier nouvelles.</w:t>
      </w:r>
    </w:p>
    <w:p>
      <w:pPr>
        <w:spacing w:before="240" w:after="80"/>
      </w:pPr>
      <w:r>
        <w:rPr>
          <w:rFonts w:ascii="Calibri" w:hAnsi="Calibri"/>
          <w:b/>
          <w:i w:val="0"/>
          <w:color w:val="445577"/>
          <w:sz w:val="30"/>
        </w:rPr>
        <w:t>III.3 — Cartographie par domaine</w:t>
      </w:r>
    </w:p>
    <w:p>
      <w:pPr>
        <w:jc w:val="both"/>
      </w:pPr>
      <w:r>
        <w:rPr>
          <w:rFonts w:ascii="Calibri" w:hAnsi="Calibri"/>
          <w:b w:val="0"/>
          <w:i w:val="0"/>
          <w:color w:val="202020"/>
          <w:sz w:val="22"/>
        </w:rPr>
        <w:t>Les 101 tables actives + 3 archivées + 1 backup se répartissent selon les domaines suivants. Cette répartition est stabilisée par les chantiers profils #98 (mai 2026), admin réseau (mai 2026), tâches récurrentes (mai 2026), partenaires (mai 2026), carte-lecteur (mai 2026).</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175"/>
            <w:shd w:val="clear" w:color="auto" w:fill="D5E0F0"/>
            <w:vAlign w:val="center"/>
          </w:tcPr>
          <w:p>
            <w:r/>
            <w:r>
              <w:rPr>
                <w:rFonts w:ascii="Calibri" w:hAnsi="Calibri"/>
                <w:b/>
                <w:color w:val="1F2E55"/>
                <w:sz w:val="21"/>
              </w:rPr>
              <w:t>Domaine</w:t>
            </w:r>
          </w:p>
        </w:tc>
        <w:tc>
          <w:tcPr>
            <w:tcW w:type="dxa" w:w="2608"/>
            <w:shd w:val="clear" w:color="auto" w:fill="D5E0F0"/>
            <w:vAlign w:val="center"/>
          </w:tcPr>
          <w:p>
            <w:r/>
            <w:r>
              <w:rPr>
                <w:rFonts w:ascii="Calibri" w:hAnsi="Calibri"/>
                <w:b/>
                <w:color w:val="1F2E55"/>
                <w:sz w:val="21"/>
              </w:rPr>
              <w:t>Tables actives</w:t>
            </w:r>
          </w:p>
        </w:tc>
        <w:tc>
          <w:tcPr>
            <w:tcW w:type="dxa" w:w="2494"/>
            <w:shd w:val="clear" w:color="auto" w:fill="D5E0F0"/>
            <w:vAlign w:val="center"/>
          </w:tcPr>
          <w:p>
            <w:r/>
            <w:r>
              <w:rPr>
                <w:rFonts w:ascii="Calibri" w:hAnsi="Calibri"/>
                <w:b/>
                <w:color w:val="1F2E55"/>
                <w:sz w:val="21"/>
              </w:rPr>
              <w:t>Triggers</w:t>
            </w:r>
          </w:p>
        </w:tc>
        <w:tc>
          <w:tcPr>
            <w:tcW w:type="dxa" w:w="2494"/>
            <w:shd w:val="clear" w:color="auto" w:fill="D5E0F0"/>
            <w:vAlign w:val="center"/>
          </w:tcPr>
          <w:p>
            <w:r/>
            <w:r>
              <w:rPr>
                <w:rFonts w:ascii="Calibri" w:hAnsi="Calibri"/>
                <w:b/>
                <w:color w:val="1F2E55"/>
                <w:sz w:val="21"/>
              </w:rPr>
              <w:t>Note</w:t>
            </w:r>
          </w:p>
        </w:tc>
      </w:tr>
      <w:tr>
        <w:tc>
          <w:tcPr>
            <w:tcW w:type="dxa" w:w="3175"/>
            <w:vAlign w:val="top"/>
          </w:tcPr>
          <w:p>
            <w:r/>
            <w:r>
              <w:rPr>
                <w:rFonts w:ascii="Calibri" w:hAnsi="Calibri"/>
                <w:color w:val="202020"/>
                <w:sz w:val="19"/>
              </w:rPr>
              <w:t>Catalogue documentaire (books, authors, ...)</w:t>
            </w:r>
          </w:p>
        </w:tc>
        <w:tc>
          <w:tcPr>
            <w:tcW w:type="dxa" w:w="2608"/>
            <w:vAlign w:val="top"/>
          </w:tcPr>
          <w:p>
            <w:r/>
            <w:r>
              <w:rPr>
                <w:rFonts w:ascii="Calibri" w:hAnsi="Calibri"/>
                <w:color w:val="202020"/>
                <w:sz w:val="19"/>
              </w:rPr>
              <w:t>11 + 9 catalog_ref_*</w:t>
            </w:r>
          </w:p>
        </w:tc>
        <w:tc>
          <w:tcPr>
            <w:tcW w:type="dxa" w:w="2494"/>
            <w:vAlign w:val="top"/>
          </w:tcPr>
          <w:p>
            <w:r/>
            <w:r>
              <w:rPr>
                <w:rFonts w:ascii="Calibri" w:hAnsi="Calibri"/>
                <w:color w:val="202020"/>
                <w:sz w:val="19"/>
              </w:rPr>
              <w:t>Modérés</w:t>
            </w:r>
          </w:p>
        </w:tc>
        <w:tc>
          <w:tcPr>
            <w:tcW w:type="dxa" w:w="2494"/>
            <w:vAlign w:val="top"/>
          </w:tcPr>
          <w:p>
            <w:r/>
            <w:r>
              <w:rPr>
                <w:rFonts w:ascii="Calibri" w:hAnsi="Calibri"/>
                <w:color w:val="202020"/>
                <w:sz w:val="19"/>
              </w:rPr>
              <w:t>Stable depuis v13.</w:t>
            </w:r>
          </w:p>
        </w:tc>
      </w:tr>
      <w:tr>
        <w:tc>
          <w:tcPr>
            <w:tcW w:type="dxa" w:w="3175"/>
            <w:vAlign w:val="top"/>
          </w:tcPr>
          <w:p>
            <w:r/>
            <w:r>
              <w:rPr>
                <w:rFonts w:ascii="Calibri" w:hAnsi="Calibri"/>
                <w:color w:val="202020"/>
                <w:sz w:val="19"/>
              </w:rPr>
              <w:t>Drafts éditoriaux (catalogação)</w:t>
            </w:r>
          </w:p>
        </w:tc>
        <w:tc>
          <w:tcPr>
            <w:tcW w:type="dxa" w:w="2608"/>
            <w:vAlign w:val="top"/>
          </w:tcPr>
          <w:p>
            <w:r/>
            <w:r>
              <w:rPr>
                <w:rFonts w:ascii="Calibri" w:hAnsi="Calibri"/>
                <w:color w:val="202020"/>
                <w:sz w:val="19"/>
              </w:rPr>
              <w:t>8</w:t>
            </w:r>
          </w:p>
        </w:tc>
        <w:tc>
          <w:tcPr>
            <w:tcW w:type="dxa" w:w="2494"/>
            <w:vAlign w:val="top"/>
          </w:tcPr>
          <w:p>
            <w:r/>
            <w:r>
              <w:rPr>
                <w:rFonts w:ascii="Calibri" w:hAnsi="Calibri"/>
                <w:color w:val="202020"/>
                <w:sz w:val="19"/>
              </w:rPr>
              <w:t>Modérés</w:t>
            </w:r>
          </w:p>
        </w:tc>
        <w:tc>
          <w:tcPr>
            <w:tcW w:type="dxa" w:w="2494"/>
            <w:vAlign w:val="top"/>
          </w:tcPr>
          <w:p>
            <w:r/>
            <w:r>
              <w:rPr>
                <w:rFonts w:ascii="Calibri" w:hAnsi="Calibri"/>
                <w:color w:val="202020"/>
                <w:sz w:val="19"/>
              </w:rPr>
              <w:t>Pattern api.my_access systématisé.</w:t>
            </w:r>
          </w:p>
        </w:tc>
      </w:tr>
      <w:tr>
        <w:tc>
          <w:tcPr>
            <w:tcW w:type="dxa" w:w="3175"/>
            <w:vAlign w:val="top"/>
          </w:tcPr>
          <w:p>
            <w:r/>
            <w:r>
              <w:rPr>
                <w:rFonts w:ascii="Calibri" w:hAnsi="Calibri"/>
                <w:color w:val="202020"/>
                <w:sz w:val="19"/>
              </w:rPr>
              <w:t>Imports partenaires (ingest)</w:t>
            </w:r>
          </w:p>
        </w:tc>
        <w:tc>
          <w:tcPr>
            <w:tcW w:type="dxa" w:w="2608"/>
            <w:vAlign w:val="top"/>
          </w:tcPr>
          <w:p>
            <w:r/>
            <w:r>
              <w:rPr>
                <w:rFonts w:ascii="Calibri" w:hAnsi="Calibri"/>
                <w:color w:val="202020"/>
                <w:sz w:val="19"/>
              </w:rPr>
              <w:t>7</w:t>
            </w:r>
          </w:p>
        </w:tc>
        <w:tc>
          <w:tcPr>
            <w:tcW w:type="dxa" w:w="2494"/>
            <w:vAlign w:val="top"/>
          </w:tcPr>
          <w:p>
            <w:r/>
            <w:r>
              <w:rPr>
                <w:rFonts w:ascii="Calibri" w:hAnsi="Calibri"/>
                <w:color w:val="202020"/>
                <w:sz w:val="19"/>
              </w:rPr>
              <w:t>Aucun (lecture service_role)</w:t>
            </w:r>
          </w:p>
        </w:tc>
        <w:tc>
          <w:tcPr>
            <w:tcW w:type="dxa" w:w="2494"/>
            <w:vAlign w:val="top"/>
          </w:tcPr>
          <w:p>
            <w:r/>
            <w:r>
              <w:rPr>
                <w:rFonts w:ascii="Calibri" w:hAnsi="Calibri"/>
                <w:color w:val="202020"/>
                <w:sz w:val="19"/>
              </w:rPr>
              <w:t>Stable depuis v13.</w:t>
            </w:r>
          </w:p>
        </w:tc>
      </w:tr>
      <w:tr>
        <w:tc>
          <w:tcPr>
            <w:tcW w:type="dxa" w:w="3175"/>
            <w:vAlign w:val="top"/>
          </w:tcPr>
          <w:p>
            <w:r/>
            <w:r>
              <w:rPr>
                <w:rFonts w:ascii="Calibri" w:hAnsi="Calibri"/>
                <w:color w:val="202020"/>
                <w:sz w:val="19"/>
              </w:rPr>
              <w:t>Réservations v2</w:t>
            </w:r>
          </w:p>
        </w:tc>
        <w:tc>
          <w:tcPr>
            <w:tcW w:type="dxa" w:w="2608"/>
            <w:vAlign w:val="top"/>
          </w:tcPr>
          <w:p>
            <w:r/>
            <w:r>
              <w:rPr>
                <w:rFonts w:ascii="Calibri" w:hAnsi="Calibri"/>
                <w:color w:val="202020"/>
                <w:sz w:val="19"/>
              </w:rPr>
              <w:t>3 (reservas_v2, _linhas, _workflow)</w:t>
            </w:r>
          </w:p>
        </w:tc>
        <w:tc>
          <w:tcPr>
            <w:tcW w:type="dxa" w:w="2494"/>
            <w:vAlign w:val="top"/>
          </w:tcPr>
          <w:p>
            <w:r/>
            <w:r>
              <w:rPr>
                <w:rFonts w:ascii="Calibri" w:hAnsi="Calibri"/>
                <w:color w:val="202020"/>
                <w:sz w:val="19"/>
              </w:rPr>
              <w:t>trg_notify_reserva_workflow</w:t>
            </w:r>
          </w:p>
        </w:tc>
        <w:tc>
          <w:tcPr>
            <w:tcW w:type="dxa" w:w="2494"/>
            <w:vAlign w:val="top"/>
          </w:tcPr>
          <w:p>
            <w:r/>
            <w:r>
              <w:rPr>
                <w:rFonts w:ascii="Calibri" w:hAnsi="Calibri"/>
                <w:color w:val="202020"/>
                <w:sz w:val="19"/>
              </w:rPr>
              <w:t>Couche fermée. Bug terminale fixé 26/05.</w:t>
            </w:r>
          </w:p>
        </w:tc>
      </w:tr>
      <w:tr>
        <w:tc>
          <w:tcPr>
            <w:tcW w:type="dxa" w:w="3175"/>
            <w:vAlign w:val="top"/>
          </w:tcPr>
          <w:p>
            <w:r/>
            <w:r>
              <w:rPr>
                <w:rFonts w:ascii="Calibri" w:hAnsi="Calibri"/>
                <w:color w:val="202020"/>
                <w:sz w:val="19"/>
              </w:rPr>
              <w:t>Emprunts v2</w:t>
            </w:r>
          </w:p>
        </w:tc>
        <w:tc>
          <w:tcPr>
            <w:tcW w:type="dxa" w:w="2608"/>
            <w:vAlign w:val="top"/>
          </w:tcPr>
          <w:p>
            <w:r/>
            <w:r>
              <w:rPr>
                <w:rFonts w:ascii="Calibri" w:hAnsi="Calibri"/>
                <w:color w:val="202020"/>
                <w:sz w:val="19"/>
              </w:rPr>
              <w:t>2 (emprestimos_v2, _itens)</w:t>
            </w:r>
          </w:p>
        </w:tc>
        <w:tc>
          <w:tcPr>
            <w:tcW w:type="dxa" w:w="2494"/>
            <w:vAlign w:val="top"/>
          </w:tcPr>
          <w:p>
            <w:r/>
            <w:r>
              <w:rPr>
                <w:rFonts w:ascii="Calibri" w:hAnsi="Calibri"/>
                <w:color w:val="202020"/>
                <w:sz w:val="19"/>
              </w:rPr>
              <w:t>trg_notify_emprestimo_criado, _prorrogacao</w:t>
            </w:r>
          </w:p>
        </w:tc>
        <w:tc>
          <w:tcPr>
            <w:tcW w:type="dxa" w:w="2494"/>
            <w:vAlign w:val="top"/>
          </w:tcPr>
          <w:p>
            <w:r/>
            <w:r>
              <w:rPr>
                <w:rFonts w:ascii="Calibri" w:hAnsi="Calibri"/>
                <w:color w:val="202020"/>
                <w:sz w:val="19"/>
              </w:rPr>
              <w:t>Couche fermée.</w:t>
            </w:r>
          </w:p>
        </w:tc>
      </w:tr>
      <w:tr>
        <w:tc>
          <w:tcPr>
            <w:tcW w:type="dxa" w:w="3175"/>
            <w:vAlign w:val="top"/>
          </w:tcPr>
          <w:p>
            <w:r/>
            <w:r>
              <w:rPr>
                <w:rFonts w:ascii="Calibri" w:hAnsi="Calibri"/>
                <w:color w:val="202020"/>
                <w:sz w:val="19"/>
              </w:rPr>
              <w:t>Consultations locales v2</w:t>
            </w:r>
          </w:p>
        </w:tc>
        <w:tc>
          <w:tcPr>
            <w:tcW w:type="dxa" w:w="2608"/>
            <w:vAlign w:val="top"/>
          </w:tcPr>
          <w:p>
            <w:r/>
            <w:r>
              <w:rPr>
                <w:rFonts w:ascii="Calibri" w:hAnsi="Calibri"/>
                <w:color w:val="202020"/>
                <w:sz w:val="19"/>
              </w:rPr>
              <w:t>3 (consultas_locais_v2, _linhas, _workflow)</w:t>
            </w:r>
          </w:p>
        </w:tc>
        <w:tc>
          <w:tcPr>
            <w:tcW w:type="dxa" w:w="2494"/>
            <w:vAlign w:val="top"/>
          </w:tcPr>
          <w:p>
            <w:r/>
            <w:r>
              <w:rPr>
                <w:rFonts w:ascii="Calibri" w:hAnsi="Calibri"/>
                <w:color w:val="202020"/>
                <w:sz w:val="19"/>
              </w:rPr>
              <w:t>trg_notify_consulta_workflow, _lifecycle</w:t>
            </w:r>
          </w:p>
        </w:tc>
        <w:tc>
          <w:tcPr>
            <w:tcW w:type="dxa" w:w="2494"/>
            <w:vAlign w:val="top"/>
          </w:tcPr>
          <w:p>
            <w:r/>
            <w:r>
              <w:rPr>
                <w:rFonts w:ascii="Calibri" w:hAnsi="Calibri"/>
                <w:color w:val="202020"/>
                <w:sz w:val="19"/>
              </w:rPr>
              <w:t>Couche fermée backend (R7-R11 internalisés).</w:t>
            </w:r>
          </w:p>
        </w:tc>
      </w:tr>
      <w:tr>
        <w:tc>
          <w:tcPr>
            <w:tcW w:type="dxa" w:w="3175"/>
            <w:vAlign w:val="top"/>
          </w:tcPr>
          <w:p>
            <w:r/>
            <w:r>
              <w:rPr>
                <w:rFonts w:ascii="Calibri" w:hAnsi="Calibri"/>
                <w:color w:val="202020"/>
                <w:sz w:val="19"/>
              </w:rPr>
              <w:t>PEB / interbibliothèques v2</w:t>
            </w:r>
          </w:p>
        </w:tc>
        <w:tc>
          <w:tcPr>
            <w:tcW w:type="dxa" w:w="2608"/>
            <w:vAlign w:val="top"/>
          </w:tcPr>
          <w:p>
            <w:r/>
            <w:r>
              <w:rPr>
                <w:rFonts w:ascii="Calibri" w:hAnsi="Calibri"/>
                <w:color w:val="202020"/>
                <w:sz w:val="19"/>
              </w:rPr>
              <w:t>4 (interlibrary_loans_v2 + items, events, notif)</w:t>
            </w:r>
          </w:p>
        </w:tc>
        <w:tc>
          <w:tcPr>
            <w:tcW w:type="dxa" w:w="2494"/>
            <w:vAlign w:val="top"/>
          </w:tcPr>
          <w:p>
            <w:r/>
            <w:r>
              <w:rPr>
                <w:rFonts w:ascii="Calibri" w:hAnsi="Calibri"/>
                <w:color w:val="202020"/>
                <w:sz w:val="19"/>
              </w:rPr>
              <w:t>trg_interlibrary_loan_enqueue_notifications + status_transitions</w:t>
            </w:r>
          </w:p>
        </w:tc>
        <w:tc>
          <w:tcPr>
            <w:tcW w:type="dxa" w:w="2494"/>
            <w:vAlign w:val="top"/>
          </w:tcPr>
          <w:p>
            <w:r/>
            <w:r>
              <w:rPr>
                <w:rFonts w:ascii="Calibri" w:hAnsi="Calibri"/>
                <w:color w:val="202020"/>
                <w:sz w:val="19"/>
              </w:rPr>
              <w:t>Chantier ILL clos (5/6), digital cadré à part.</w:t>
            </w:r>
          </w:p>
        </w:tc>
      </w:tr>
      <w:tr>
        <w:tc>
          <w:tcPr>
            <w:tcW w:type="dxa" w:w="3175"/>
            <w:vAlign w:val="top"/>
          </w:tcPr>
          <w:p>
            <w:r/>
            <w:r>
              <w:rPr>
                <w:rFonts w:ascii="Calibri" w:hAnsi="Calibri"/>
                <w:color w:val="202020"/>
                <w:sz w:val="19"/>
              </w:rPr>
              <w:t>Profils, droits, restrictions</w:t>
            </w:r>
          </w:p>
        </w:tc>
        <w:tc>
          <w:tcPr>
            <w:tcW w:type="dxa" w:w="2608"/>
            <w:vAlign w:val="top"/>
          </w:tcPr>
          <w:p>
            <w:r/>
            <w:r>
              <w:rPr>
                <w:rFonts w:ascii="Calibri" w:hAnsi="Calibri"/>
                <w:color w:val="202020"/>
                <w:sz w:val="19"/>
              </w:rPr>
              <w:t>4 (profiles, user_library_memberships, ...)</w:t>
            </w:r>
          </w:p>
        </w:tc>
        <w:tc>
          <w:tcPr>
            <w:tcW w:type="dxa" w:w="2494"/>
            <w:vAlign w:val="top"/>
          </w:tcPr>
          <w:p>
            <w:r/>
            <w:r>
              <w:rPr>
                <w:rFonts w:ascii="Calibri" w:hAnsi="Calibri"/>
                <w:color w:val="202020"/>
                <w:sz w:val="19"/>
              </w:rPr>
              <w:t>trg_sync_profile_is_librarian_from_memberships</w:t>
            </w:r>
          </w:p>
        </w:tc>
        <w:tc>
          <w:tcPr>
            <w:tcW w:type="dxa" w:w="2494"/>
            <w:vAlign w:val="top"/>
          </w:tcPr>
          <w:p>
            <w:r/>
            <w:r>
              <w:rPr>
                <w:rFonts w:ascii="Calibri" w:hAnsi="Calibri"/>
                <w:color w:val="202020"/>
                <w:sz w:val="19"/>
              </w:rPr>
              <w:t>Restriction mixte actée 28/05.</w:t>
            </w:r>
          </w:p>
        </w:tc>
      </w:tr>
      <w:tr>
        <w:tc>
          <w:tcPr>
            <w:tcW w:type="dxa" w:w="3175"/>
            <w:vAlign w:val="top"/>
          </w:tcPr>
          <w:p>
            <w:r/>
            <w:r>
              <w:rPr>
                <w:rFonts w:ascii="Calibri" w:hAnsi="Calibri"/>
                <w:color w:val="202020"/>
                <w:sz w:val="19"/>
              </w:rPr>
              <w:t>Bibliothèques et gouvernance</w:t>
            </w:r>
          </w:p>
        </w:tc>
        <w:tc>
          <w:tcPr>
            <w:tcW w:type="dxa" w:w="2608"/>
            <w:vAlign w:val="top"/>
          </w:tcPr>
          <w:p>
            <w:r/>
            <w:r>
              <w:rPr>
                <w:rFonts w:ascii="Calibri" w:hAnsi="Calibri"/>
                <w:color w:val="202020"/>
                <w:sz w:val="19"/>
              </w:rPr>
              <w:t>10 (libraries, _circulation_policy_sets/rules, ...)</w:t>
            </w:r>
          </w:p>
        </w:tc>
        <w:tc>
          <w:tcPr>
            <w:tcW w:type="dxa" w:w="2494"/>
            <w:vAlign w:val="top"/>
          </w:tcPr>
          <w:p>
            <w:r/>
            <w:r>
              <w:rPr>
                <w:rFonts w:ascii="Calibri" w:hAnsi="Calibri"/>
                <w:color w:val="202020"/>
                <w:sz w:val="19"/>
              </w:rPr>
              <w:t>Multiples</w:t>
            </w:r>
          </w:p>
        </w:tc>
        <w:tc>
          <w:tcPr>
            <w:tcW w:type="dxa" w:w="2494"/>
            <w:vAlign w:val="top"/>
          </w:tcPr>
          <w:p>
            <w:r/>
            <w:r>
              <w:rPr>
                <w:rFonts w:ascii="Calibri" w:hAnsi="Calibri"/>
                <w:color w:val="202020"/>
                <w:sz w:val="19"/>
              </w:rPr>
              <w:t>Stable. logo_url ajouté 27/05.</w:t>
            </w:r>
          </w:p>
        </w:tc>
      </w:tr>
      <w:tr>
        <w:tc>
          <w:tcPr>
            <w:tcW w:type="dxa" w:w="3175"/>
            <w:vAlign w:val="top"/>
          </w:tcPr>
          <w:p>
            <w:r/>
            <w:r>
              <w:rPr>
                <w:rFonts w:ascii="Calibri" w:hAnsi="Calibri"/>
                <w:color w:val="202020"/>
                <w:sz w:val="19"/>
              </w:rPr>
              <w:t>Communications par bibliothèque</w:t>
            </w:r>
          </w:p>
        </w:tc>
        <w:tc>
          <w:tcPr>
            <w:tcW w:type="dxa" w:w="2608"/>
            <w:vAlign w:val="top"/>
          </w:tcPr>
          <w:p>
            <w:r/>
            <w:r>
              <w:rPr>
                <w:rFonts w:ascii="Calibri" w:hAnsi="Calibri"/>
                <w:color w:val="202020"/>
                <w:sz w:val="19"/>
              </w:rPr>
              <w:t>4 (notification_policies, _profiles, _email_identity, _mail_channels)</w:t>
            </w:r>
          </w:p>
        </w:tc>
        <w:tc>
          <w:tcPr>
            <w:tcW w:type="dxa" w:w="2494"/>
            <w:vAlign w:val="top"/>
          </w:tcPr>
          <w:p>
            <w:r/>
            <w:r>
              <w:rPr>
                <w:rFonts w:ascii="Calibri" w:hAnsi="Calibri"/>
                <w:color w:val="202020"/>
                <w:sz w:val="19"/>
              </w:rPr>
              <w:t>—</w:t>
            </w:r>
          </w:p>
        </w:tc>
        <w:tc>
          <w:tcPr>
            <w:tcW w:type="dxa" w:w="2494"/>
            <w:vAlign w:val="top"/>
          </w:tcPr>
          <w:p>
            <w:r/>
            <w:r>
              <w:rPr>
                <w:rFonts w:ascii="Calibri" w:hAnsi="Calibri"/>
                <w:color w:val="202020"/>
                <w:sz w:val="19"/>
              </w:rPr>
              <w:t>Stable.</w:t>
            </w:r>
          </w:p>
        </w:tc>
      </w:tr>
      <w:tr>
        <w:tc>
          <w:tcPr>
            <w:tcW w:type="dxa" w:w="3175"/>
            <w:vAlign w:val="top"/>
          </w:tcPr>
          <w:p>
            <w:r/>
            <w:r>
              <w:rPr>
                <w:rFonts w:ascii="Calibri" w:hAnsi="Calibri"/>
                <w:color w:val="202020"/>
                <w:sz w:val="19"/>
              </w:rPr>
              <w:t>Onboarding bibliothèques</w:t>
            </w:r>
          </w:p>
        </w:tc>
        <w:tc>
          <w:tcPr>
            <w:tcW w:type="dxa" w:w="2608"/>
            <w:vAlign w:val="top"/>
          </w:tcPr>
          <w:p>
            <w:r/>
            <w:r>
              <w:rPr>
                <w:rFonts w:ascii="Calibri" w:hAnsi="Calibri"/>
                <w:color w:val="202020"/>
                <w:sz w:val="19"/>
              </w:rPr>
              <w:t>3 (library_requests, _claims, _notification_events)</w:t>
            </w:r>
          </w:p>
        </w:tc>
        <w:tc>
          <w:tcPr>
            <w:tcW w:type="dxa" w:w="2494"/>
            <w:vAlign w:val="top"/>
          </w:tcPr>
          <w:p>
            <w:r/>
            <w:r>
              <w:rPr>
                <w:rFonts w:ascii="Calibri" w:hAnsi="Calibri"/>
                <w:color w:val="202020"/>
                <w:sz w:val="19"/>
              </w:rPr>
              <w:t>trg_library_requests_notify</w:t>
            </w:r>
          </w:p>
        </w:tc>
        <w:tc>
          <w:tcPr>
            <w:tcW w:type="dxa" w:w="2494"/>
            <w:vAlign w:val="top"/>
          </w:tcPr>
          <w:p>
            <w:r/>
            <w:r>
              <w:rPr>
                <w:rFonts w:ascii="Calibri" w:hAnsi="Calibri"/>
                <w:color w:val="202020"/>
                <w:sz w:val="19"/>
              </w:rPr>
              <w:t>Cycle stable.</w:t>
            </w:r>
          </w:p>
        </w:tc>
      </w:tr>
      <w:tr>
        <w:tc>
          <w:tcPr>
            <w:tcW w:type="dxa" w:w="3175"/>
            <w:vAlign w:val="top"/>
          </w:tcPr>
          <w:p>
            <w:r/>
            <w:r>
              <w:rPr>
                <w:rFonts w:ascii="Calibri" w:hAnsi="Calibri"/>
                <w:color w:val="202020"/>
                <w:sz w:val="19"/>
              </w:rPr>
              <w:t>Catalog partners (probing)</w:t>
            </w:r>
          </w:p>
        </w:tc>
        <w:tc>
          <w:tcPr>
            <w:tcW w:type="dxa" w:w="2608"/>
            <w:vAlign w:val="top"/>
          </w:tcPr>
          <w:p>
            <w:r/>
            <w:r>
              <w:rPr>
                <w:rFonts w:ascii="Calibri" w:hAnsi="Calibri"/>
                <w:color w:val="202020"/>
                <w:sz w:val="19"/>
              </w:rPr>
              <w:t>3 (partners, _capabilities, _probe_runs)</w:t>
            </w:r>
          </w:p>
        </w:tc>
        <w:tc>
          <w:tcPr>
            <w:tcW w:type="dxa" w:w="2494"/>
            <w:vAlign w:val="top"/>
          </w:tcPr>
          <w:p>
            <w:r/>
            <w:r>
              <w:rPr>
                <w:rFonts w:ascii="Calibri" w:hAnsi="Calibri"/>
                <w:color w:val="202020"/>
                <w:sz w:val="19"/>
              </w:rPr>
              <w:t>—</w:t>
            </w:r>
          </w:p>
        </w:tc>
        <w:tc>
          <w:tcPr>
            <w:tcW w:type="dxa" w:w="2494"/>
            <w:vAlign w:val="top"/>
          </w:tcPr>
          <w:p>
            <w:r/>
            <w:r>
              <w:rPr>
                <w:rFonts w:ascii="Calibri" w:hAnsi="Calibri"/>
                <w:color w:val="202020"/>
                <w:sz w:val="19"/>
              </w:rPr>
              <w:t>Stable.</w:t>
            </w:r>
          </w:p>
        </w:tc>
      </w:tr>
      <w:tr>
        <w:tc>
          <w:tcPr>
            <w:tcW w:type="dxa" w:w="3175"/>
            <w:vAlign w:val="top"/>
          </w:tcPr>
          <w:p>
            <w:r/>
            <w:r>
              <w:rPr>
                <w:rFonts w:ascii="Calibri" w:hAnsi="Calibri"/>
                <w:color w:val="202020"/>
                <w:sz w:val="19"/>
              </w:rPr>
              <w:t>Réseau et personnel local</w:t>
            </w:r>
          </w:p>
        </w:tc>
        <w:tc>
          <w:tcPr>
            <w:tcW w:type="dxa" w:w="2608"/>
            <w:vAlign w:val="top"/>
          </w:tcPr>
          <w:p>
            <w:r/>
            <w:r>
              <w:rPr>
                <w:rFonts w:ascii="Calibri" w:hAnsi="Calibri"/>
                <w:color w:val="202020"/>
                <w:sz w:val="19"/>
              </w:rPr>
              <w:t>4 (partner_source_records/_holdings/_items, network_reviewers)</w:t>
            </w:r>
          </w:p>
        </w:tc>
        <w:tc>
          <w:tcPr>
            <w:tcW w:type="dxa" w:w="2494"/>
            <w:vAlign w:val="top"/>
          </w:tcPr>
          <w:p>
            <w:r/>
            <w:r>
              <w:rPr>
                <w:rFonts w:ascii="Calibri" w:hAnsi="Calibri"/>
                <w:color w:val="202020"/>
                <w:sz w:val="19"/>
              </w:rPr>
              <w:t>—</w:t>
            </w:r>
          </w:p>
        </w:tc>
        <w:tc>
          <w:tcPr>
            <w:tcW w:type="dxa" w:w="2494"/>
            <w:vAlign w:val="top"/>
          </w:tcPr>
          <w:p>
            <w:r/>
            <w:r>
              <w:rPr>
                <w:rFonts w:ascii="Calibri" w:hAnsi="Calibri"/>
                <w:color w:val="202020"/>
                <w:sz w:val="19"/>
              </w:rPr>
              <w:t>Stable.</w:t>
            </w:r>
          </w:p>
        </w:tc>
      </w:tr>
      <w:tr>
        <w:tc>
          <w:tcPr>
            <w:tcW w:type="dxa" w:w="3175"/>
            <w:vAlign w:val="top"/>
          </w:tcPr>
          <w:p>
            <w:r/>
            <w:r>
              <w:rPr>
                <w:rFonts w:ascii="Calibri" w:hAnsi="Calibri"/>
                <w:color w:val="202020"/>
                <w:sz w:val="19"/>
              </w:rPr>
              <w:t>Tâches internes Painel</w:t>
            </w:r>
          </w:p>
        </w:tc>
        <w:tc>
          <w:tcPr>
            <w:tcW w:type="dxa" w:w="2608"/>
            <w:vAlign w:val="top"/>
          </w:tcPr>
          <w:p>
            <w:r/>
            <w:r>
              <w:rPr>
                <w:rFonts w:ascii="Calibri" w:hAnsi="Calibri"/>
                <w:color w:val="202020"/>
                <w:sz w:val="19"/>
              </w:rPr>
              <w:t>4 (painel_internal_tasks + invites, outbox×2)</w:t>
            </w:r>
          </w:p>
        </w:tc>
        <w:tc>
          <w:tcPr>
            <w:tcW w:type="dxa" w:w="2494"/>
            <w:vAlign w:val="top"/>
          </w:tcPr>
          <w:p>
            <w:r/>
            <w:r>
              <w:rPr>
                <w:rFonts w:ascii="Calibri" w:hAnsi="Calibri"/>
                <w:color w:val="202020"/>
                <w:sz w:val="19"/>
              </w:rPr>
              <w:t>trg_auto_dispatch_task_* + enqueue</w:t>
            </w:r>
          </w:p>
        </w:tc>
        <w:tc>
          <w:tcPr>
            <w:tcW w:type="dxa" w:w="2494"/>
            <w:vAlign w:val="top"/>
          </w:tcPr>
          <w:p>
            <w:r/>
            <w:r>
              <w:rPr>
                <w:rFonts w:ascii="Calibri" w:hAnsi="Calibri"/>
                <w:color w:val="202020"/>
                <w:sz w:val="19"/>
              </w:rPr>
              <w:t>Module livré 24/05.</w:t>
            </w:r>
          </w:p>
        </w:tc>
      </w:tr>
      <w:tr>
        <w:tc>
          <w:tcPr>
            <w:tcW w:type="dxa" w:w="3175"/>
            <w:vAlign w:val="top"/>
          </w:tcPr>
          <w:p>
            <w:r/>
            <w:r>
              <w:rPr>
                <w:rFonts w:ascii="Calibri" w:hAnsi="Calibri"/>
                <w:color w:val="202020"/>
                <w:sz w:val="19"/>
              </w:rPr>
              <w:t>Documents et permissions</w:t>
            </w:r>
          </w:p>
        </w:tc>
        <w:tc>
          <w:tcPr>
            <w:tcW w:type="dxa" w:w="2608"/>
            <w:vAlign w:val="top"/>
          </w:tcPr>
          <w:p>
            <w:r/>
            <w:r>
              <w:rPr>
                <w:rFonts w:ascii="Calibri" w:hAnsi="Calibri"/>
                <w:color w:val="202020"/>
                <w:sz w:val="19"/>
              </w:rPr>
              <w:t>2 (document_permission_requests + _notification_events)</w:t>
            </w:r>
          </w:p>
        </w:tc>
        <w:tc>
          <w:tcPr>
            <w:tcW w:type="dxa" w:w="2494"/>
            <w:vAlign w:val="top"/>
          </w:tcPr>
          <w:p>
            <w:r/>
            <w:r>
              <w:rPr>
                <w:rFonts w:ascii="Calibri" w:hAnsi="Calibri"/>
                <w:color w:val="202020"/>
                <w:sz w:val="19"/>
              </w:rPr>
              <w:t>trg_document_permission_request_notifications</w:t>
            </w:r>
          </w:p>
        </w:tc>
        <w:tc>
          <w:tcPr>
            <w:tcW w:type="dxa" w:w="2494"/>
            <w:vAlign w:val="top"/>
          </w:tcPr>
          <w:p>
            <w:r/>
            <w:r>
              <w:rPr>
                <w:rFonts w:ascii="Calibri" w:hAnsi="Calibri"/>
                <w:color w:val="202020"/>
                <w:sz w:val="19"/>
              </w:rPr>
              <w:t>Stable.</w:t>
            </w:r>
          </w:p>
        </w:tc>
      </w:tr>
      <w:tr>
        <w:tc>
          <w:tcPr>
            <w:tcW w:type="dxa" w:w="3175"/>
            <w:vAlign w:val="top"/>
          </w:tcPr>
          <w:p>
            <w:r/>
            <w:r>
              <w:rPr>
                <w:rFonts w:ascii="Calibri" w:hAnsi="Calibri"/>
                <w:color w:val="202020"/>
                <w:sz w:val="19"/>
              </w:rPr>
              <w:t>Profils d'adoption (chantier #98)</w:t>
            </w:r>
          </w:p>
        </w:tc>
        <w:tc>
          <w:tcPr>
            <w:tcW w:type="dxa" w:w="2608"/>
            <w:vAlign w:val="top"/>
          </w:tcPr>
          <w:p>
            <w:r/>
            <w:r>
              <w:rPr>
                <w:rFonts w:ascii="Calibri" w:hAnsi="Calibri"/>
                <w:color w:val="202020"/>
                <w:sz w:val="19"/>
              </w:rPr>
              <w:t>4 (_history, _proposals, _votes, _grace_locks)</w:t>
            </w:r>
          </w:p>
        </w:tc>
        <w:tc>
          <w:tcPr>
            <w:tcW w:type="dxa" w:w="2494"/>
            <w:vAlign w:val="top"/>
          </w:tcPr>
          <w:p>
            <w:r/>
            <w:r>
              <w:rPr>
                <w:rFonts w:ascii="Calibri" w:hAnsi="Calibri"/>
                <w:color w:val="202020"/>
                <w:sz w:val="19"/>
              </w:rPr>
              <w:t>5 triggers (lph_notify, _block, lpp_notify, lpv_notify)</w:t>
            </w:r>
          </w:p>
        </w:tc>
        <w:tc>
          <w:tcPr>
            <w:tcW w:type="dxa" w:w="2494"/>
            <w:vAlign w:val="top"/>
          </w:tcPr>
          <w:p>
            <w:r/>
            <w:r>
              <w:rPr>
                <w:rFonts w:ascii="Calibri" w:hAnsi="Calibri"/>
                <w:color w:val="202020"/>
                <w:sz w:val="19"/>
              </w:rPr>
              <w:t>Couche livrée backend, frontend partiel.</w:t>
            </w:r>
          </w:p>
        </w:tc>
      </w:tr>
      <w:tr>
        <w:tc>
          <w:tcPr>
            <w:tcW w:type="dxa" w:w="3175"/>
            <w:vAlign w:val="top"/>
          </w:tcPr>
          <w:p>
            <w:r/>
            <w:r>
              <w:rPr>
                <w:rFonts w:ascii="Calibri" w:hAnsi="Calibri"/>
                <w:color w:val="202020"/>
                <w:sz w:val="19"/>
              </w:rPr>
              <w:t>Admin réseau</w:t>
            </w:r>
          </w:p>
        </w:tc>
        <w:tc>
          <w:tcPr>
            <w:tcW w:type="dxa" w:w="2608"/>
            <w:vAlign w:val="top"/>
          </w:tcPr>
          <w:p>
            <w:r/>
            <w:r>
              <w:rPr>
                <w:rFonts w:ascii="Calibri" w:hAnsi="Calibri"/>
                <w:color w:val="202020"/>
                <w:sz w:val="19"/>
              </w:rPr>
              <w:t>8 (network_administrators, _audit, _cooptation, _removal × 2)</w:t>
            </w:r>
          </w:p>
        </w:tc>
        <w:tc>
          <w:tcPr>
            <w:tcW w:type="dxa" w:w="2494"/>
            <w:vAlign w:val="top"/>
          </w:tcPr>
          <w:p>
            <w:r/>
            <w:r>
              <w:rPr>
                <w:rFonts w:ascii="Calibri" w:hAnsi="Calibri"/>
                <w:color w:val="202020"/>
                <w:sz w:val="19"/>
              </w:rPr>
              <w:t>trg_check_cooptation_completion, trg_cross_lib_log_critical_notification</w:t>
            </w:r>
          </w:p>
        </w:tc>
        <w:tc>
          <w:tcPr>
            <w:tcW w:type="dxa" w:w="2494"/>
            <w:vAlign w:val="top"/>
          </w:tcPr>
          <w:p>
            <w:r/>
            <w:r>
              <w:rPr>
                <w:rFonts w:ascii="Calibri" w:hAnsi="Calibri"/>
                <w:color w:val="202020"/>
                <w:sz w:val="19"/>
              </w:rPr>
              <w:t>Couche livrée backend ET frontend.</w:t>
            </w:r>
          </w:p>
        </w:tc>
      </w:tr>
      <w:tr>
        <w:tc>
          <w:tcPr>
            <w:tcW w:type="dxa" w:w="3175"/>
            <w:vAlign w:val="top"/>
          </w:tcPr>
          <w:p>
            <w:r/>
            <w:r>
              <w:rPr>
                <w:rFonts w:ascii="Calibri" w:hAnsi="Calibri"/>
                <w:color w:val="202020"/>
                <w:sz w:val="19"/>
              </w:rPr>
              <w:t>Cotisations et engagement</w:t>
            </w:r>
          </w:p>
        </w:tc>
        <w:tc>
          <w:tcPr>
            <w:tcW w:type="dxa" w:w="2608"/>
            <w:vAlign w:val="top"/>
          </w:tcPr>
          <w:p>
            <w:r/>
            <w:r>
              <w:rPr>
                <w:rFonts w:ascii="Calibri" w:hAnsi="Calibri"/>
                <w:color w:val="202020"/>
                <w:sz w:val="19"/>
              </w:rPr>
              <w:t>3 (library_membership_rules, membership_payments, library_membership_audit)</w:t>
            </w:r>
          </w:p>
        </w:tc>
        <w:tc>
          <w:tcPr>
            <w:tcW w:type="dxa" w:w="2494"/>
            <w:vAlign w:val="top"/>
          </w:tcPr>
          <w:p>
            <w:r/>
            <w:r>
              <w:rPr>
                <w:rFonts w:ascii="Calibri" w:hAnsi="Calibri"/>
                <w:color w:val="202020"/>
                <w:sz w:val="19"/>
              </w:rPr>
              <w:t>Modérés</w:t>
            </w:r>
          </w:p>
        </w:tc>
        <w:tc>
          <w:tcPr>
            <w:tcW w:type="dxa" w:w="2494"/>
            <w:vAlign w:val="top"/>
          </w:tcPr>
          <w:p>
            <w:r/>
            <w:r>
              <w:rPr>
                <w:rFonts w:ascii="Calibri" w:hAnsi="Calibri"/>
                <w:color w:val="202020"/>
                <w:sz w:val="19"/>
              </w:rPr>
              <w:t>Backend prêt, frontend à compléter (#33, #36).</w:t>
            </w:r>
          </w:p>
        </w:tc>
      </w:tr>
      <w:tr>
        <w:tc>
          <w:tcPr>
            <w:tcW w:type="dxa" w:w="3175"/>
            <w:vAlign w:val="top"/>
          </w:tcPr>
          <w:p>
            <w:r/>
            <w:r>
              <w:rPr>
                <w:rFonts w:ascii="Calibri" w:hAnsi="Calibri"/>
                <w:color w:val="202020"/>
                <w:sz w:val="19"/>
              </w:rPr>
              <w:t>Rétention et archivage transactionnel</w:t>
            </w:r>
          </w:p>
        </w:tc>
        <w:tc>
          <w:tcPr>
            <w:tcW w:type="dxa" w:w="2608"/>
            <w:vAlign w:val="top"/>
          </w:tcPr>
          <w:p>
            <w:r/>
            <w:r>
              <w:rPr>
                <w:rFonts w:ascii="Calibri" w:hAnsi="Calibri"/>
                <w:color w:val="202020"/>
                <w:sz w:val="19"/>
              </w:rPr>
              <w:t>library_retention_policies + library_unarchive_log + 3 _archived_*</w:t>
            </w:r>
          </w:p>
        </w:tc>
        <w:tc>
          <w:tcPr>
            <w:tcW w:type="dxa" w:w="2494"/>
            <w:vAlign w:val="top"/>
          </w:tcPr>
          <w:p>
            <w:r/>
            <w:r>
              <w:rPr>
                <w:rFonts w:ascii="Calibri" w:hAnsi="Calibri"/>
                <w:color w:val="202020"/>
                <w:sz w:val="19"/>
              </w:rPr>
              <w:t>Modérés</w:t>
            </w:r>
          </w:p>
        </w:tc>
        <w:tc>
          <w:tcPr>
            <w:tcW w:type="dxa" w:w="2494"/>
            <w:vAlign w:val="top"/>
          </w:tcPr>
          <w:p>
            <w:r/>
            <w:r>
              <w:rPr>
                <w:rFonts w:ascii="Calibri" w:hAnsi="Calibri"/>
                <w:color w:val="202020"/>
                <w:sz w:val="19"/>
              </w:rPr>
              <w:t>Pattern archivage réversible.</w:t>
            </w:r>
          </w:p>
        </w:tc>
      </w:tr>
      <w:tr>
        <w:tc>
          <w:tcPr>
            <w:tcW w:type="dxa" w:w="3175"/>
            <w:vAlign w:val="top"/>
          </w:tcPr>
          <w:p>
            <w:r/>
            <w:r>
              <w:rPr>
                <w:rFonts w:ascii="Calibri" w:hAnsi="Calibri"/>
                <w:color w:val="202020"/>
                <w:sz w:val="19"/>
              </w:rPr>
              <w:t>Outbox notifications team</w:t>
            </w:r>
          </w:p>
        </w:tc>
        <w:tc>
          <w:tcPr>
            <w:tcW w:type="dxa" w:w="2608"/>
            <w:vAlign w:val="top"/>
          </w:tcPr>
          <w:p>
            <w:r/>
            <w:r>
              <w:rPr>
                <w:rFonts w:ascii="Calibri" w:hAnsi="Calibri"/>
                <w:color w:val="202020"/>
                <w:sz w:val="19"/>
              </w:rPr>
              <w:t>team_notification_outbox</w:t>
            </w:r>
          </w:p>
        </w:tc>
        <w:tc>
          <w:tcPr>
            <w:tcW w:type="dxa" w:w="2494"/>
            <w:vAlign w:val="top"/>
          </w:tcPr>
          <w:p>
            <w:r/>
            <w:r>
              <w:rPr>
                <w:rFonts w:ascii="Calibri" w:hAnsi="Calibri"/>
                <w:color w:val="202020"/>
                <w:sz w:val="19"/>
              </w:rPr>
              <w:t>trg_team_outbox_dispatch</w:t>
            </w:r>
          </w:p>
        </w:tc>
        <w:tc>
          <w:tcPr>
            <w:tcW w:type="dxa" w:w="2494"/>
            <w:vAlign w:val="top"/>
          </w:tcPr>
          <w:p>
            <w:r/>
            <w:r>
              <w:rPr>
                <w:rFonts w:ascii="Calibri" w:hAnsi="Calibri"/>
                <w:color w:val="202020"/>
                <w:sz w:val="19"/>
              </w:rPr>
              <w:t>Pattern fan-out central.</w:t>
            </w:r>
          </w:p>
        </w:tc>
      </w:tr>
      <w:tr>
        <w:tc>
          <w:tcPr>
            <w:tcW w:type="dxa" w:w="3175"/>
            <w:vAlign w:val="top"/>
          </w:tcPr>
          <w:p>
            <w:r/>
            <w:r>
              <w:rPr>
                <w:rFonts w:ascii="Calibri" w:hAnsi="Calibri"/>
                <w:color w:val="202020"/>
                <w:sz w:val="19"/>
              </w:rPr>
              <w:t>Partenaires de correspondance</w:t>
            </w:r>
          </w:p>
        </w:tc>
        <w:tc>
          <w:tcPr>
            <w:tcW w:type="dxa" w:w="2608"/>
            <w:vAlign w:val="top"/>
          </w:tcPr>
          <w:p>
            <w:r/>
            <w:r>
              <w:rPr>
                <w:rFonts w:ascii="Calibri" w:hAnsi="Calibri"/>
                <w:color w:val="202020"/>
                <w:sz w:val="19"/>
              </w:rPr>
              <w:t>library_partnerships</w:t>
            </w:r>
          </w:p>
        </w:tc>
        <w:tc>
          <w:tcPr>
            <w:tcW w:type="dxa" w:w="2494"/>
            <w:vAlign w:val="top"/>
          </w:tcPr>
          <w:p>
            <w:r/>
            <w:r>
              <w:rPr>
                <w:rFonts w:ascii="Calibri" w:hAnsi="Calibri"/>
                <w:color w:val="202020"/>
                <w:sz w:val="19"/>
              </w:rPr>
              <w:t>Modérés</w:t>
            </w:r>
          </w:p>
        </w:tc>
        <w:tc>
          <w:tcPr>
            <w:tcW w:type="dxa" w:w="2494"/>
            <w:vAlign w:val="top"/>
          </w:tcPr>
          <w:p>
            <w:r/>
            <w:r>
              <w:rPr>
                <w:rFonts w:ascii="Calibri" w:hAnsi="Calibri"/>
                <w:color w:val="202020"/>
                <w:sz w:val="19"/>
              </w:rPr>
              <w:t>Livré 24/05.</w:t>
            </w:r>
          </w:p>
        </w:tc>
      </w:tr>
      <w:tr>
        <w:tc>
          <w:tcPr>
            <w:tcW w:type="dxa" w:w="3175"/>
            <w:vAlign w:val="top"/>
          </w:tcPr>
          <w:p>
            <w:r/>
            <w:r>
              <w:rPr>
                <w:rFonts w:ascii="Calibri" w:hAnsi="Calibri"/>
                <w:color w:val="202020"/>
                <w:sz w:val="19"/>
              </w:rPr>
              <w:t>Carte-lecteur (NOUVEAU 28/05)</w:t>
            </w:r>
          </w:p>
        </w:tc>
        <w:tc>
          <w:tcPr>
            <w:tcW w:type="dxa" w:w="2608"/>
            <w:vAlign w:val="top"/>
          </w:tcPr>
          <w:p>
            <w:r/>
            <w:r>
              <w:rPr>
                <w:rFonts w:ascii="Calibri" w:hAnsi="Calibri"/>
                <w:color w:val="202020"/>
                <w:sz w:val="19"/>
              </w:rPr>
              <w:t>reader_card_tokens</w:t>
            </w:r>
          </w:p>
        </w:tc>
        <w:tc>
          <w:tcPr>
            <w:tcW w:type="dxa" w:w="2494"/>
            <w:vAlign w:val="top"/>
          </w:tcPr>
          <w:p>
            <w:r/>
            <w:r>
              <w:rPr>
                <w:rFonts w:ascii="Calibri" w:hAnsi="Calibri"/>
                <w:color w:val="202020"/>
                <w:sz w:val="19"/>
              </w:rPr>
              <w:t>Modérés</w:t>
            </w:r>
          </w:p>
        </w:tc>
        <w:tc>
          <w:tcPr>
            <w:tcW w:type="dxa" w:w="2494"/>
            <w:vAlign w:val="top"/>
          </w:tcPr>
          <w:p>
            <w:r/>
            <w:r>
              <w:rPr>
                <w:rFonts w:ascii="Calibri" w:hAnsi="Calibri"/>
                <w:color w:val="202020"/>
                <w:sz w:val="19"/>
              </w:rPr>
              <w:t>Phase β livrée. Mini-table dédiée, jeton par appartenance.</w:t>
            </w:r>
          </w:p>
        </w:tc>
      </w:tr>
      <w:tr>
        <w:tc>
          <w:tcPr>
            <w:tcW w:type="dxa" w:w="3175"/>
            <w:vAlign w:val="top"/>
          </w:tcPr>
          <w:p>
            <w:r/>
            <w:r>
              <w:rPr>
                <w:rFonts w:ascii="Calibri" w:hAnsi="Calibri"/>
                <w:color w:val="202020"/>
                <w:sz w:val="19"/>
              </w:rPr>
              <w:t>Anti-bruteforce login</w:t>
            </w:r>
          </w:p>
        </w:tc>
        <w:tc>
          <w:tcPr>
            <w:tcW w:type="dxa" w:w="2608"/>
            <w:vAlign w:val="top"/>
          </w:tcPr>
          <w:p>
            <w:r/>
            <w:r>
              <w:rPr>
                <w:rFonts w:ascii="Calibri" w:hAnsi="Calibri"/>
                <w:color w:val="202020"/>
                <w:sz w:val="19"/>
              </w:rPr>
              <w:t>auth_rate_limits</w:t>
            </w:r>
          </w:p>
        </w:tc>
        <w:tc>
          <w:tcPr>
            <w:tcW w:type="dxa" w:w="2494"/>
            <w:vAlign w:val="top"/>
          </w:tcPr>
          <w:p>
            <w:r/>
            <w:r>
              <w:rPr>
                <w:rFonts w:ascii="Calibri" w:hAnsi="Calibri"/>
                <w:color w:val="202020"/>
                <w:sz w:val="19"/>
              </w:rPr>
              <w:t>—</w:t>
            </w:r>
          </w:p>
        </w:tc>
        <w:tc>
          <w:tcPr>
            <w:tcW w:type="dxa" w:w="2494"/>
            <w:vAlign w:val="top"/>
          </w:tcPr>
          <w:p>
            <w:r/>
            <w:r>
              <w:rPr>
                <w:rFonts w:ascii="Calibri" w:hAnsi="Calibri"/>
                <w:color w:val="202020"/>
                <w:sz w:val="19"/>
              </w:rPr>
              <w:t>Stable.</w:t>
            </w:r>
          </w:p>
        </w:tc>
      </w:tr>
      <w:tr>
        <w:tc>
          <w:tcPr>
            <w:tcW w:type="dxa" w:w="3175"/>
            <w:vAlign w:val="top"/>
          </w:tcPr>
          <w:p>
            <w:r/>
            <w:r>
              <w:rPr>
                <w:rFonts w:ascii="Calibri" w:hAnsi="Calibri"/>
                <w:color w:val="202020"/>
                <w:sz w:val="19"/>
              </w:rPr>
              <w:t>Legacy</w:t>
            </w:r>
          </w:p>
        </w:tc>
        <w:tc>
          <w:tcPr>
            <w:tcW w:type="dxa" w:w="2608"/>
            <w:vAlign w:val="top"/>
          </w:tcPr>
          <w:p>
            <w:r/>
            <w:r>
              <w:rPr>
                <w:rFonts w:ascii="Calibri" w:hAnsi="Calibri"/>
                <w:color w:val="202020"/>
                <w:sz w:val="19"/>
              </w:rPr>
              <w:t>5 (import_*, loan_midpoint, book_authors_backup_*)</w:t>
            </w:r>
          </w:p>
        </w:tc>
        <w:tc>
          <w:tcPr>
            <w:tcW w:type="dxa" w:w="2494"/>
            <w:vAlign w:val="top"/>
          </w:tcPr>
          <w:p>
            <w:r/>
            <w:r>
              <w:rPr>
                <w:rFonts w:ascii="Calibri" w:hAnsi="Calibri"/>
                <w:color w:val="202020"/>
                <w:sz w:val="19"/>
              </w:rPr>
              <w:t>—</w:t>
            </w:r>
          </w:p>
        </w:tc>
        <w:tc>
          <w:tcPr>
            <w:tcW w:type="dxa" w:w="2494"/>
            <w:vAlign w:val="top"/>
          </w:tcPr>
          <w:p>
            <w:r/>
            <w:r>
              <w:rPr>
                <w:rFonts w:ascii="Calibri" w:hAnsi="Calibri"/>
                <w:color w:val="202020"/>
                <w:sz w:val="19"/>
              </w:rPr>
              <w:t>Conservé en lecture seule.</w:t>
            </w:r>
          </w:p>
        </w:tc>
      </w:tr>
    </w:tbl>
    <w:p>
      <w:pPr>
        <w:spacing w:before="240" w:after="80"/>
      </w:pPr>
      <w:r>
        <w:rPr>
          <w:rFonts w:ascii="Calibri" w:hAnsi="Calibri"/>
          <w:b/>
          <w:i w:val="0"/>
          <w:color w:val="445577"/>
          <w:sz w:val="30"/>
        </w:rPr>
        <w:t>III.4 — Dette stricte vs dette légitime</w:t>
      </w:r>
    </w:p>
    <w:p>
      <w:pPr>
        <w:jc w:val="both"/>
      </w:pPr>
      <w:r>
        <w:rPr>
          <w:rFonts w:ascii="Calibri" w:hAnsi="Calibri"/>
          <w:b w:val="0"/>
          <w:i w:val="0"/>
          <w:color w:val="202020"/>
          <w:sz w:val="22"/>
        </w:rPr>
        <w:t>Suite à la doctrine v14 « la dette n'est plus une métrique, c'est une politique », la dette SECURITY DEFINER se lit par familles plutôt que par fonctions individuelles. Trois catégories.</w:t>
      </w:r>
    </w:p>
    <w:p>
      <w:pPr>
        <w:spacing w:before="160" w:after="40"/>
      </w:pPr>
      <w:r>
        <w:rPr>
          <w:rFonts w:ascii="Calibri" w:hAnsi="Calibri"/>
          <w:b/>
          <w:i w:val="0"/>
          <w:color w:val="445577"/>
          <w:sz w:val="26"/>
        </w:rPr>
        <w:t>Familles légitimes par construction (à conserver SECURITY DEFINER)</w:t>
      </w:r>
    </w:p>
    <w:p>
      <w:pPr>
        <w:jc w:val="both"/>
      </w:pPr>
      <w:r>
        <w:rPr>
          <w:rFonts w:ascii="Calibri" w:hAnsi="Calibri"/>
          <w:b w:val="0"/>
          <w:i w:val="0"/>
          <w:color w:val="202020"/>
          <w:sz w:val="22"/>
        </w:rPr>
        <w:t>Trois familles authenticated DEFINER sont par construction légitimes : circulation v2 (fn_v2_*, ≈ 42 fonctions, modifient des tables fermées) ; gouvernance (upsert_library_*, fn_team_*, fn_network_admin_*, soit ≈ 26 fonctions, modifient user_library_memberships et library_membership_audit) ; catalogação (publish_*_draft, create_*_draft_from_*, 4 fonctions). Aucun bénéfice à les basculer INVOKER.</w:t>
      </w:r>
    </w:p>
    <w:p>
      <w:pPr>
        <w:spacing w:before="160" w:after="40"/>
      </w:pPr>
      <w:r>
        <w:rPr>
          <w:rFonts w:ascii="Calibri" w:hAnsi="Calibri"/>
          <w:b/>
          <w:i w:val="0"/>
          <w:color w:val="445577"/>
          <w:sz w:val="26"/>
        </w:rPr>
        <w:t>Familles légitimes par décision politique (à conserver SECURITY DEFINER avec exposition anon)</w:t>
      </w:r>
    </w:p>
    <w:p>
      <w:pPr>
        <w:jc w:val="both"/>
      </w:pPr>
      <w:r>
        <w:rPr>
          <w:rFonts w:ascii="Calibri" w:hAnsi="Calibri"/>
          <w:b w:val="0"/>
          <w:i w:val="0"/>
          <w:color w:val="202020"/>
          <w:sz w:val="22"/>
        </w:rPr>
        <w:t>Deux familles DEFINER exposées à anon sont légitimes par décision politique. (1) Les helpers de mode (fn_library_catalog_mode, _circulation_mode, _network_mode, _governance_mode), exposés à anon pour permettre à un·e usager·e non authentifié·e de juger du profil d'une bibliothèque avant inscription. (2) La chaîne de soumission de demande de bibliothèque (fn_submit_library_request, fn_submit_library_request_via_claim, fn_consume_library_request_claim, resolve_login_email), qui matérialise la posture politique : un·e anarchiste peut découvrir, juger et solliciter une bibliothèque sans s'authentifier d'abord.</w:t>
      </w:r>
    </w:p>
    <w:p>
      <w:pPr>
        <w:spacing w:before="160" w:after="40"/>
      </w:pPr>
      <w:r>
        <w:rPr>
          <w:rFonts w:ascii="Calibri" w:hAnsi="Calibri"/>
          <w:b/>
          <w:i w:val="0"/>
          <w:color w:val="445577"/>
          <w:sz w:val="26"/>
        </w:rPr>
        <w:t>Dette stricte (à traiter en lot, bornable)</w:t>
      </w:r>
    </w:p>
    <w:p>
      <w:pPr>
        <w:jc w:val="both"/>
      </w:pPr>
      <w:r>
        <w:rPr>
          <w:rFonts w:ascii="Calibri" w:hAnsi="Calibri"/>
          <w:b w:val="0"/>
          <w:i w:val="0"/>
          <w:color w:val="202020"/>
          <w:sz w:val="22"/>
        </w:rPr>
        <w:t>Reste comme dette stricte à traiter : v_active_memberships (1 ERROR, à wrapper en api INVOKER ou à remplacer par RPC SECURITY DEFINER fn_get_my_active_membership), api.library_email_identity (1 WARN, bascule directe INVOKER), 2 vues matérialisées exposées (mv_books_catalog_list_v1 et _network_v1, restreindre via wrapper), fn_block_lph_modification (1 WARN search_path_mutable, SET search_path à ajouter), 2 buckets storage broad SELECT (library-privacy-public, library-ui-assets, restreindre la policy SELECT). Soit 7 items isolés, exactement le format d'un chantier de durcissement bornable.</w:t>
      </w:r>
    </w:p>
    <w:p>
      <w:pPr>
        <w:jc w:val="both"/>
      </w:pPr>
      <w:r>
        <w:rPr>
          <w:rFonts w:ascii="Calibri" w:hAnsi="Calibri"/>
          <w:b w:val="0"/>
          <w:i w:val="0"/>
          <w:color w:val="202020"/>
          <w:sz w:val="22"/>
        </w:rPr>
        <w:t>Plus ≈ 67 clés étrangères sans index supportant — chantier performance distinct, concentré sur les colonnes d'audit pointant vers auth.users. Une seule migration de génération d'indexes en lot traiterait probablement 40 des 67 entrées en une demi-journée.</w:t>
      </w:r>
    </w:p>
    <w:p>
      <w:r>
        <w:br w:type="page"/>
      </w:r>
    </w:p>
    <w:p>
      <w:pPr>
        <w:spacing w:before="360" w:after="120"/>
      </w:pPr>
      <w:r>
        <w:rPr>
          <w:rFonts w:ascii="Calibri" w:hAnsi="Calibri"/>
          <w:b/>
          <w:i w:val="0"/>
          <w:color w:val="1F2E55"/>
          <w:sz w:val="36"/>
        </w:rPr>
        <w:t>IV. État d'avancement et séquencement</w:t>
      </w:r>
    </w:p>
    <w:p>
      <w:pPr>
        <w:jc w:val="both"/>
      </w:pPr>
      <w:r>
        <w:rPr>
          <w:rFonts w:ascii="Calibri" w:hAnsi="Calibri"/>
          <w:b w:val="0"/>
          <w:i/>
          <w:color w:val="202020"/>
          <w:sz w:val="22"/>
        </w:rPr>
        <w:t>Cette quatrième partie consigne l'état d'avancement chiffré sur les axes structurants du projet, et l'ordre d'exécution mis à jour. La lecture chiffrée se fait par axes et non par chantiers : un axe (par exemple « Méthode d'audit par parité doctrinale ») peut être alimenté par plusieurs chantiers (Biblioteca, Painel, Importações), et un chantier peut alimenter plusieurs axes.</w:t>
      </w:r>
    </w:p>
    <w:p>
      <w:pPr>
        <w:spacing w:before="240" w:after="80"/>
      </w:pPr>
      <w:r>
        <w:rPr>
          <w:rFonts w:ascii="Calibri" w:hAnsi="Calibri"/>
          <w:b/>
          <w:i w:val="0"/>
          <w:color w:val="445577"/>
          <w:sz w:val="30"/>
        </w:rPr>
        <w:t>IV.1 — Tableau des axes (v17 au 29/05/2026)</w:t>
      </w:r>
    </w:p>
    <w:p>
      <w:pPr>
        <w:spacing w:after="80"/>
        <w:jc w:val="both"/>
      </w:pPr>
      <w:r>
        <w:rPr>
          <w:rFonts w:ascii="Calibri" w:hAnsi="Calibri"/>
          <w:b w:val="0"/>
          <w:i w:val="0"/>
          <w:color w:val="202020"/>
          <w:sz w:val="22"/>
        </w:rPr>
        <w:t>Vingt axes structurants. La progression depuis le v16 reflète principalement la livraison de la carte-lecteur, la découpe Painel E.1/E.2, et la doctrinalisation des trois décisions mobiles.</w:t>
      </w:r>
    </w:p>
    <w:tbl>
      <w:tblPr>
        <w:tblStyle w:val="LightGrid-Accent1"/>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3855"/>
            <w:shd w:val="clear" w:color="auto" w:fill="D5E0F0"/>
            <w:vAlign w:val="center"/>
          </w:tcPr>
          <w:p>
            <w:r/>
            <w:r>
              <w:rPr>
                <w:rFonts w:ascii="Calibri" w:hAnsi="Calibri"/>
                <w:b/>
                <w:color w:val="1F2E55"/>
                <w:sz w:val="21"/>
              </w:rPr>
              <w:t>Axe</w:t>
            </w:r>
          </w:p>
        </w:tc>
        <w:tc>
          <w:tcPr>
            <w:tcW w:type="dxa" w:w="907"/>
            <w:shd w:val="clear" w:color="auto" w:fill="D5E0F0"/>
            <w:vAlign w:val="center"/>
          </w:tcPr>
          <w:p>
            <w:r/>
            <w:r>
              <w:rPr>
                <w:rFonts w:ascii="Calibri" w:hAnsi="Calibri"/>
                <w:b/>
                <w:color w:val="1F2E55"/>
                <w:sz w:val="21"/>
              </w:rPr>
              <w:t>v14 (19/05)</w:t>
            </w:r>
          </w:p>
        </w:tc>
        <w:tc>
          <w:tcPr>
            <w:tcW w:type="dxa" w:w="907"/>
            <w:shd w:val="clear" w:color="auto" w:fill="D5E0F0"/>
            <w:vAlign w:val="center"/>
          </w:tcPr>
          <w:p>
            <w:r/>
            <w:r>
              <w:rPr>
                <w:rFonts w:ascii="Calibri" w:hAnsi="Calibri"/>
                <w:b/>
                <w:color w:val="1F2E55"/>
                <w:sz w:val="21"/>
              </w:rPr>
              <w:t>v15 (21/05)</w:t>
            </w:r>
          </w:p>
        </w:tc>
        <w:tc>
          <w:tcPr>
            <w:tcW w:type="dxa" w:w="907"/>
            <w:shd w:val="clear" w:color="auto" w:fill="D5E0F0"/>
            <w:vAlign w:val="center"/>
          </w:tcPr>
          <w:p>
            <w:r/>
            <w:r>
              <w:rPr>
                <w:rFonts w:ascii="Calibri" w:hAnsi="Calibri"/>
                <w:b/>
                <w:color w:val="1F2E55"/>
                <w:sz w:val="21"/>
              </w:rPr>
              <w:t>v16 (27/05)</w:t>
            </w:r>
          </w:p>
        </w:tc>
        <w:tc>
          <w:tcPr>
            <w:tcW w:type="dxa" w:w="907"/>
            <w:shd w:val="clear" w:color="auto" w:fill="D5E0F0"/>
            <w:vAlign w:val="center"/>
          </w:tcPr>
          <w:p>
            <w:r/>
            <w:r>
              <w:rPr>
                <w:rFonts w:ascii="Calibri" w:hAnsi="Calibri"/>
                <w:b/>
                <w:color w:val="1F2E55"/>
                <w:sz w:val="21"/>
              </w:rPr>
              <w:t>v17 (29/05)</w:t>
            </w:r>
          </w:p>
        </w:tc>
        <w:tc>
          <w:tcPr>
            <w:tcW w:type="dxa" w:w="2268"/>
            <w:shd w:val="clear" w:color="auto" w:fill="D5E0F0"/>
            <w:vAlign w:val="center"/>
          </w:tcPr>
          <w:p>
            <w:r/>
            <w:r>
              <w:rPr>
                <w:rFonts w:ascii="Calibri" w:hAnsi="Calibri"/>
                <w:b/>
                <w:color w:val="1F2E55"/>
                <w:sz w:val="21"/>
              </w:rPr>
              <w:t>Δ v16→v17</w:t>
            </w:r>
          </w:p>
        </w:tc>
      </w:tr>
      <w:tr>
        <w:tc>
          <w:tcPr>
            <w:tcW w:type="dxa" w:w="3855"/>
            <w:vAlign w:val="top"/>
          </w:tcPr>
          <w:p>
            <w:r/>
            <w:r>
              <w:rPr>
                <w:rFonts w:ascii="Calibri" w:hAnsi="Calibri"/>
                <w:color w:val="202020"/>
                <w:sz w:val="19"/>
              </w:rPr>
              <w:t>Socle transversal et architecture commune</w:t>
            </w:r>
          </w:p>
        </w:tc>
        <w:tc>
          <w:tcPr>
            <w:tcW w:type="dxa" w:w="907"/>
            <w:vAlign w:val="top"/>
          </w:tcPr>
          <w:p>
            <w:r/>
            <w:r>
              <w:rPr>
                <w:rFonts w:ascii="Calibri" w:hAnsi="Calibri"/>
                <w:color w:val="202020"/>
                <w:sz w:val="19"/>
              </w:rPr>
              <w:t>92%</w:t>
            </w:r>
          </w:p>
        </w:tc>
        <w:tc>
          <w:tcPr>
            <w:tcW w:type="dxa" w:w="907"/>
            <w:vAlign w:val="top"/>
          </w:tcPr>
          <w:p>
            <w:r/>
            <w:r>
              <w:rPr>
                <w:rFonts w:ascii="Calibri" w:hAnsi="Calibri"/>
                <w:color w:val="202020"/>
                <w:sz w:val="19"/>
              </w:rPr>
              <w:t>93%</w:t>
            </w:r>
          </w:p>
        </w:tc>
        <w:tc>
          <w:tcPr>
            <w:tcW w:type="dxa" w:w="907"/>
            <w:vAlign w:val="top"/>
          </w:tcPr>
          <w:p>
            <w:r/>
            <w:r>
              <w:rPr>
                <w:rFonts w:ascii="Calibri" w:hAnsi="Calibri"/>
                <w:color w:val="202020"/>
                <w:sz w:val="19"/>
              </w:rPr>
              <w:t>94%</w:t>
            </w:r>
          </w:p>
        </w:tc>
        <w:tc>
          <w:tcPr>
            <w:tcW w:type="dxa" w:w="907"/>
            <w:vAlign w:val="top"/>
          </w:tcPr>
          <w:p>
            <w:r/>
            <w:r>
              <w:rPr>
                <w:rFonts w:ascii="Calibri" w:hAnsi="Calibri"/>
                <w:color w:val="202020"/>
                <w:sz w:val="19"/>
              </w:rPr>
              <w:t>95%</w:t>
            </w:r>
          </w:p>
        </w:tc>
        <w:tc>
          <w:tcPr>
            <w:tcW w:type="dxa" w:w="2268"/>
            <w:vAlign w:val="top"/>
          </w:tcPr>
          <w:p>
            <w:r/>
            <w:r>
              <w:rPr>
                <w:rFonts w:ascii="Calibri" w:hAnsi="Calibri"/>
                <w:color w:val="202020"/>
                <w:sz w:val="19"/>
              </w:rPr>
              <w:t>+1 (Doctrine VI inscrite)</w:t>
            </w:r>
          </w:p>
        </w:tc>
      </w:tr>
      <w:tr>
        <w:tc>
          <w:tcPr>
            <w:tcW w:type="dxa" w:w="3855"/>
            <w:vAlign w:val="top"/>
          </w:tcPr>
          <w:p>
            <w:r/>
            <w:r>
              <w:rPr>
                <w:rFonts w:ascii="Calibri" w:hAnsi="Calibri"/>
                <w:color w:val="202020"/>
                <w:sz w:val="19"/>
              </w:rPr>
              <w:t>Front public</w:t>
            </w:r>
          </w:p>
        </w:tc>
        <w:tc>
          <w:tcPr>
            <w:tcW w:type="dxa" w:w="907"/>
            <w:vAlign w:val="top"/>
          </w:tcPr>
          <w:p>
            <w:r/>
            <w:r>
              <w:rPr>
                <w:rFonts w:ascii="Calibri" w:hAnsi="Calibri"/>
                <w:color w:val="202020"/>
                <w:sz w:val="19"/>
              </w:rPr>
              <w:t>92%</w:t>
            </w:r>
          </w:p>
        </w:tc>
        <w:tc>
          <w:tcPr>
            <w:tcW w:type="dxa" w:w="907"/>
            <w:vAlign w:val="top"/>
          </w:tcPr>
          <w:p>
            <w:r/>
            <w:r>
              <w:rPr>
                <w:rFonts w:ascii="Calibri" w:hAnsi="Calibri"/>
                <w:color w:val="202020"/>
                <w:sz w:val="19"/>
              </w:rPr>
              <w:t>92%</w:t>
            </w:r>
          </w:p>
        </w:tc>
        <w:tc>
          <w:tcPr>
            <w:tcW w:type="dxa" w:w="907"/>
            <w:vAlign w:val="top"/>
          </w:tcPr>
          <w:p>
            <w:r/>
            <w:r>
              <w:rPr>
                <w:rFonts w:ascii="Calibri" w:hAnsi="Calibri"/>
                <w:color w:val="202020"/>
                <w:sz w:val="19"/>
              </w:rPr>
              <w:t>92%</w:t>
            </w:r>
          </w:p>
        </w:tc>
        <w:tc>
          <w:tcPr>
            <w:tcW w:type="dxa" w:w="907"/>
            <w:vAlign w:val="top"/>
          </w:tcPr>
          <w:p>
            <w:r/>
            <w:r>
              <w:rPr>
                <w:rFonts w:ascii="Calibri" w:hAnsi="Calibri"/>
                <w:color w:val="202020"/>
                <w:sz w:val="19"/>
              </w:rPr>
              <w:t>92%</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Produit local lecteur</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96%</w:t>
            </w:r>
          </w:p>
        </w:tc>
        <w:tc>
          <w:tcPr>
            <w:tcW w:type="dxa" w:w="2268"/>
            <w:vAlign w:val="top"/>
          </w:tcPr>
          <w:p>
            <w:r/>
            <w:r>
              <w:rPr>
                <w:rFonts w:ascii="Calibri" w:hAnsi="Calibri"/>
                <w:color w:val="202020"/>
                <w:sz w:val="19"/>
              </w:rPr>
              <w:t>+1 (carte-lecteur côté lecteur)</w:t>
            </w:r>
          </w:p>
        </w:tc>
      </w:tr>
      <w:tr>
        <w:tc>
          <w:tcPr>
            <w:tcW w:type="dxa" w:w="3855"/>
            <w:vAlign w:val="top"/>
          </w:tcPr>
          <w:p>
            <w:r/>
            <w:r>
              <w:rPr>
                <w:rFonts w:ascii="Calibri" w:hAnsi="Calibri"/>
                <w:color w:val="202020"/>
                <w:sz w:val="19"/>
              </w:rPr>
              <w:t>Produit local bibliothécaire</w:t>
            </w:r>
          </w:p>
        </w:tc>
        <w:tc>
          <w:tcPr>
            <w:tcW w:type="dxa" w:w="907"/>
            <w:vAlign w:val="top"/>
          </w:tcPr>
          <w:p>
            <w:r/>
            <w:r>
              <w:rPr>
                <w:rFonts w:ascii="Calibri" w:hAnsi="Calibri"/>
                <w:color w:val="202020"/>
                <w:sz w:val="19"/>
              </w:rPr>
              <w:t>92%</w:t>
            </w:r>
          </w:p>
        </w:tc>
        <w:tc>
          <w:tcPr>
            <w:tcW w:type="dxa" w:w="907"/>
            <w:vAlign w:val="top"/>
          </w:tcPr>
          <w:p>
            <w:r/>
            <w:r>
              <w:rPr>
                <w:rFonts w:ascii="Calibri" w:hAnsi="Calibri"/>
                <w:color w:val="202020"/>
                <w:sz w:val="19"/>
              </w:rPr>
              <w:t>93%</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96%</w:t>
            </w:r>
          </w:p>
        </w:tc>
        <w:tc>
          <w:tcPr>
            <w:tcW w:type="dxa" w:w="2268"/>
            <w:vAlign w:val="top"/>
          </w:tcPr>
          <w:p>
            <w:r/>
            <w:r>
              <w:rPr>
                <w:rFonts w:ascii="Calibri" w:hAnsi="Calibri"/>
                <w:color w:val="202020"/>
                <w:sz w:val="19"/>
              </w:rPr>
              <w:t>+1 (Painel E.1/E.2/D)</w:t>
            </w:r>
          </w:p>
        </w:tc>
      </w:tr>
      <w:tr>
        <w:tc>
          <w:tcPr>
            <w:tcW w:type="dxa" w:w="3855"/>
            <w:vAlign w:val="top"/>
          </w:tcPr>
          <w:p>
            <w:r/>
            <w:r>
              <w:rPr>
                <w:rFonts w:ascii="Calibri" w:hAnsi="Calibri"/>
                <w:color w:val="202020"/>
                <w:sz w:val="19"/>
              </w:rPr>
              <w:t>Circulation, réservations v2 et extinction legacy</w:t>
            </w:r>
          </w:p>
        </w:tc>
        <w:tc>
          <w:tcPr>
            <w:tcW w:type="dxa" w:w="907"/>
            <w:vAlign w:val="top"/>
          </w:tcPr>
          <w:p>
            <w:r/>
            <w:r>
              <w:rPr>
                <w:rFonts w:ascii="Calibri" w:hAnsi="Calibri"/>
                <w:color w:val="202020"/>
                <w:sz w:val="19"/>
              </w:rPr>
              <w:t>93%</w:t>
            </w:r>
          </w:p>
        </w:tc>
        <w:tc>
          <w:tcPr>
            <w:tcW w:type="dxa" w:w="907"/>
            <w:vAlign w:val="top"/>
          </w:tcPr>
          <w:p>
            <w:r/>
            <w:r>
              <w:rPr>
                <w:rFonts w:ascii="Calibri" w:hAnsi="Calibri"/>
                <w:color w:val="202020"/>
                <w:sz w:val="19"/>
              </w:rPr>
              <w:t>94%</w:t>
            </w:r>
          </w:p>
        </w:tc>
        <w:tc>
          <w:tcPr>
            <w:tcW w:type="dxa" w:w="907"/>
            <w:vAlign w:val="top"/>
          </w:tcPr>
          <w:p>
            <w:r/>
            <w:r>
              <w:rPr>
                <w:rFonts w:ascii="Calibri" w:hAnsi="Calibri"/>
                <w:color w:val="202020"/>
                <w:sz w:val="19"/>
              </w:rPr>
              <w:t>94%</w:t>
            </w:r>
          </w:p>
        </w:tc>
        <w:tc>
          <w:tcPr>
            <w:tcW w:type="dxa" w:w="907"/>
            <w:vAlign w:val="top"/>
          </w:tcPr>
          <w:p>
            <w:r/>
            <w:r>
              <w:rPr>
                <w:rFonts w:ascii="Calibri" w:hAnsi="Calibri"/>
                <w:color w:val="202020"/>
                <w:sz w:val="19"/>
              </w:rPr>
              <w:t>94%</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Catalogação</w:t>
            </w:r>
          </w:p>
        </w:tc>
        <w:tc>
          <w:tcPr>
            <w:tcW w:type="dxa" w:w="907"/>
            <w:vAlign w:val="top"/>
          </w:tcPr>
          <w:p>
            <w:r/>
            <w:r>
              <w:rPr>
                <w:rFonts w:ascii="Calibri" w:hAnsi="Calibri"/>
                <w:color w:val="202020"/>
                <w:sz w:val="19"/>
              </w:rPr>
              <w:t>85%</w:t>
            </w:r>
          </w:p>
        </w:tc>
        <w:tc>
          <w:tcPr>
            <w:tcW w:type="dxa" w:w="907"/>
            <w:vAlign w:val="top"/>
          </w:tcPr>
          <w:p>
            <w:r/>
            <w:r>
              <w:rPr>
                <w:rFonts w:ascii="Calibri" w:hAnsi="Calibri"/>
                <w:color w:val="202020"/>
                <w:sz w:val="19"/>
              </w:rPr>
              <w:t>85%</w:t>
            </w:r>
          </w:p>
        </w:tc>
        <w:tc>
          <w:tcPr>
            <w:tcW w:type="dxa" w:w="907"/>
            <w:vAlign w:val="top"/>
          </w:tcPr>
          <w:p>
            <w:r/>
            <w:r>
              <w:rPr>
                <w:rFonts w:ascii="Calibri" w:hAnsi="Calibri"/>
                <w:color w:val="202020"/>
                <w:sz w:val="19"/>
              </w:rPr>
              <w:t>85%</w:t>
            </w:r>
          </w:p>
        </w:tc>
        <w:tc>
          <w:tcPr>
            <w:tcW w:type="dxa" w:w="907"/>
            <w:vAlign w:val="top"/>
          </w:tcPr>
          <w:p>
            <w:r/>
            <w:r>
              <w:rPr>
                <w:rFonts w:ascii="Calibri" w:hAnsi="Calibri"/>
                <w:color w:val="202020"/>
                <w:sz w:val="19"/>
              </w:rPr>
              <w:t>85%</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Backend SQL, sécurité et gouvernance</w:t>
            </w:r>
          </w:p>
        </w:tc>
        <w:tc>
          <w:tcPr>
            <w:tcW w:type="dxa" w:w="907"/>
            <w:vAlign w:val="top"/>
          </w:tcPr>
          <w:p>
            <w:r/>
            <w:r>
              <w:rPr>
                <w:rFonts w:ascii="Calibri" w:hAnsi="Calibri"/>
                <w:color w:val="202020"/>
                <w:sz w:val="19"/>
              </w:rPr>
              <w:t>94%</w:t>
            </w:r>
          </w:p>
        </w:tc>
        <w:tc>
          <w:tcPr>
            <w:tcW w:type="dxa" w:w="907"/>
            <w:vAlign w:val="top"/>
          </w:tcPr>
          <w:p>
            <w:r/>
            <w:r>
              <w:rPr>
                <w:rFonts w:ascii="Calibri" w:hAnsi="Calibri"/>
                <w:color w:val="202020"/>
                <w:sz w:val="19"/>
              </w:rPr>
              <w:t>94%</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95%</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Ressources numériques et lecture</w:t>
            </w:r>
          </w:p>
        </w:tc>
        <w:tc>
          <w:tcPr>
            <w:tcW w:type="dxa" w:w="907"/>
            <w:vAlign w:val="top"/>
          </w:tcPr>
          <w:p>
            <w:r/>
            <w:r>
              <w:rPr>
                <w:rFonts w:ascii="Calibri" w:hAnsi="Calibri"/>
                <w:color w:val="202020"/>
                <w:sz w:val="19"/>
              </w:rPr>
              <w:t>76%</w:t>
            </w:r>
          </w:p>
        </w:tc>
        <w:tc>
          <w:tcPr>
            <w:tcW w:type="dxa" w:w="907"/>
            <w:vAlign w:val="top"/>
          </w:tcPr>
          <w:p>
            <w:r/>
            <w:r>
              <w:rPr>
                <w:rFonts w:ascii="Calibri" w:hAnsi="Calibri"/>
                <w:color w:val="202020"/>
                <w:sz w:val="19"/>
              </w:rPr>
              <w:t>76%</w:t>
            </w:r>
          </w:p>
        </w:tc>
        <w:tc>
          <w:tcPr>
            <w:tcW w:type="dxa" w:w="907"/>
            <w:vAlign w:val="top"/>
          </w:tcPr>
          <w:p>
            <w:r/>
            <w:r>
              <w:rPr>
                <w:rFonts w:ascii="Calibri" w:hAnsi="Calibri"/>
                <w:color w:val="202020"/>
                <w:sz w:val="19"/>
              </w:rPr>
              <w:t>76%</w:t>
            </w:r>
          </w:p>
        </w:tc>
        <w:tc>
          <w:tcPr>
            <w:tcW w:type="dxa" w:w="907"/>
            <w:vAlign w:val="top"/>
          </w:tcPr>
          <w:p>
            <w:r/>
            <w:r>
              <w:rPr>
                <w:rFonts w:ascii="Calibri" w:hAnsi="Calibri"/>
                <w:color w:val="202020"/>
                <w:sz w:val="19"/>
              </w:rPr>
              <w:t>76%</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Edge Functions, mails et notifications</w:t>
            </w:r>
          </w:p>
        </w:tc>
        <w:tc>
          <w:tcPr>
            <w:tcW w:type="dxa" w:w="907"/>
            <w:vAlign w:val="top"/>
          </w:tcPr>
          <w:p>
            <w:r/>
            <w:r>
              <w:rPr>
                <w:rFonts w:ascii="Calibri" w:hAnsi="Calibri"/>
                <w:color w:val="202020"/>
                <w:sz w:val="19"/>
              </w:rPr>
              <w:t>90%</w:t>
            </w:r>
          </w:p>
        </w:tc>
        <w:tc>
          <w:tcPr>
            <w:tcW w:type="dxa" w:w="907"/>
            <w:vAlign w:val="top"/>
          </w:tcPr>
          <w:p>
            <w:r/>
            <w:r>
              <w:rPr>
                <w:rFonts w:ascii="Calibri" w:hAnsi="Calibri"/>
                <w:color w:val="202020"/>
                <w:sz w:val="19"/>
              </w:rPr>
              <w:t>91%</w:t>
            </w:r>
          </w:p>
        </w:tc>
        <w:tc>
          <w:tcPr>
            <w:tcW w:type="dxa" w:w="907"/>
            <w:vAlign w:val="top"/>
          </w:tcPr>
          <w:p>
            <w:r/>
            <w:r>
              <w:rPr>
                <w:rFonts w:ascii="Calibri" w:hAnsi="Calibri"/>
                <w:color w:val="202020"/>
                <w:sz w:val="19"/>
              </w:rPr>
              <w:t>92%</w:t>
            </w:r>
          </w:p>
        </w:tc>
        <w:tc>
          <w:tcPr>
            <w:tcW w:type="dxa" w:w="907"/>
            <w:vAlign w:val="top"/>
          </w:tcPr>
          <w:p>
            <w:r/>
            <w:r>
              <w:rPr>
                <w:rFonts w:ascii="Calibri" w:hAnsi="Calibri"/>
                <w:color w:val="202020"/>
                <w:sz w:val="19"/>
              </w:rPr>
              <w:t>92%</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Multi-bibliothèques, fédération et imports</w:t>
            </w:r>
          </w:p>
        </w:tc>
        <w:tc>
          <w:tcPr>
            <w:tcW w:type="dxa" w:w="907"/>
            <w:vAlign w:val="top"/>
          </w:tcPr>
          <w:p>
            <w:r/>
            <w:r>
              <w:rPr>
                <w:rFonts w:ascii="Calibri" w:hAnsi="Calibri"/>
                <w:color w:val="202020"/>
                <w:sz w:val="19"/>
              </w:rPr>
              <w:t>78%</w:t>
            </w:r>
          </w:p>
        </w:tc>
        <w:tc>
          <w:tcPr>
            <w:tcW w:type="dxa" w:w="907"/>
            <w:vAlign w:val="top"/>
          </w:tcPr>
          <w:p>
            <w:r/>
            <w:r>
              <w:rPr>
                <w:rFonts w:ascii="Calibri" w:hAnsi="Calibri"/>
                <w:color w:val="202020"/>
                <w:sz w:val="19"/>
              </w:rPr>
              <w:t>80%</w:t>
            </w:r>
          </w:p>
        </w:tc>
        <w:tc>
          <w:tcPr>
            <w:tcW w:type="dxa" w:w="907"/>
            <w:vAlign w:val="top"/>
          </w:tcPr>
          <w:p>
            <w:r/>
            <w:r>
              <w:rPr>
                <w:rFonts w:ascii="Calibri" w:hAnsi="Calibri"/>
                <w:color w:val="202020"/>
                <w:sz w:val="19"/>
              </w:rPr>
              <w:t>80%</w:t>
            </w:r>
          </w:p>
        </w:tc>
        <w:tc>
          <w:tcPr>
            <w:tcW w:type="dxa" w:w="907"/>
            <w:vAlign w:val="top"/>
          </w:tcPr>
          <w:p>
            <w:r/>
            <w:r>
              <w:rPr>
                <w:rFonts w:ascii="Calibri" w:hAnsi="Calibri"/>
                <w:color w:val="202020"/>
                <w:sz w:val="19"/>
              </w:rPr>
              <w:t>80%</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Multilingue et internationalisation</w:t>
            </w:r>
          </w:p>
        </w:tc>
        <w:tc>
          <w:tcPr>
            <w:tcW w:type="dxa" w:w="907"/>
            <w:vAlign w:val="top"/>
          </w:tcPr>
          <w:p>
            <w:r/>
            <w:r>
              <w:rPr>
                <w:rFonts w:ascii="Calibri" w:hAnsi="Calibri"/>
                <w:color w:val="202020"/>
                <w:sz w:val="19"/>
              </w:rPr>
              <w:t>87%</w:t>
            </w:r>
          </w:p>
        </w:tc>
        <w:tc>
          <w:tcPr>
            <w:tcW w:type="dxa" w:w="907"/>
            <w:vAlign w:val="top"/>
          </w:tcPr>
          <w:p>
            <w:r/>
            <w:r>
              <w:rPr>
                <w:rFonts w:ascii="Calibri" w:hAnsi="Calibri"/>
                <w:color w:val="202020"/>
                <w:sz w:val="19"/>
              </w:rPr>
              <w:t>87%</w:t>
            </w:r>
          </w:p>
        </w:tc>
        <w:tc>
          <w:tcPr>
            <w:tcW w:type="dxa" w:w="907"/>
            <w:vAlign w:val="top"/>
          </w:tcPr>
          <w:p>
            <w:r/>
            <w:r>
              <w:rPr>
                <w:rFonts w:ascii="Calibri" w:hAnsi="Calibri"/>
                <w:color w:val="202020"/>
                <w:sz w:val="19"/>
              </w:rPr>
              <w:t>88%</w:t>
            </w:r>
          </w:p>
        </w:tc>
        <w:tc>
          <w:tcPr>
            <w:tcW w:type="dxa" w:w="907"/>
            <w:vAlign w:val="top"/>
          </w:tcPr>
          <w:p>
            <w:r/>
            <w:r>
              <w:rPr>
                <w:rFonts w:ascii="Calibri" w:hAnsi="Calibri"/>
                <w:color w:val="202020"/>
                <w:sz w:val="19"/>
              </w:rPr>
              <w:t>88%</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Documentation, cadrage et pilotage stratégique</w:t>
            </w:r>
          </w:p>
        </w:tc>
        <w:tc>
          <w:tcPr>
            <w:tcW w:type="dxa" w:w="907"/>
            <w:vAlign w:val="top"/>
          </w:tcPr>
          <w:p>
            <w:r/>
            <w:r>
              <w:rPr>
                <w:rFonts w:ascii="Calibri" w:hAnsi="Calibri"/>
                <w:color w:val="202020"/>
                <w:sz w:val="19"/>
              </w:rPr>
              <w:t>94%</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96%</w:t>
            </w:r>
          </w:p>
        </w:tc>
        <w:tc>
          <w:tcPr>
            <w:tcW w:type="dxa" w:w="907"/>
            <w:vAlign w:val="top"/>
          </w:tcPr>
          <w:p>
            <w:r/>
            <w:r>
              <w:rPr>
                <w:rFonts w:ascii="Calibri" w:hAnsi="Calibri"/>
                <w:color w:val="202020"/>
                <w:sz w:val="19"/>
              </w:rPr>
              <w:t>97%</w:t>
            </w:r>
          </w:p>
        </w:tc>
        <w:tc>
          <w:tcPr>
            <w:tcW w:type="dxa" w:w="2268"/>
            <w:vAlign w:val="top"/>
          </w:tcPr>
          <w:p>
            <w:r/>
            <w:r>
              <w:rPr>
                <w:rFonts w:ascii="Calibri" w:hAnsi="Calibri"/>
                <w:color w:val="202020"/>
                <w:sz w:val="19"/>
              </w:rPr>
              <w:t>+1 (refonte backlog v21, GLB v17)</w:t>
            </w:r>
          </w:p>
        </w:tc>
      </w:tr>
      <w:tr>
        <w:tc>
          <w:tcPr>
            <w:tcW w:type="dxa" w:w="3855"/>
            <w:vAlign w:val="top"/>
          </w:tcPr>
          <w:p>
            <w:r/>
            <w:r>
              <w:rPr>
                <w:rFonts w:ascii="Calibri" w:hAnsi="Calibri"/>
                <w:color w:val="202020"/>
                <w:sz w:val="19"/>
              </w:rPr>
              <w:t>Continuité d'exploitation et discipline anticipée</w:t>
            </w:r>
          </w:p>
        </w:tc>
        <w:tc>
          <w:tcPr>
            <w:tcW w:type="dxa" w:w="907"/>
            <w:vAlign w:val="top"/>
          </w:tcPr>
          <w:p>
            <w:r/>
            <w:r>
              <w:rPr>
                <w:rFonts w:ascii="Calibri" w:hAnsi="Calibri"/>
                <w:color w:val="202020"/>
                <w:sz w:val="19"/>
              </w:rPr>
              <w:t>89%</w:t>
            </w:r>
          </w:p>
        </w:tc>
        <w:tc>
          <w:tcPr>
            <w:tcW w:type="dxa" w:w="907"/>
            <w:vAlign w:val="top"/>
          </w:tcPr>
          <w:p>
            <w:r/>
            <w:r>
              <w:rPr>
                <w:rFonts w:ascii="Calibri" w:hAnsi="Calibri"/>
                <w:color w:val="202020"/>
                <w:sz w:val="19"/>
              </w:rPr>
              <w:t>89%</w:t>
            </w:r>
          </w:p>
        </w:tc>
        <w:tc>
          <w:tcPr>
            <w:tcW w:type="dxa" w:w="907"/>
            <w:vAlign w:val="top"/>
          </w:tcPr>
          <w:p>
            <w:r/>
            <w:r>
              <w:rPr>
                <w:rFonts w:ascii="Calibri" w:hAnsi="Calibri"/>
                <w:color w:val="202020"/>
                <w:sz w:val="19"/>
              </w:rPr>
              <w:t>90%</w:t>
            </w:r>
          </w:p>
        </w:tc>
        <w:tc>
          <w:tcPr>
            <w:tcW w:type="dxa" w:w="907"/>
            <w:vAlign w:val="top"/>
          </w:tcPr>
          <w:p>
            <w:r/>
            <w:r>
              <w:rPr>
                <w:rFonts w:ascii="Calibri" w:hAnsi="Calibri"/>
                <w:color w:val="202020"/>
                <w:sz w:val="19"/>
              </w:rPr>
              <w:t>91%</w:t>
            </w:r>
          </w:p>
        </w:tc>
        <w:tc>
          <w:tcPr>
            <w:tcW w:type="dxa" w:w="2268"/>
            <w:vAlign w:val="top"/>
          </w:tcPr>
          <w:p>
            <w:r/>
            <w:r>
              <w:rPr>
                <w:rFonts w:ascii="Calibri" w:hAnsi="Calibri"/>
                <w:color w:val="202020"/>
                <w:sz w:val="19"/>
              </w:rPr>
              <w:t>+1 (corpus decisions/ refondu)</w:t>
            </w:r>
          </w:p>
        </w:tc>
      </w:tr>
      <w:tr>
        <w:tc>
          <w:tcPr>
            <w:tcW w:type="dxa" w:w="3855"/>
            <w:vAlign w:val="top"/>
          </w:tcPr>
          <w:p>
            <w:r/>
            <w:r>
              <w:rPr>
                <w:rFonts w:ascii="Calibri" w:hAnsi="Calibri"/>
                <w:color w:val="202020"/>
                <w:sz w:val="19"/>
              </w:rPr>
              <w:t>Alignement politique et linguistique</w:t>
            </w:r>
          </w:p>
        </w:tc>
        <w:tc>
          <w:tcPr>
            <w:tcW w:type="dxa" w:w="907"/>
            <w:vAlign w:val="top"/>
          </w:tcPr>
          <w:p>
            <w:r/>
            <w:r>
              <w:rPr>
                <w:rFonts w:ascii="Calibri" w:hAnsi="Calibri"/>
                <w:color w:val="202020"/>
                <w:sz w:val="19"/>
              </w:rPr>
              <w:t>86%</w:t>
            </w:r>
          </w:p>
        </w:tc>
        <w:tc>
          <w:tcPr>
            <w:tcW w:type="dxa" w:w="907"/>
            <w:vAlign w:val="top"/>
          </w:tcPr>
          <w:p>
            <w:r/>
            <w:r>
              <w:rPr>
                <w:rFonts w:ascii="Calibri" w:hAnsi="Calibri"/>
                <w:color w:val="202020"/>
                <w:sz w:val="19"/>
              </w:rPr>
              <w:t>86%</w:t>
            </w:r>
          </w:p>
        </w:tc>
        <w:tc>
          <w:tcPr>
            <w:tcW w:type="dxa" w:w="907"/>
            <w:vAlign w:val="top"/>
          </w:tcPr>
          <w:p>
            <w:r/>
            <w:r>
              <w:rPr>
                <w:rFonts w:ascii="Calibri" w:hAnsi="Calibri"/>
                <w:color w:val="202020"/>
                <w:sz w:val="19"/>
              </w:rPr>
              <w:t>87%</w:t>
            </w:r>
          </w:p>
        </w:tc>
        <w:tc>
          <w:tcPr>
            <w:tcW w:type="dxa" w:w="907"/>
            <w:vAlign w:val="top"/>
          </w:tcPr>
          <w:p>
            <w:r/>
            <w:r>
              <w:rPr>
                <w:rFonts w:ascii="Calibri" w:hAnsi="Calibri"/>
                <w:color w:val="202020"/>
                <w:sz w:val="19"/>
              </w:rPr>
              <w:t>88%</w:t>
            </w:r>
          </w:p>
        </w:tc>
        <w:tc>
          <w:tcPr>
            <w:tcW w:type="dxa" w:w="2268"/>
            <w:vAlign w:val="top"/>
          </w:tcPr>
          <w:p>
            <w:r/>
            <w:r>
              <w:rPr>
                <w:rFonts w:ascii="Calibri" w:hAnsi="Calibri"/>
                <w:color w:val="202020"/>
                <w:sz w:val="19"/>
              </w:rPr>
              <w:t>+1 (partie I du v17)</w:t>
            </w:r>
          </w:p>
        </w:tc>
      </w:tr>
      <w:tr>
        <w:tc>
          <w:tcPr>
            <w:tcW w:type="dxa" w:w="3855"/>
            <w:vAlign w:val="top"/>
          </w:tcPr>
          <w:p>
            <w:r/>
            <w:r>
              <w:rPr>
                <w:rFonts w:ascii="Calibri" w:hAnsi="Calibri"/>
                <w:color w:val="202020"/>
                <w:sz w:val="19"/>
              </w:rPr>
              <w:t>Consultation locale</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95%</w:t>
            </w:r>
          </w:p>
        </w:tc>
        <w:tc>
          <w:tcPr>
            <w:tcW w:type="dxa" w:w="907"/>
            <w:vAlign w:val="top"/>
          </w:tcPr>
          <w:p>
            <w:r/>
            <w:r>
              <w:rPr>
                <w:rFonts w:ascii="Calibri" w:hAnsi="Calibri"/>
                <w:color w:val="202020"/>
                <w:sz w:val="19"/>
              </w:rPr>
              <w:t>95%</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Profils d'adoption</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75%</w:t>
            </w:r>
          </w:p>
        </w:tc>
        <w:tc>
          <w:tcPr>
            <w:tcW w:type="dxa" w:w="2268"/>
            <w:vAlign w:val="top"/>
          </w:tcPr>
          <w:p>
            <w:r/>
            <w:r>
              <w:rPr>
                <w:rFonts w:ascii="Calibri" w:hAnsi="Calibri"/>
                <w:color w:val="202020"/>
                <w:sz w:val="19"/>
              </w:rPr>
              <w:t>= (prioritaire #2)</w:t>
            </w:r>
          </w:p>
        </w:tc>
      </w:tr>
      <w:tr>
        <w:tc>
          <w:tcPr>
            <w:tcW w:type="dxa" w:w="3855"/>
            <w:vAlign w:val="top"/>
          </w:tcPr>
          <w:p>
            <w:r/>
            <w:r>
              <w:rPr>
                <w:rFonts w:ascii="Calibri" w:hAnsi="Calibri"/>
                <w:color w:val="202020"/>
                <w:sz w:val="19"/>
              </w:rPr>
              <w:t>Admin réseau</w:t>
            </w:r>
          </w:p>
        </w:tc>
        <w:tc>
          <w:tcPr>
            <w:tcW w:type="dxa" w:w="907"/>
            <w:vAlign w:val="top"/>
          </w:tcPr>
          <w:p>
            <w:r/>
            <w:r>
              <w:rPr>
                <w:rFonts w:ascii="Calibri" w:hAnsi="Calibri"/>
                <w:color w:val="202020"/>
                <w:sz w:val="19"/>
              </w:rPr>
              <w:t>85%</w:t>
            </w:r>
          </w:p>
        </w:tc>
        <w:tc>
          <w:tcPr>
            <w:tcW w:type="dxa" w:w="907"/>
            <w:vAlign w:val="top"/>
          </w:tcPr>
          <w:p>
            <w:r/>
            <w:r>
              <w:rPr>
                <w:rFonts w:ascii="Calibri" w:hAnsi="Calibri"/>
                <w:color w:val="202020"/>
                <w:sz w:val="19"/>
              </w:rPr>
              <w:t>85%</w:t>
            </w:r>
          </w:p>
        </w:tc>
        <w:tc>
          <w:tcPr>
            <w:tcW w:type="dxa" w:w="907"/>
            <w:vAlign w:val="top"/>
          </w:tcPr>
          <w:p>
            <w:r/>
            <w:r>
              <w:rPr>
                <w:rFonts w:ascii="Calibri" w:hAnsi="Calibri"/>
                <w:color w:val="202020"/>
                <w:sz w:val="19"/>
              </w:rPr>
              <w:t>85%</w:t>
            </w:r>
          </w:p>
        </w:tc>
        <w:tc>
          <w:tcPr>
            <w:tcW w:type="dxa" w:w="907"/>
            <w:vAlign w:val="top"/>
          </w:tcPr>
          <w:p>
            <w:r/>
            <w:r>
              <w:rPr>
                <w:rFonts w:ascii="Calibri" w:hAnsi="Calibri"/>
                <w:color w:val="202020"/>
                <w:sz w:val="19"/>
              </w:rPr>
              <w:t>85%</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Gouvernance staff</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75%</w:t>
            </w:r>
          </w:p>
        </w:tc>
        <w:tc>
          <w:tcPr>
            <w:tcW w:type="dxa" w:w="2268"/>
            <w:vAlign w:val="top"/>
          </w:tcPr>
          <w:p>
            <w:r/>
            <w:r>
              <w:rPr>
                <w:rFonts w:ascii="Calibri" w:hAnsi="Calibri"/>
                <w:color w:val="202020"/>
                <w:sz w:val="19"/>
              </w:rPr>
              <w:t>=</w:t>
            </w:r>
          </w:p>
        </w:tc>
      </w:tr>
      <w:tr>
        <w:tc>
          <w:tcPr>
            <w:tcW w:type="dxa" w:w="3855"/>
            <w:vAlign w:val="top"/>
          </w:tcPr>
          <w:p>
            <w:r/>
            <w:r>
              <w:rPr>
                <w:rFonts w:ascii="Calibri" w:hAnsi="Calibri"/>
                <w:color w:val="202020"/>
                <w:sz w:val="19"/>
              </w:rPr>
              <w:t>Jonction backend / frontend</w:t>
            </w:r>
          </w:p>
        </w:tc>
        <w:tc>
          <w:tcPr>
            <w:tcW w:type="dxa" w:w="907"/>
            <w:vAlign w:val="top"/>
          </w:tcPr>
          <w:p>
            <w:r/>
            <w:r>
              <w:rPr>
                <w:rFonts w:ascii="Calibri" w:hAnsi="Calibri"/>
                <w:color w:val="202020"/>
                <w:sz w:val="19"/>
              </w:rPr>
              <w:t>65%</w:t>
            </w:r>
          </w:p>
        </w:tc>
        <w:tc>
          <w:tcPr>
            <w:tcW w:type="dxa" w:w="907"/>
            <w:vAlign w:val="top"/>
          </w:tcPr>
          <w:p>
            <w:r/>
            <w:r>
              <w:rPr>
                <w:rFonts w:ascii="Calibri" w:hAnsi="Calibri"/>
                <w:color w:val="202020"/>
                <w:sz w:val="19"/>
              </w:rPr>
              <w:t>75%</w:t>
            </w:r>
          </w:p>
        </w:tc>
        <w:tc>
          <w:tcPr>
            <w:tcW w:type="dxa" w:w="907"/>
            <w:vAlign w:val="top"/>
          </w:tcPr>
          <w:p>
            <w:r/>
            <w:r>
              <w:rPr>
                <w:rFonts w:ascii="Calibri" w:hAnsi="Calibri"/>
                <w:color w:val="202020"/>
                <w:sz w:val="19"/>
              </w:rPr>
              <w:t>78%</w:t>
            </w:r>
          </w:p>
        </w:tc>
        <w:tc>
          <w:tcPr>
            <w:tcW w:type="dxa" w:w="907"/>
            <w:vAlign w:val="top"/>
          </w:tcPr>
          <w:p>
            <w:r/>
            <w:r>
              <w:rPr>
                <w:rFonts w:ascii="Calibri" w:hAnsi="Calibri"/>
                <w:color w:val="202020"/>
                <w:sz w:val="19"/>
              </w:rPr>
              <w:t>82%</w:t>
            </w:r>
          </w:p>
        </w:tc>
        <w:tc>
          <w:tcPr>
            <w:tcW w:type="dxa" w:w="2268"/>
            <w:vAlign w:val="top"/>
          </w:tcPr>
          <w:p>
            <w:r/>
            <w:r>
              <w:rPr>
                <w:rFonts w:ascii="Calibri" w:hAnsi="Calibri"/>
                <w:color w:val="202020"/>
                <w:sz w:val="19"/>
              </w:rPr>
              <w:t>+4 (E.1/E.2 Painel)</w:t>
            </w:r>
          </w:p>
        </w:tc>
      </w:tr>
      <w:tr>
        <w:tc>
          <w:tcPr>
            <w:tcW w:type="dxa" w:w="3855"/>
            <w:vAlign w:val="top"/>
          </w:tcPr>
          <w:p>
            <w:r/>
            <w:r>
              <w:rPr>
                <w:rFonts w:ascii="Calibri" w:hAnsi="Calibri"/>
                <w:color w:val="202020"/>
                <w:sz w:val="19"/>
              </w:rPr>
              <w:t>Méthode d'audit par parité doctrinale</w:t>
            </w:r>
          </w:p>
        </w:tc>
        <w:tc>
          <w:tcPr>
            <w:tcW w:type="dxa" w:w="907"/>
            <w:vAlign w:val="top"/>
          </w:tcPr>
          <w:p>
            <w:r/>
            <w:r>
              <w:rPr>
                <w:rFonts w:ascii="Calibri" w:hAnsi="Calibri"/>
                <w:color w:val="202020"/>
                <w:sz w:val="19"/>
              </w:rPr>
              <w:t>—</w:t>
            </w:r>
          </w:p>
        </w:tc>
        <w:tc>
          <w:tcPr>
            <w:tcW w:type="dxa" w:w="907"/>
            <w:vAlign w:val="top"/>
          </w:tcPr>
          <w:p>
            <w:r/>
            <w:r>
              <w:rPr>
                <w:rFonts w:ascii="Calibri" w:hAnsi="Calibri"/>
                <w:color w:val="202020"/>
                <w:sz w:val="19"/>
              </w:rPr>
              <w:t>70%</w:t>
            </w:r>
          </w:p>
        </w:tc>
        <w:tc>
          <w:tcPr>
            <w:tcW w:type="dxa" w:w="907"/>
            <w:vAlign w:val="top"/>
          </w:tcPr>
          <w:p>
            <w:r/>
            <w:r>
              <w:rPr>
                <w:rFonts w:ascii="Calibri" w:hAnsi="Calibri"/>
                <w:color w:val="202020"/>
                <w:sz w:val="19"/>
              </w:rPr>
              <w:t>80%</w:t>
            </w:r>
          </w:p>
        </w:tc>
        <w:tc>
          <w:tcPr>
            <w:tcW w:type="dxa" w:w="907"/>
            <w:vAlign w:val="top"/>
          </w:tcPr>
          <w:p>
            <w:r/>
            <w:r>
              <w:rPr>
                <w:rFonts w:ascii="Calibri" w:hAnsi="Calibri"/>
                <w:color w:val="202020"/>
                <w:sz w:val="19"/>
              </w:rPr>
              <w:t>85%</w:t>
            </w:r>
          </w:p>
        </w:tc>
        <w:tc>
          <w:tcPr>
            <w:tcW w:type="dxa" w:w="2268"/>
            <w:vAlign w:val="top"/>
          </w:tcPr>
          <w:p>
            <w:r/>
            <w:r>
              <w:rPr>
                <w:rFonts w:ascii="Calibri" w:hAnsi="Calibri"/>
                <w:color w:val="202020"/>
                <w:sz w:val="19"/>
              </w:rPr>
              <w:t>+5 (Painel quasi-clos)</w:t>
            </w:r>
          </w:p>
        </w:tc>
      </w:tr>
      <w:tr>
        <w:tc>
          <w:tcPr>
            <w:tcW w:type="dxa" w:w="3855"/>
            <w:vAlign w:val="top"/>
          </w:tcPr>
          <w:p>
            <w:r/>
            <w:r>
              <w:rPr>
                <w:rFonts w:ascii="Calibri" w:hAnsi="Calibri"/>
                <w:color w:val="202020"/>
                <w:sz w:val="19"/>
              </w:rPr>
              <w:t>Mode terrain et mobile (NOUVEAU v17)</w:t>
            </w:r>
          </w:p>
        </w:tc>
        <w:tc>
          <w:tcPr>
            <w:tcW w:type="dxa" w:w="907"/>
            <w:vAlign w:val="top"/>
          </w:tcPr>
          <w:p>
            <w:r/>
            <w:r>
              <w:rPr>
                <w:rFonts w:ascii="Calibri" w:hAnsi="Calibri"/>
                <w:color w:val="202020"/>
                <w:sz w:val="19"/>
              </w:rPr>
              <w:t>—</w:t>
            </w:r>
          </w:p>
        </w:tc>
        <w:tc>
          <w:tcPr>
            <w:tcW w:type="dxa" w:w="907"/>
            <w:vAlign w:val="top"/>
          </w:tcPr>
          <w:p>
            <w:r/>
            <w:r>
              <w:rPr>
                <w:rFonts w:ascii="Calibri" w:hAnsi="Calibri"/>
                <w:color w:val="202020"/>
                <w:sz w:val="19"/>
              </w:rPr>
              <w:t>—</w:t>
            </w:r>
          </w:p>
        </w:tc>
        <w:tc>
          <w:tcPr>
            <w:tcW w:type="dxa" w:w="907"/>
            <w:vAlign w:val="top"/>
          </w:tcPr>
          <w:p>
            <w:r/>
            <w:r>
              <w:rPr>
                <w:rFonts w:ascii="Calibri" w:hAnsi="Calibri"/>
                <w:color w:val="202020"/>
                <w:sz w:val="19"/>
              </w:rPr>
              <w:t>—</w:t>
            </w:r>
          </w:p>
        </w:tc>
        <w:tc>
          <w:tcPr>
            <w:tcW w:type="dxa" w:w="907"/>
            <w:vAlign w:val="top"/>
          </w:tcPr>
          <w:p>
            <w:r/>
            <w:r>
              <w:rPr>
                <w:rFonts w:ascii="Calibri" w:hAnsi="Calibri"/>
                <w:color w:val="202020"/>
                <w:sz w:val="19"/>
              </w:rPr>
              <w:t>15%</w:t>
            </w:r>
          </w:p>
        </w:tc>
        <w:tc>
          <w:tcPr>
            <w:tcW w:type="dxa" w:w="2268"/>
            <w:vAlign w:val="top"/>
          </w:tcPr>
          <w:p>
            <w:r/>
            <w:r>
              <w:rPr>
                <w:rFonts w:ascii="Calibri" w:hAnsi="Calibri"/>
                <w:color w:val="202020"/>
                <w:sz w:val="19"/>
              </w:rPr>
              <w:t>Nouveau (β carte-lecteur livrée)</w:t>
            </w:r>
          </w:p>
        </w:tc>
      </w:tr>
    </w:tbl>
    <w:p>
      <w:pPr>
        <w:spacing w:before="240" w:after="80"/>
      </w:pPr>
      <w:r>
        <w:rPr>
          <w:rFonts w:ascii="Calibri" w:hAnsi="Calibri"/>
          <w:b/>
          <w:i w:val="0"/>
          <w:color w:val="445577"/>
          <w:sz w:val="30"/>
        </w:rPr>
        <w:t>IV.2 — Lecture stratégique des gains v16 → v17</w:t>
      </w:r>
    </w:p>
    <w:p>
      <w:pPr>
        <w:jc w:val="both"/>
      </w:pPr>
      <w:r>
        <w:rPr>
          <w:rFonts w:ascii="Calibri" w:hAnsi="Calibri"/>
          <w:b w:val="0"/>
          <w:i w:val="0"/>
          <w:color w:val="202020"/>
          <w:sz w:val="22"/>
        </w:rPr>
        <w:t>Les gains v16 → v17 sont modestes en valeur (+1 à +5 points sur les axes touchés) mais cohérents en signification. Trois lectures émergent.</w:t>
      </w:r>
    </w:p>
    <w:p>
      <w:pPr>
        <w:jc w:val="both"/>
      </w:pPr>
      <w:r>
        <w:rPr>
          <w:rFonts w:ascii="Calibri" w:hAnsi="Calibri"/>
          <w:b w:val="0"/>
          <w:i w:val="0"/>
          <w:color w:val="202020"/>
          <w:sz w:val="22"/>
        </w:rPr>
        <w:t>L'axe « Méthode d'audit par parité doctrinale » gagne cinq points (80 % → 85 %) parce que le chantier-cadre Painel est quasi-clos : chantiers A, B, D, F clos, C absorbé par #MOBILE, E partiellement clos. Il reste les écarts cosmétiques EA-03, EA-11, EA-14 et le constat #PN-2. La méthode est désormais éprouvée sur deux chantiers-cadres complets, et reproductible.</w:t>
      </w:r>
    </w:p>
    <w:p>
      <w:pPr>
        <w:jc w:val="both"/>
      </w:pPr>
      <w:r>
        <w:rPr>
          <w:rFonts w:ascii="Calibri" w:hAnsi="Calibri"/>
          <w:b w:val="0"/>
          <w:i w:val="0"/>
          <w:color w:val="202020"/>
          <w:sz w:val="22"/>
        </w:rPr>
        <w:t>L'axe « Jonction backend / frontend » gagne quatre points (78 % → 82 %) parce que la découpe iso-comportement de PanelPage (3128 → 1870 lignes, -40 %) a livré la séparation des préoccupations qui rendait la jonction risquée. Ce chantier n'ajoute pas de feature, mais il rend praticables tous les chantiers frontend à venir.</w:t>
      </w:r>
    </w:p>
    <w:p>
      <w:pPr>
        <w:jc w:val="both"/>
      </w:pPr>
      <w:r>
        <w:rPr>
          <w:rFonts w:ascii="Calibri" w:hAnsi="Calibri"/>
          <w:b w:val="0"/>
          <w:i w:val="0"/>
          <w:color w:val="202020"/>
          <w:sz w:val="22"/>
        </w:rPr>
        <w:t>L'axe « Mode terrain et mobile » apparaît en v17 à 15 % parce que la carte-lecteur est livrée et que les trois décisions doctrinales sont actées. Cet axe n'existait pas en v16. Sa progression future dépendra du séquencement du chantier mobile par rapport à Catalogação.</w:t>
      </w:r>
    </w:p>
    <w:p>
      <w:pPr>
        <w:spacing w:before="240" w:after="80"/>
      </w:pPr>
      <w:r>
        <w:rPr>
          <w:rFonts w:ascii="Calibri" w:hAnsi="Calibri"/>
          <w:b/>
          <w:i w:val="0"/>
          <w:color w:val="445577"/>
          <w:sz w:val="30"/>
        </w:rPr>
        <w:t>IV.3 — Ordre d'exécution v17</w:t>
      </w:r>
    </w:p>
    <w:p>
      <w:pPr>
        <w:spacing w:after="80"/>
        <w:jc w:val="both"/>
      </w:pPr>
      <w:r>
        <w:rPr>
          <w:rFonts w:ascii="Calibri" w:hAnsi="Calibri"/>
          <w:b w:val="0"/>
          <w:i w:val="0"/>
          <w:color w:val="202020"/>
          <w:sz w:val="22"/>
        </w:rPr>
        <w:t>Quatorze séquences ordonnées. La séquence 0 (doctrines) est en place. La séquence 1 (étape 8 #BIBLIO) est bloquée jusqu'au 5 juin. Le calendrier des séquences 2 à 14 dépend largement de l'arbitrage rendu sur la priorité entre profils d'adoption et clôture Painel — voir partie V.3 (arbitrages devenus pressants).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454"/>
            <w:shd w:val="clear" w:color="auto" w:fill="D5E0F0"/>
            <w:vAlign w:val="center"/>
          </w:tcPr>
          <w:p>
            <w:r/>
            <w:r>
              <w:rPr>
                <w:rFonts w:ascii="Calibri" w:hAnsi="Calibri"/>
                <w:b/>
                <w:color w:val="1F2E55"/>
                <w:sz w:val="21"/>
              </w:rPr>
              <w:t>#</w:t>
            </w:r>
          </w:p>
        </w:tc>
        <w:tc>
          <w:tcPr>
            <w:tcW w:type="dxa" w:w="3402"/>
            <w:shd w:val="clear" w:color="auto" w:fill="D5E0F0"/>
            <w:vAlign w:val="center"/>
          </w:tcPr>
          <w:p>
            <w:r/>
            <w:r>
              <w:rPr>
                <w:rFonts w:ascii="Calibri" w:hAnsi="Calibri"/>
                <w:b/>
                <w:color w:val="1F2E55"/>
                <w:sz w:val="21"/>
              </w:rPr>
              <w:t>Séquence</w:t>
            </w:r>
          </w:p>
        </w:tc>
        <w:tc>
          <w:tcPr>
            <w:tcW w:type="dxa" w:w="2494"/>
            <w:shd w:val="clear" w:color="auto" w:fill="D5E0F0"/>
            <w:vAlign w:val="center"/>
          </w:tcPr>
          <w:p>
            <w:r/>
            <w:r>
              <w:rPr>
                <w:rFonts w:ascii="Calibri" w:hAnsi="Calibri"/>
                <w:b/>
                <w:color w:val="1F2E55"/>
                <w:sz w:val="21"/>
              </w:rPr>
              <w:t>Statut v17</w:t>
            </w:r>
          </w:p>
        </w:tc>
        <w:tc>
          <w:tcPr>
            <w:tcW w:type="dxa" w:w="3175"/>
            <w:shd w:val="clear" w:color="auto" w:fill="D5E0F0"/>
            <w:vAlign w:val="center"/>
          </w:tcPr>
          <w:p>
            <w:r/>
            <w:r>
              <w:rPr>
                <w:rFonts w:ascii="Calibri" w:hAnsi="Calibri"/>
                <w:b/>
                <w:color w:val="1F2E55"/>
                <w:sz w:val="21"/>
              </w:rPr>
              <w:t>Sortie attendue / vigilance</w:t>
            </w:r>
          </w:p>
        </w:tc>
      </w:tr>
      <w:tr>
        <w:tc>
          <w:tcPr>
            <w:tcW w:type="dxa" w:w="454"/>
            <w:vAlign w:val="top"/>
          </w:tcPr>
          <w:p>
            <w:r/>
            <w:r>
              <w:rPr>
                <w:rFonts w:ascii="Calibri" w:hAnsi="Calibri"/>
                <w:color w:val="202020"/>
                <w:sz w:val="19"/>
              </w:rPr>
              <w:t>0</w:t>
            </w:r>
          </w:p>
        </w:tc>
        <w:tc>
          <w:tcPr>
            <w:tcW w:type="dxa" w:w="3402"/>
            <w:vAlign w:val="top"/>
          </w:tcPr>
          <w:p>
            <w:r/>
            <w:r>
              <w:rPr>
                <w:rFonts w:ascii="Calibri" w:hAnsi="Calibri"/>
                <w:color w:val="202020"/>
                <w:sz w:val="19"/>
              </w:rPr>
              <w:t>Doctrines, sécurité, nomenclature, vocabulaire</w:t>
            </w:r>
          </w:p>
        </w:tc>
        <w:tc>
          <w:tcPr>
            <w:tcW w:type="dxa" w:w="2494"/>
            <w:vAlign w:val="top"/>
          </w:tcPr>
          <w:p>
            <w:r/>
            <w:r>
              <w:rPr>
                <w:rFonts w:ascii="Calibri" w:hAnsi="Calibri"/>
                <w:color w:val="202020"/>
                <w:sz w:val="19"/>
              </w:rPr>
              <w:t>97% — Doctrine VI inscrite v17</w:t>
            </w:r>
          </w:p>
        </w:tc>
        <w:tc>
          <w:tcPr>
            <w:tcW w:type="dxa" w:w="3175"/>
            <w:vAlign w:val="top"/>
          </w:tcPr>
          <w:p>
            <w:r/>
            <w:r>
              <w:rPr>
                <w:rFonts w:ascii="Calibri" w:hAnsi="Calibri"/>
                <w:color w:val="202020"/>
                <w:sz w:val="19"/>
              </w:rPr>
              <w:t>Tous les invariants tenus. Aucun pivot doctrinal rouvert.</w:t>
            </w:r>
          </w:p>
        </w:tc>
      </w:tr>
      <w:tr>
        <w:tc>
          <w:tcPr>
            <w:tcW w:type="dxa" w:w="454"/>
            <w:vAlign w:val="top"/>
          </w:tcPr>
          <w:p>
            <w:r/>
            <w:r>
              <w:rPr>
                <w:rFonts w:ascii="Calibri" w:hAnsi="Calibri"/>
                <w:color w:val="202020"/>
                <w:sz w:val="19"/>
              </w:rPr>
              <w:t>1</w:t>
            </w:r>
          </w:p>
        </w:tc>
        <w:tc>
          <w:tcPr>
            <w:tcW w:type="dxa" w:w="3402"/>
            <w:vAlign w:val="top"/>
          </w:tcPr>
          <w:p>
            <w:r/>
            <w:r>
              <w:rPr>
                <w:rFonts w:ascii="Calibri" w:hAnsi="Calibri"/>
                <w:color w:val="202020"/>
                <w:sz w:val="19"/>
              </w:rPr>
              <w:t>#BIBLIO étape 8 (mails) + EA-12 phase 2</w:t>
            </w:r>
          </w:p>
        </w:tc>
        <w:tc>
          <w:tcPr>
            <w:tcW w:type="dxa" w:w="2494"/>
            <w:vAlign w:val="top"/>
          </w:tcPr>
          <w:p>
            <w:r/>
            <w:r>
              <w:rPr>
                <w:rFonts w:ascii="Calibri" w:hAnsi="Calibri"/>
                <w:color w:val="202020"/>
                <w:sz w:val="19"/>
              </w:rPr>
              <w:t>⏸️ BLOQUÉ par #110 R.6 (05/06)</w:t>
            </w:r>
          </w:p>
        </w:tc>
        <w:tc>
          <w:tcPr>
            <w:tcW w:type="dxa" w:w="3175"/>
            <w:vAlign w:val="top"/>
          </w:tcPr>
          <w:p>
            <w:r/>
            <w:r>
              <w:rPr>
                <w:rFonts w:ascii="Calibri" w:hAnsi="Calibri"/>
                <w:color w:val="202020"/>
                <w:sz w:val="19"/>
              </w:rPr>
              <w:t>À conduire dès #110 R.6 verte. ≈ 3-5h pour EA-12 phase 2 + 1-2 sessions étape 8.</w:t>
            </w:r>
          </w:p>
        </w:tc>
      </w:tr>
      <w:tr>
        <w:tc>
          <w:tcPr>
            <w:tcW w:type="dxa" w:w="454"/>
            <w:vAlign w:val="top"/>
          </w:tcPr>
          <w:p>
            <w:r/>
            <w:r>
              <w:rPr>
                <w:rFonts w:ascii="Calibri" w:hAnsi="Calibri"/>
                <w:color w:val="202020"/>
                <w:sz w:val="19"/>
              </w:rPr>
              <w:t>2</w:t>
            </w:r>
          </w:p>
        </w:tc>
        <w:tc>
          <w:tcPr>
            <w:tcW w:type="dxa" w:w="3402"/>
            <w:vAlign w:val="top"/>
          </w:tcPr>
          <w:p>
            <w:r/>
            <w:r>
              <w:rPr>
                <w:rFonts w:ascii="Calibri" w:hAnsi="Calibri"/>
                <w:color w:val="202020"/>
                <w:sz w:val="19"/>
              </w:rPr>
              <w:t>Suite #PAINEL (E.3, E.4, E.5, EA-01 + 3 cosmétiques + #PN-2)</w:t>
            </w:r>
          </w:p>
        </w:tc>
        <w:tc>
          <w:tcPr>
            <w:tcW w:type="dxa" w:w="2494"/>
            <w:vAlign w:val="top"/>
          </w:tcPr>
          <w:p>
            <w:r/>
            <w:r>
              <w:rPr>
                <w:rFonts w:ascii="Calibri" w:hAnsi="Calibri"/>
                <w:color w:val="202020"/>
                <w:sz w:val="19"/>
              </w:rPr>
              <w:t>🟠 EN COURS</w:t>
            </w:r>
          </w:p>
        </w:tc>
        <w:tc>
          <w:tcPr>
            <w:tcW w:type="dxa" w:w="3175"/>
            <w:vAlign w:val="top"/>
          </w:tcPr>
          <w:p>
            <w:r/>
            <w:r>
              <w:rPr>
                <w:rFonts w:ascii="Calibri" w:hAnsi="Calibri"/>
                <w:color w:val="202020"/>
                <w:sz w:val="19"/>
              </w:rPr>
              <w:t>≈ 5-8 jours étalés. Clôture du second chantier-cadre.</w:t>
            </w:r>
          </w:p>
        </w:tc>
      </w:tr>
      <w:tr>
        <w:tc>
          <w:tcPr>
            <w:tcW w:type="dxa" w:w="454"/>
            <w:vAlign w:val="top"/>
          </w:tcPr>
          <w:p>
            <w:r/>
            <w:r>
              <w:rPr>
                <w:rFonts w:ascii="Calibri" w:hAnsi="Calibri"/>
                <w:color w:val="202020"/>
                <w:sz w:val="19"/>
              </w:rPr>
              <w:t>3</w:t>
            </w:r>
          </w:p>
        </w:tc>
        <w:tc>
          <w:tcPr>
            <w:tcW w:type="dxa" w:w="3402"/>
            <w:vAlign w:val="top"/>
          </w:tcPr>
          <w:p>
            <w:r/>
            <w:r>
              <w:rPr>
                <w:rFonts w:ascii="Calibri" w:hAnsi="Calibri"/>
                <w:color w:val="202020"/>
                <w:sz w:val="19"/>
              </w:rPr>
              <w:t>Jonction frontend profils d'adoption (séquence #2 v16)</w:t>
            </w:r>
          </w:p>
        </w:tc>
        <w:tc>
          <w:tcPr>
            <w:tcW w:type="dxa" w:w="2494"/>
            <w:vAlign w:val="top"/>
          </w:tcPr>
          <w:p>
            <w:r/>
            <w:r>
              <w:rPr>
                <w:rFonts w:ascii="Calibri" w:hAnsi="Calibri"/>
                <w:color w:val="202020"/>
                <w:sz w:val="19"/>
              </w:rPr>
              <w:t>🟡 CADRÉ — backend livré, frontend painel adaptatif quasi-inexistant</w:t>
            </w:r>
          </w:p>
        </w:tc>
        <w:tc>
          <w:tcPr>
            <w:tcW w:type="dxa" w:w="3175"/>
            <w:vAlign w:val="top"/>
          </w:tcPr>
          <w:p>
            <w:r/>
            <w:r>
              <w:rPr>
                <w:rFonts w:ascii="Calibri" w:hAnsi="Calibri"/>
                <w:color w:val="202020"/>
                <w:sz w:val="19"/>
              </w:rPr>
              <w:t>≈ 5 jours. Rendre les onglets painel adaptatifs selon catalog_mode, circulation_mode, network_mode, governance_mode.</w:t>
            </w:r>
          </w:p>
        </w:tc>
      </w:tr>
      <w:tr>
        <w:tc>
          <w:tcPr>
            <w:tcW w:type="dxa" w:w="454"/>
            <w:vAlign w:val="top"/>
          </w:tcPr>
          <w:p>
            <w:r/>
            <w:r>
              <w:rPr>
                <w:rFonts w:ascii="Calibri" w:hAnsi="Calibri"/>
                <w:color w:val="202020"/>
                <w:sz w:val="19"/>
              </w:rPr>
              <w:t>4</w:t>
            </w:r>
          </w:p>
        </w:tc>
        <w:tc>
          <w:tcPr>
            <w:tcW w:type="dxa" w:w="3402"/>
            <w:vAlign w:val="top"/>
          </w:tcPr>
          <w:p>
            <w:r/>
            <w:r>
              <w:rPr>
                <w:rFonts w:ascii="Calibri" w:hAnsi="Calibri"/>
                <w:color w:val="202020"/>
                <w:sz w:val="19"/>
              </w:rPr>
              <w:t>#NOTIFY-Painel-acts (audit + câblage)</w:t>
            </w:r>
          </w:p>
        </w:tc>
        <w:tc>
          <w:tcPr>
            <w:tcW w:type="dxa" w:w="2494"/>
            <w:vAlign w:val="top"/>
          </w:tcPr>
          <w:p>
            <w:r/>
            <w:r>
              <w:rPr>
                <w:rFonts w:ascii="Calibri" w:hAnsi="Calibri"/>
                <w:color w:val="202020"/>
                <w:sz w:val="19"/>
              </w:rPr>
              <w:t>🟡 CADRÉ — bloqué sur #110 R.6</w:t>
            </w:r>
          </w:p>
        </w:tc>
        <w:tc>
          <w:tcPr>
            <w:tcW w:type="dxa" w:w="3175"/>
            <w:vAlign w:val="top"/>
          </w:tcPr>
          <w:p>
            <w:r/>
            <w:r>
              <w:rPr>
                <w:rFonts w:ascii="Calibri" w:hAnsi="Calibri"/>
                <w:color w:val="202020"/>
                <w:sz w:val="19"/>
              </w:rPr>
              <w:t>≈ 6-10h. À programmer après bascule Resend effective.</w:t>
            </w:r>
          </w:p>
        </w:tc>
      </w:tr>
      <w:tr>
        <w:tc>
          <w:tcPr>
            <w:tcW w:type="dxa" w:w="454"/>
            <w:vAlign w:val="top"/>
          </w:tcPr>
          <w:p>
            <w:r/>
            <w:r>
              <w:rPr>
                <w:rFonts w:ascii="Calibri" w:hAnsi="Calibri"/>
                <w:color w:val="202020"/>
                <w:sz w:val="19"/>
              </w:rPr>
              <w:t>5</w:t>
            </w:r>
          </w:p>
        </w:tc>
        <w:tc>
          <w:tcPr>
            <w:tcW w:type="dxa" w:w="3402"/>
            <w:vAlign w:val="top"/>
          </w:tcPr>
          <w:p>
            <w:r/>
            <w:r>
              <w:rPr>
                <w:rFonts w:ascii="Calibri" w:hAnsi="Calibri"/>
                <w:color w:val="202020"/>
                <w:sz w:val="19"/>
              </w:rPr>
              <w:t>#MM (5 items doctrine anti-méga-machine appliquée)</w:t>
            </w:r>
          </w:p>
        </w:tc>
        <w:tc>
          <w:tcPr>
            <w:tcW w:type="dxa" w:w="2494"/>
            <w:vAlign w:val="top"/>
          </w:tcPr>
          <w:p>
            <w:r/>
            <w:r>
              <w:rPr>
                <w:rFonts w:ascii="Calibri" w:hAnsi="Calibri"/>
                <w:color w:val="202020"/>
                <w:sz w:val="19"/>
              </w:rPr>
              <w:t>🟡 CADRÉ — 5 items</w:t>
            </w:r>
          </w:p>
        </w:tc>
        <w:tc>
          <w:tcPr>
            <w:tcW w:type="dxa" w:w="3175"/>
            <w:vAlign w:val="top"/>
          </w:tcPr>
          <w:p>
            <w:r/>
            <w:r>
              <w:rPr>
                <w:rFonts w:ascii="Calibri" w:hAnsi="Calibri"/>
                <w:color w:val="202020"/>
                <w:sz w:val="19"/>
              </w:rPr>
              <w:t>Pack cohérent, livrable en 1 session pour les 3 plus simples, 1 session pour MM2/MM4.</w:t>
            </w:r>
          </w:p>
        </w:tc>
      </w:tr>
      <w:tr>
        <w:tc>
          <w:tcPr>
            <w:tcW w:type="dxa" w:w="454"/>
            <w:vAlign w:val="top"/>
          </w:tcPr>
          <w:p>
            <w:r/>
            <w:r>
              <w:rPr>
                <w:rFonts w:ascii="Calibri" w:hAnsi="Calibri"/>
                <w:color w:val="202020"/>
                <w:sz w:val="19"/>
              </w:rPr>
              <w:t>6</w:t>
            </w:r>
          </w:p>
        </w:tc>
        <w:tc>
          <w:tcPr>
            <w:tcW w:type="dxa" w:w="3402"/>
            <w:vAlign w:val="top"/>
          </w:tcPr>
          <w:p>
            <w:r/>
            <w:r>
              <w:rPr>
                <w:rFonts w:ascii="Calibri" w:hAnsi="Calibri"/>
                <w:color w:val="202020"/>
                <w:sz w:val="19"/>
              </w:rPr>
              <w:t>#CL sprint 1 (#CL.1, #CL.2)</w:t>
            </w:r>
          </w:p>
        </w:tc>
        <w:tc>
          <w:tcPr>
            <w:tcW w:type="dxa" w:w="2494"/>
            <w:vAlign w:val="top"/>
          </w:tcPr>
          <w:p>
            <w:r/>
            <w:r>
              <w:rPr>
                <w:rFonts w:ascii="Calibri" w:hAnsi="Calibri"/>
                <w:color w:val="202020"/>
                <w:sz w:val="19"/>
              </w:rPr>
              <w:t>🟢 PRÊT — premier sprint méga-item Dunkerque</w:t>
            </w:r>
          </w:p>
        </w:tc>
        <w:tc>
          <w:tcPr>
            <w:tcW w:type="dxa" w:w="3175"/>
            <w:vAlign w:val="top"/>
          </w:tcPr>
          <w:p>
            <w:r/>
            <w:r>
              <w:rPr>
                <w:rFonts w:ascii="Calibri" w:hAnsi="Calibri"/>
                <w:color w:val="202020"/>
                <w:sz w:val="19"/>
              </w:rPr>
              <w:t>≈ 2-4 sessions. #CL.2 absorbe probablement #157 (à arbitrer).</w:t>
            </w:r>
          </w:p>
        </w:tc>
      </w:tr>
      <w:tr>
        <w:tc>
          <w:tcPr>
            <w:tcW w:type="dxa" w:w="454"/>
            <w:vAlign w:val="top"/>
          </w:tcPr>
          <w:p>
            <w:r/>
            <w:r>
              <w:rPr>
                <w:rFonts w:ascii="Calibri" w:hAnsi="Calibri"/>
                <w:color w:val="202020"/>
                <w:sz w:val="19"/>
              </w:rPr>
              <w:t>7</w:t>
            </w:r>
          </w:p>
        </w:tc>
        <w:tc>
          <w:tcPr>
            <w:tcW w:type="dxa" w:w="3402"/>
            <w:vAlign w:val="top"/>
          </w:tcPr>
          <w:p>
            <w:r/>
            <w:r>
              <w:rPr>
                <w:rFonts w:ascii="Calibri" w:hAnsi="Calibri"/>
                <w:color w:val="202020"/>
                <w:sz w:val="19"/>
              </w:rPr>
              <w:t>Durcissement dette stricte (7 items + ≈67 FK)</w:t>
            </w:r>
          </w:p>
        </w:tc>
        <w:tc>
          <w:tcPr>
            <w:tcW w:type="dxa" w:w="2494"/>
            <w:vAlign w:val="top"/>
          </w:tcPr>
          <w:p>
            <w:r/>
            <w:r>
              <w:rPr>
                <w:rFonts w:ascii="Calibri" w:hAnsi="Calibri"/>
                <w:color w:val="202020"/>
                <w:sz w:val="19"/>
              </w:rPr>
              <w:t>🟡 PRÊT</w:t>
            </w:r>
          </w:p>
        </w:tc>
        <w:tc>
          <w:tcPr>
            <w:tcW w:type="dxa" w:w="3175"/>
            <w:vAlign w:val="top"/>
          </w:tcPr>
          <w:p>
            <w:r/>
            <w:r>
              <w:rPr>
                <w:rFonts w:ascii="Calibri" w:hAnsi="Calibri"/>
                <w:color w:val="202020"/>
                <w:sz w:val="19"/>
              </w:rPr>
              <w:t>≈ 2 semaines de travail concentré. Bornable. Sans préalable.</w:t>
            </w:r>
          </w:p>
        </w:tc>
      </w:tr>
      <w:tr>
        <w:tc>
          <w:tcPr>
            <w:tcW w:type="dxa" w:w="454"/>
            <w:vAlign w:val="top"/>
          </w:tcPr>
          <w:p>
            <w:r/>
            <w:r>
              <w:rPr>
                <w:rFonts w:ascii="Calibri" w:hAnsi="Calibri"/>
                <w:color w:val="202020"/>
                <w:sz w:val="19"/>
              </w:rPr>
              <w:t>8</w:t>
            </w:r>
          </w:p>
        </w:tc>
        <w:tc>
          <w:tcPr>
            <w:tcW w:type="dxa" w:w="3402"/>
            <w:vAlign w:val="top"/>
          </w:tcPr>
          <w:p>
            <w:r/>
            <w:r>
              <w:rPr>
                <w:rFonts w:ascii="Calibri" w:hAnsi="Calibri"/>
                <w:color w:val="202020"/>
                <w:sz w:val="19"/>
              </w:rPr>
              <w:t>#COTISATIONS — #33 + #36 (activation CIRA Marseille)</w:t>
            </w:r>
          </w:p>
        </w:tc>
        <w:tc>
          <w:tcPr>
            <w:tcW w:type="dxa" w:w="2494"/>
            <w:vAlign w:val="top"/>
          </w:tcPr>
          <w:p>
            <w:r/>
            <w:r>
              <w:rPr>
                <w:rFonts w:ascii="Calibri" w:hAnsi="Calibri"/>
                <w:color w:val="202020"/>
                <w:sz w:val="19"/>
              </w:rPr>
              <w:t>🟢 PRÊT</w:t>
            </w:r>
          </w:p>
        </w:tc>
        <w:tc>
          <w:tcPr>
            <w:tcW w:type="dxa" w:w="3175"/>
            <w:vAlign w:val="top"/>
          </w:tcPr>
          <w:p>
            <w:r/>
            <w:r>
              <w:rPr>
                <w:rFonts w:ascii="Calibri" w:hAnsi="Calibri"/>
                <w:color w:val="202020"/>
                <w:sz w:val="19"/>
              </w:rPr>
              <w:t>Première activation tierce. Conditionné par fermeture #2 + #3 + #4 (séquence v16).</w:t>
            </w:r>
          </w:p>
        </w:tc>
      </w:tr>
      <w:tr>
        <w:tc>
          <w:tcPr>
            <w:tcW w:type="dxa" w:w="454"/>
            <w:vAlign w:val="top"/>
          </w:tcPr>
          <w:p>
            <w:r/>
            <w:r>
              <w:rPr>
                <w:rFonts w:ascii="Calibri" w:hAnsi="Calibri"/>
                <w:color w:val="202020"/>
                <w:sz w:val="19"/>
              </w:rPr>
              <w:t>9</w:t>
            </w:r>
          </w:p>
        </w:tc>
        <w:tc>
          <w:tcPr>
            <w:tcW w:type="dxa" w:w="3402"/>
            <w:vAlign w:val="top"/>
          </w:tcPr>
          <w:p>
            <w:r/>
            <w:r>
              <w:rPr>
                <w:rFonts w:ascii="Calibri" w:hAnsi="Calibri"/>
                <w:color w:val="202020"/>
                <w:sz w:val="19"/>
              </w:rPr>
              <w:t>#RESEAU-FED — passage du dossier à la spec + maquette pour Bologne</w:t>
            </w:r>
          </w:p>
        </w:tc>
        <w:tc>
          <w:tcPr>
            <w:tcW w:type="dxa" w:w="2494"/>
            <w:vAlign w:val="top"/>
          </w:tcPr>
          <w:p>
            <w:r/>
            <w:r>
              <w:rPr>
                <w:rFonts w:ascii="Calibri" w:hAnsi="Calibri"/>
                <w:color w:val="202020"/>
                <w:sz w:val="19"/>
              </w:rPr>
              <w:t>🟡 CADRÉ — préalable à spec</w:t>
            </w:r>
          </w:p>
        </w:tc>
        <w:tc>
          <w:tcPr>
            <w:tcW w:type="dxa" w:w="3175"/>
            <w:vAlign w:val="top"/>
          </w:tcPr>
          <w:p>
            <w:r/>
            <w:r>
              <w:rPr>
                <w:rFonts w:ascii="Calibri" w:hAnsi="Calibri"/>
                <w:color w:val="202020"/>
                <w:sz w:val="19"/>
              </w:rPr>
              <w:t>Chantier doctrinal. Présentable à Bologne à l'état de spec + maquette.</w:t>
            </w:r>
          </w:p>
        </w:tc>
      </w:tr>
      <w:tr>
        <w:tc>
          <w:tcPr>
            <w:tcW w:type="dxa" w:w="454"/>
            <w:vAlign w:val="top"/>
          </w:tcPr>
          <w:p>
            <w:r/>
            <w:r>
              <w:rPr>
                <w:rFonts w:ascii="Calibri" w:hAnsi="Calibri"/>
                <w:color w:val="202020"/>
                <w:sz w:val="19"/>
              </w:rPr>
              <w:t>10</w:t>
            </w:r>
          </w:p>
        </w:tc>
        <w:tc>
          <w:tcPr>
            <w:tcW w:type="dxa" w:w="3402"/>
            <w:vAlign w:val="top"/>
          </w:tcPr>
          <w:p>
            <w:r/>
            <w:r>
              <w:rPr>
                <w:rFonts w:ascii="Calibri" w:hAnsi="Calibri"/>
                <w:color w:val="202020"/>
                <w:sz w:val="19"/>
              </w:rPr>
              <w:t>Chantier-cadre Importações (méthode parité+audit étendue)</w:t>
            </w:r>
          </w:p>
        </w:tc>
        <w:tc>
          <w:tcPr>
            <w:tcW w:type="dxa" w:w="2494"/>
            <w:vAlign w:val="top"/>
          </w:tcPr>
          <w:p>
            <w:r/>
            <w:r>
              <w:rPr>
                <w:rFonts w:ascii="Calibri" w:hAnsi="Calibri"/>
                <w:color w:val="202020"/>
                <w:sz w:val="19"/>
              </w:rPr>
              <w:t>🔵 PERSPECTIVE</w:t>
            </w:r>
          </w:p>
        </w:tc>
        <w:tc>
          <w:tcPr>
            <w:tcW w:type="dxa" w:w="3175"/>
            <w:vAlign w:val="top"/>
          </w:tcPr>
          <w:p>
            <w:r/>
            <w:r>
              <w:rPr>
                <w:rFonts w:ascii="Calibri" w:hAnsi="Calibri"/>
                <w:color w:val="202020"/>
                <w:sz w:val="19"/>
              </w:rPr>
              <w:t>Après clôture complète #PAINEL. ≈ 6-8 semaines estimées (sur la base de Biblioteca + Painel).</w:t>
            </w:r>
          </w:p>
        </w:tc>
      </w:tr>
      <w:tr>
        <w:tc>
          <w:tcPr>
            <w:tcW w:type="dxa" w:w="454"/>
            <w:vAlign w:val="top"/>
          </w:tcPr>
          <w:p>
            <w:r/>
            <w:r>
              <w:rPr>
                <w:rFonts w:ascii="Calibri" w:hAnsi="Calibri"/>
                <w:color w:val="202020"/>
                <w:sz w:val="19"/>
              </w:rPr>
              <w:t>11</w:t>
            </w:r>
          </w:p>
        </w:tc>
        <w:tc>
          <w:tcPr>
            <w:tcW w:type="dxa" w:w="3402"/>
            <w:vAlign w:val="top"/>
          </w:tcPr>
          <w:p>
            <w:r/>
            <w:r>
              <w:rPr>
                <w:rFonts w:ascii="Calibri" w:hAnsi="Calibri"/>
                <w:color w:val="202020"/>
                <w:sz w:val="19"/>
              </w:rPr>
              <w:t>Chantier-cadre Catalogação (méthode parité+audit étendue)</w:t>
            </w:r>
          </w:p>
        </w:tc>
        <w:tc>
          <w:tcPr>
            <w:tcW w:type="dxa" w:w="2494"/>
            <w:vAlign w:val="top"/>
          </w:tcPr>
          <w:p>
            <w:r/>
            <w:r>
              <w:rPr>
                <w:rFonts w:ascii="Calibri" w:hAnsi="Calibri"/>
                <w:color w:val="202020"/>
                <w:sz w:val="19"/>
              </w:rPr>
              <w:t>🔵 PERSPECTIVE</w:t>
            </w:r>
          </w:p>
        </w:tc>
        <w:tc>
          <w:tcPr>
            <w:tcW w:type="dxa" w:w="3175"/>
            <w:vAlign w:val="top"/>
          </w:tcPr>
          <w:p>
            <w:r/>
            <w:r>
              <w:rPr>
                <w:rFonts w:ascii="Calibri" w:hAnsi="Calibri"/>
                <w:color w:val="202020"/>
                <w:sz w:val="19"/>
              </w:rPr>
              <w:t>Après Importações. Inclut #58, #60, #79, #152, #I, OPAC1-6.</w:t>
            </w:r>
          </w:p>
        </w:tc>
      </w:tr>
      <w:tr>
        <w:tc>
          <w:tcPr>
            <w:tcW w:type="dxa" w:w="454"/>
            <w:vAlign w:val="top"/>
          </w:tcPr>
          <w:p>
            <w:r/>
            <w:r>
              <w:rPr>
                <w:rFonts w:ascii="Calibri" w:hAnsi="Calibri"/>
                <w:color w:val="202020"/>
                <w:sz w:val="19"/>
              </w:rPr>
              <w:t>12</w:t>
            </w:r>
          </w:p>
        </w:tc>
        <w:tc>
          <w:tcPr>
            <w:tcW w:type="dxa" w:w="3402"/>
            <w:vAlign w:val="top"/>
          </w:tcPr>
          <w:p>
            <w:r/>
            <w:r>
              <w:rPr>
                <w:rFonts w:ascii="Calibri" w:hAnsi="Calibri"/>
                <w:color w:val="202020"/>
                <w:sz w:val="19"/>
              </w:rPr>
              <w:t>#MOBILE Paquets P0, P2, P3, P4</w:t>
            </w:r>
          </w:p>
        </w:tc>
        <w:tc>
          <w:tcPr>
            <w:tcW w:type="dxa" w:w="2494"/>
            <w:vAlign w:val="top"/>
          </w:tcPr>
          <w:p>
            <w:r/>
            <w:r>
              <w:rPr>
                <w:rFonts w:ascii="Calibri" w:hAnsi="Calibri"/>
                <w:color w:val="202020"/>
                <w:sz w:val="19"/>
              </w:rPr>
              <w:t>🔵 PERSPECTIVE — post-Catalogação</w:t>
            </w:r>
          </w:p>
        </w:tc>
        <w:tc>
          <w:tcPr>
            <w:tcW w:type="dxa" w:w="3175"/>
            <w:vAlign w:val="top"/>
          </w:tcPr>
          <w:p>
            <w:r/>
            <w:r>
              <w:rPr>
                <w:rFonts w:ascii="Calibri" w:hAnsi="Calibri"/>
                <w:color w:val="202020"/>
                <w:sz w:val="19"/>
              </w:rPr>
              <w:t>Carte-lecteur déjà livrée en avance de phase.</w:t>
            </w:r>
          </w:p>
        </w:tc>
      </w:tr>
      <w:tr>
        <w:tc>
          <w:tcPr>
            <w:tcW w:type="dxa" w:w="454"/>
            <w:vAlign w:val="top"/>
          </w:tcPr>
          <w:p>
            <w:r/>
            <w:r>
              <w:rPr>
                <w:rFonts w:ascii="Calibri" w:hAnsi="Calibri"/>
                <w:color w:val="202020"/>
                <w:sz w:val="19"/>
              </w:rPr>
              <w:t>13</w:t>
            </w:r>
          </w:p>
        </w:tc>
        <w:tc>
          <w:tcPr>
            <w:tcW w:type="dxa" w:w="3402"/>
            <w:vAlign w:val="top"/>
          </w:tcPr>
          <w:p>
            <w:r/>
            <w:r>
              <w:rPr>
                <w:rFonts w:ascii="Calibri" w:hAnsi="Calibri"/>
                <w:color w:val="202020"/>
                <w:sz w:val="19"/>
              </w:rPr>
              <w:t>#TESTS — E2E-infra + #144 QA + #31 + #32</w:t>
            </w:r>
          </w:p>
        </w:tc>
        <w:tc>
          <w:tcPr>
            <w:tcW w:type="dxa" w:w="2494"/>
            <w:vAlign w:val="top"/>
          </w:tcPr>
          <w:p>
            <w:r/>
            <w:r>
              <w:rPr>
                <w:rFonts w:ascii="Calibri" w:hAnsi="Calibri"/>
                <w:color w:val="202020"/>
                <w:sz w:val="19"/>
              </w:rPr>
              <w:t>🟡 À déclencher avant activation tierce massive</w:t>
            </w:r>
          </w:p>
        </w:tc>
        <w:tc>
          <w:tcPr>
            <w:tcW w:type="dxa" w:w="3175"/>
            <w:vAlign w:val="top"/>
          </w:tcPr>
          <w:p>
            <w:r/>
            <w:r>
              <w:rPr>
                <w:rFonts w:ascii="Calibri" w:hAnsi="Calibri"/>
                <w:color w:val="202020"/>
                <w:sz w:val="19"/>
              </w:rPr>
              <w:t>Conditionne la confiance en production multi-biblios.</w:t>
            </w:r>
          </w:p>
        </w:tc>
      </w:tr>
      <w:tr>
        <w:tc>
          <w:tcPr>
            <w:tcW w:type="dxa" w:w="454"/>
            <w:vAlign w:val="top"/>
          </w:tcPr>
          <w:p>
            <w:r/>
            <w:r>
              <w:rPr>
                <w:rFonts w:ascii="Calibri" w:hAnsi="Calibri"/>
                <w:color w:val="202020"/>
                <w:sz w:val="19"/>
              </w:rPr>
              <w:t>14</w:t>
            </w:r>
          </w:p>
        </w:tc>
        <w:tc>
          <w:tcPr>
            <w:tcW w:type="dxa" w:w="3402"/>
            <w:vAlign w:val="top"/>
          </w:tcPr>
          <w:p>
            <w:r/>
            <w:r>
              <w:rPr>
                <w:rFonts w:ascii="Calibri" w:hAnsi="Calibri"/>
                <w:color w:val="202020"/>
                <w:sz w:val="19"/>
              </w:rPr>
              <w:t>#111 wizard onboarding biblio complet (volets 1-10)</w:t>
            </w:r>
          </w:p>
        </w:tc>
        <w:tc>
          <w:tcPr>
            <w:tcW w:type="dxa" w:w="2494"/>
            <w:vAlign w:val="top"/>
          </w:tcPr>
          <w:p>
            <w:r/>
            <w:r>
              <w:rPr>
                <w:rFonts w:ascii="Calibri" w:hAnsi="Calibri"/>
                <w:color w:val="202020"/>
                <w:sz w:val="19"/>
              </w:rPr>
              <w:t>🔵 PERSPECTIVE Q3 2026</w:t>
            </w:r>
          </w:p>
        </w:tc>
        <w:tc>
          <w:tcPr>
            <w:tcW w:type="dxa" w:w="3175"/>
            <w:vAlign w:val="top"/>
          </w:tcPr>
          <w:p>
            <w:r/>
            <w:r>
              <w:rPr>
                <w:rFonts w:ascii="Calibri" w:hAnsi="Calibri"/>
                <w:color w:val="202020"/>
                <w:sz w:val="19"/>
              </w:rPr>
              <w:t>Gros chantier ≈ 2-3 semaines. Post-stabilisation des autres séquences.</w:t>
            </w:r>
          </w:p>
        </w:tc>
      </w:tr>
    </w:tbl>
    <w:p>
      <w:pPr>
        <w:spacing w:before="240" w:after="80"/>
      </w:pPr>
      <w:r>
        <w:rPr>
          <w:rFonts w:ascii="Calibri" w:hAnsi="Calibri"/>
          <w:b/>
          <w:i w:val="0"/>
          <w:color w:val="445577"/>
          <w:sz w:val="30"/>
        </w:rPr>
        <w:t>IV.4 — Arbitrages devenus pressants</w:t>
      </w:r>
    </w:p>
    <w:p>
      <w:pPr>
        <w:jc w:val="both"/>
      </w:pPr>
      <w:r>
        <w:rPr>
          <w:rFonts w:ascii="Calibri" w:hAnsi="Calibri"/>
          <w:b w:val="0"/>
          <w:i w:val="0"/>
          <w:color w:val="202020"/>
          <w:sz w:val="22"/>
        </w:rPr>
        <w:t>Cinq arbitrages structurants restent à rendre. Ils sont distincts des cinq arbitrages techniques de la section F du backlog v21 — ceux-ci sont structurels, ceux-là étaient locaux.</w:t>
      </w:r>
    </w:p>
    <w:p>
      <w:pPr>
        <w:spacing w:before="160" w:after="40"/>
      </w:pPr>
      <w:r>
        <w:rPr>
          <w:rFonts w:ascii="Calibri" w:hAnsi="Calibri"/>
          <w:b/>
          <w:i w:val="0"/>
          <w:color w:val="445577"/>
          <w:sz w:val="26"/>
        </w:rPr>
        <w:t>Arbitrage 1 — Ordre entre séquence 2 (Painel) et séquence 3 (profils)</w:t>
      </w:r>
    </w:p>
    <w:p>
      <w:pPr>
        <w:jc w:val="both"/>
      </w:pPr>
      <w:r>
        <w:rPr>
          <w:rFonts w:ascii="Calibri" w:hAnsi="Calibri"/>
          <w:b w:val="0"/>
          <w:i w:val="0"/>
          <w:color w:val="202020"/>
          <w:sz w:val="22"/>
        </w:rPr>
        <w:t>La séquence 2 (suite #PAINEL) est en pleine vitesse — chantier B clos 27-28/05, D le 28/05 matin, E.1 et E.2 v0 le 28/05 soir. Continuer à ce rythme clôt le second chantier-cadre en deux semaines. À l'inverse, la séquence 3 (jonction frontend profils d'adoption) a un fort levier stratégique mais demande 5 jours de travail concentré et de la fraîcheur. Faut-il maintenir le rythme Painel jusqu'à clôture, ou basculer sur la jonction profils ?</w:t>
      </w:r>
    </w:p>
    <w:p>
      <w:pPr>
        <w:spacing w:before="160" w:after="40"/>
      </w:pPr>
      <w:r>
        <w:rPr>
          <w:rFonts w:ascii="Calibri" w:hAnsi="Calibri"/>
          <w:b/>
          <w:i w:val="0"/>
          <w:color w:val="445577"/>
          <w:sz w:val="26"/>
        </w:rPr>
        <w:t>Arbitrage 2 — Première activation tierce avant ou après séquence 3 ?</w:t>
      </w:r>
    </w:p>
    <w:p>
      <w:pPr>
        <w:jc w:val="both"/>
      </w:pPr>
      <w:r>
        <w:rPr>
          <w:rFonts w:ascii="Calibri" w:hAnsi="Calibri"/>
          <w:b w:val="0"/>
          <w:i w:val="0"/>
          <w:color w:val="202020"/>
          <w:sz w:val="22"/>
        </w:rPr>
        <w:t>L'activation de CIRA Marseille (#36 du backlog v21) est techniquement praticable dès aujourd'hui. La doctrine v14 (Précision 1) suggère d'attendre la jonction frontend des profils d'adoption (séquence 3) pour ne pas exposer une biblio tierce à une couche métier dont le frontend ignore les RPC. Faut-il tenir cette doctrine au prix d'un retard de l'activation tierce, ou accepter une activation prudente avec restriction explicite des modes accessibles ?</w:t>
      </w:r>
    </w:p>
    <w:p>
      <w:pPr>
        <w:spacing w:before="160" w:after="40"/>
      </w:pPr>
      <w:r>
        <w:rPr>
          <w:rFonts w:ascii="Calibri" w:hAnsi="Calibri"/>
          <w:b/>
          <w:i w:val="0"/>
          <w:color w:val="445577"/>
          <w:sz w:val="26"/>
        </w:rPr>
        <w:t>Arbitrage 3 — Méthode v_active_memberships : wrapper ou RPC ?</w:t>
      </w:r>
    </w:p>
    <w:p>
      <w:pPr>
        <w:jc w:val="both"/>
      </w:pPr>
      <w:r>
        <w:rPr>
          <w:rFonts w:ascii="Calibri" w:hAnsi="Calibri"/>
          <w:b w:val="0"/>
          <w:i w:val="0"/>
          <w:color w:val="202020"/>
          <w:sz w:val="22"/>
        </w:rPr>
        <w:t>L'unique ERROR restante des advisors Supabase. Deux options. (a) Wrapper api en INVOKER : moins de refactoring mais reproduit le schéma de la vue elle-même. (b) Abandon de la vue au profit d'une RPC SECURITY DEFINER fn_get_my_active_membership avec contrôle d'identité explicite : plus propre architecturalement mais demande un refactoring frontend des sites d'appel (≈ 4-5 selon recensement rapide). À arbitrer avant la séquence 7.</w:t>
      </w:r>
    </w:p>
    <w:p>
      <w:pPr>
        <w:spacing w:before="160" w:after="40"/>
      </w:pPr>
      <w:r>
        <w:rPr>
          <w:rFonts w:ascii="Calibri" w:hAnsi="Calibri"/>
          <w:b/>
          <w:i w:val="0"/>
          <w:color w:val="445577"/>
          <w:sz w:val="26"/>
        </w:rPr>
        <w:t>Arbitrage 4 — Chantier #154 : finition séparée ou rattachée ?</w:t>
      </w:r>
    </w:p>
    <w:p>
      <w:pPr>
        <w:jc w:val="both"/>
      </w:pPr>
      <w:r>
        <w:rPr>
          <w:rFonts w:ascii="Calibri" w:hAnsi="Calibri"/>
          <w:b w:val="0"/>
          <w:i w:val="0"/>
          <w:color w:val="202020"/>
          <w:sz w:val="22"/>
        </w:rPr>
        <w:t>Les deux détails de finition du chantier #153 (code mort res.refused et dé-duplication notify-internal-task _shared/) peuvent être (a) traités dans une session de finition propre, courte, dédiée, soit (b) rattachés à #154 (robustesse de la même Edge Function). L'option (b) est plus économe en sessions mais retarde la clôture complète de #153. À arbitrer selon le temps disponible.</w:t>
      </w:r>
    </w:p>
    <w:p>
      <w:pPr>
        <w:spacing w:before="160" w:after="40"/>
      </w:pPr>
      <w:r>
        <w:rPr>
          <w:rFonts w:ascii="Calibri" w:hAnsi="Calibri"/>
          <w:b/>
          <w:i w:val="0"/>
          <w:color w:val="445577"/>
          <w:sz w:val="26"/>
        </w:rPr>
        <w:t>Arbitrage 5 — Rythme de production des Livres blancs</w:t>
      </w:r>
    </w:p>
    <w:p>
      <w:pPr>
        <w:jc w:val="both"/>
      </w:pPr>
      <w:r>
        <w:rPr>
          <w:rFonts w:ascii="Calibri" w:hAnsi="Calibri"/>
          <w:b w:val="0"/>
          <w:i w:val="0"/>
          <w:color w:val="202020"/>
          <w:sz w:val="22"/>
        </w:rPr>
        <w:t>La cadence v14 (19/05) → v15 (21/05) → v16 (27/05) → v17 (29/05) est rapide : quatre Livres blancs en dix jours. Cette cadence est intelligible (chaque version inscrit un acquis doctrinal nouveau) mais elle peut épuiser l'attention. Faut-il maintenir le tempo jusqu'à Bologne, ou poser un palier après v17 et ne reprendre qu'à la clôture complète du chantier-cadre Painel et du chantier Importações ? La présente refonte structurelle du v17 a vraisemblablement consommé le besoin d'un v18 avant juin/juillet.</w:t>
      </w:r>
    </w:p>
    <w:p>
      <w:r>
        <w:br w:type="page"/>
      </w:r>
    </w:p>
    <w:p>
      <w:pPr>
        <w:spacing w:before="360" w:after="120"/>
      </w:pPr>
      <w:r>
        <w:rPr>
          <w:rFonts w:ascii="Calibri" w:hAnsi="Calibri"/>
          <w:b/>
          <w:i w:val="0"/>
          <w:color w:val="1F2E55"/>
          <w:sz w:val="36"/>
        </w:rPr>
        <w:t>V. Méthode, notes et formule de clôture</w:t>
      </w:r>
    </w:p>
    <w:p>
      <w:pPr>
        <w:spacing w:before="240" w:after="80"/>
      </w:pPr>
      <w:r>
        <w:rPr>
          <w:rFonts w:ascii="Calibri" w:hAnsi="Calibri"/>
          <w:b/>
          <w:i w:val="0"/>
          <w:color w:val="445577"/>
          <w:sz w:val="30"/>
        </w:rPr>
        <w:t>V.1 — Note méthodologique sur les chiffres</w:t>
      </w:r>
    </w:p>
    <w:p>
      <w:pPr>
        <w:jc w:val="both"/>
      </w:pPr>
      <w:r>
        <w:rPr>
          <w:rFonts w:ascii="Calibri" w:hAnsi="Calibri"/>
          <w:b w:val="0"/>
          <w:i w:val="0"/>
          <w:color w:val="202020"/>
          <w:sz w:val="22"/>
        </w:rPr>
        <w:t>La v17 est la première version du Livre blanc qui dispose de quatre lectures successives du même backend, à des dates rapprochées. v13 du 30 avril (dump intégral), v14 du 19 mai (inventaire structuré sans dump), v16 du 27 mai (dump intégral retrouvé après épisode pénible), v17 du 28 mai (dump intégral, à comparable). Cette succession permet une lecture en cadence — la cadence d'expansion backend mesurable de palier en palier.</w:t>
      </w:r>
    </w:p>
    <w:p>
      <w:pPr>
        <w:jc w:val="both"/>
      </w:pPr>
      <w:r>
        <w:rPr>
          <w:rFonts w:ascii="Calibri" w:hAnsi="Calibri"/>
          <w:b w:val="0"/>
          <w:i w:val="0"/>
          <w:color w:val="202020"/>
          <w:sz w:val="22"/>
        </w:rPr>
        <w:t>Méthode de comptage du v17. Tables : grep ^CREATE TABLE (public|api) sur le dump converti UTF-8, sans les tables _archived_* ni _backup_* dans le compte actif. Vues : grep ^CREATE VIEW + CREATE MATERIALIZED VIEW. Fonctions : grep ^CREATE FUNCTION. Policies RLS : grep ^CREATE POLICY. Triggers : grep ^CREATE TRIGGER. Indexes : grep ^CREATE INDEX (UNIQUE compris). Foreign keys : grep ADD CONSTRAINT.*FOREIGN KEY (ALTER TABLE explicite). Ces comptages sont mécaniques et reproductibles. La seule mesure indirecte est SECURITY DEFINER, comptée comme occurrences textuelles (noter la différence avec le v16, voir III.1 note).</w:t>
      </w:r>
    </w:p>
    <w:p>
      <w:pPr>
        <w:spacing w:before="240" w:after="80"/>
      </w:pPr>
      <w:r>
        <w:rPr>
          <w:rFonts w:ascii="Calibri" w:hAnsi="Calibri"/>
          <w:b/>
          <w:i w:val="0"/>
          <w:color w:val="445577"/>
          <w:sz w:val="30"/>
        </w:rPr>
        <w:t>V.2 — Corpus retenu pour cette v17</w:t>
      </w:r>
    </w:p>
    <w:p>
      <w:pPr>
        <w:jc w:val="both"/>
      </w:pPr>
      <w:r>
        <w:rPr>
          <w:rFonts w:ascii="Calibri" w:hAnsi="Calibri"/>
          <w:b w:val="0"/>
          <w:i w:val="0"/>
          <w:color w:val="202020"/>
          <w:sz w:val="22"/>
        </w:rPr>
        <w:t>Le présent document a été rédigé à partir des pièces effectivement transmises ou consultées :</w:t>
      </w:r>
    </w:p>
    <w:p>
      <w:pPr>
        <w:ind w:left="283"/>
      </w:pPr>
      <w:r>
        <w:rPr>
          <w:rFonts w:ascii="Calibri" w:hAnsi="Calibri"/>
          <w:b w:val="0"/>
          <w:i w:val="0"/>
          <w:color w:val="202020"/>
          <w:sz w:val="22"/>
        </w:rPr>
        <w:t>• Grand Livre blanc stratégique v16 du 27 mai 2026 (lu intégralement, 666 lignes extraites).</w:t>
      </w:r>
    </w:p>
    <w:p>
      <w:pPr>
        <w:ind w:left="283"/>
      </w:pPr>
      <w:r>
        <w:rPr>
          <w:rFonts w:ascii="Calibri" w:hAnsi="Calibri"/>
          <w:b w:val="0"/>
          <w:i w:val="0"/>
          <w:color w:val="202020"/>
          <w:sz w:val="22"/>
        </w:rPr>
        <w:t>• Dump SQL exact reçu et exploité après conversion UTF-16-LE → UTF-8 (54 731 lignes UTF-8, 1.6 Mo, schémas public + api complets).</w:t>
      </w:r>
    </w:p>
    <w:p>
      <w:pPr>
        <w:ind w:left="283"/>
      </w:pPr>
      <w:r>
        <w:rPr>
          <w:rFonts w:ascii="Calibri" w:hAnsi="Calibri"/>
          <w:b w:val="0"/>
          <w:i w:val="0"/>
          <w:color w:val="202020"/>
          <w:sz w:val="22"/>
        </w:rPr>
        <w:t>• Backlog technique v20 du 28 mai 2026 (lu intégralement, intégré dans la refonte v21).</w:t>
      </w:r>
    </w:p>
    <w:p>
      <w:pPr>
        <w:ind w:left="283"/>
      </w:pPr>
      <w:r>
        <w:rPr>
          <w:rFonts w:ascii="Calibri" w:hAnsi="Calibri"/>
          <w:b w:val="0"/>
          <w:i w:val="0"/>
          <w:color w:val="202020"/>
          <w:sz w:val="22"/>
        </w:rPr>
        <w:t>• Backlog technique v19 antérieur (cité par le v20 comme socle), lu intégralement.</w:t>
      </w:r>
    </w:p>
    <w:p>
      <w:pPr>
        <w:ind w:left="283"/>
      </w:pPr>
      <w:r>
        <w:rPr>
          <w:rFonts w:ascii="Calibri" w:hAnsi="Calibri"/>
          <w:b w:val="0"/>
          <w:i w:val="0"/>
          <w:color w:val="202020"/>
          <w:sz w:val="22"/>
        </w:rPr>
        <w:t>• Corpus decisions/ — 57 documents vivants + 7 archivés, audités et consolidés dans le livrable « Audit et synthèse du dossier decisions/ » du 29 mai 2026.</w:t>
      </w:r>
    </w:p>
    <w:p>
      <w:pPr>
        <w:ind w:left="283"/>
      </w:pPr>
      <w:r>
        <w:rPr>
          <w:rFonts w:ascii="Calibri" w:hAnsi="Calibri"/>
          <w:b w:val="0"/>
          <w:i w:val="0"/>
          <w:color w:val="202020"/>
          <w:sz w:val="22"/>
        </w:rPr>
        <w:t>• Corpus specs/ — INDEX.md et INVENTAIRE.md, à jour au 20 mai (à compléter avec spec-carte-lecteur-v0_1, spec-cycle-vie-peb, spec-cartographie-reseau, spec-granularite-item — recommandation de mise à jour pour l'INVENTAIRE).</w:t>
      </w:r>
    </w:p>
    <w:p>
      <w:pPr>
        <w:ind w:left="283"/>
      </w:pPr>
      <w:r>
        <w:rPr>
          <w:rFonts w:ascii="Calibri" w:hAnsi="Calibri"/>
          <w:b w:val="0"/>
          <w:i w:val="0"/>
          <w:color w:val="202020"/>
          <w:sz w:val="22"/>
        </w:rPr>
        <w:t>• Repository local (anarbib-app) — structure src/pages/painel/ vérifiée (PanelPage.jsx à 1870 lignes, 9 composants Tab*.jsx, _shared.jsx), structure supabase/migrations/ vérifiée (dernières migrations au 28/05 sur carte-lecteur et restriction tracée).</w:t>
      </w:r>
    </w:p>
    <w:p>
      <w:pPr>
        <w:spacing w:before="240" w:after="80"/>
      </w:pPr>
      <w:r>
        <w:rPr>
          <w:rFonts w:ascii="Calibri" w:hAnsi="Calibri"/>
          <w:b/>
          <w:i w:val="0"/>
          <w:color w:val="445577"/>
          <w:sz w:val="30"/>
        </w:rPr>
        <w:t>V.3 — Lignes rouges maintenues</w:t>
      </w:r>
    </w:p>
    <w:p>
      <w:pPr>
        <w:jc w:val="both"/>
      </w:pPr>
      <w:r>
        <w:rPr>
          <w:rFonts w:ascii="Calibri" w:hAnsi="Calibri"/>
          <w:b w:val="0"/>
          <w:i w:val="0"/>
          <w:color w:val="202020"/>
          <w:sz w:val="22"/>
        </w:rPr>
        <w:t>La v17 ne lève aucune ligne rouge et n'en ajoute aucune nouvelle au-delà des décisions doctrinales du chantier mobile (Doctrine VI, partie II.7). Toutes les lignes rouges v13 + v14 + v16 sont maintenues à l'identique :</w:t>
      </w:r>
    </w:p>
    <w:p>
      <w:pPr>
        <w:ind w:left="283"/>
      </w:pPr>
      <w:r>
        <w:rPr>
          <w:rFonts w:ascii="Calibri" w:hAnsi="Calibri"/>
          <w:b w:val="0"/>
          <w:i w:val="0"/>
          <w:color w:val="202020"/>
          <w:sz w:val="22"/>
        </w:rPr>
        <w:t>• Patchs minimaux, localisés, réversibles, à partir des fichiers canoniques exacts.</w:t>
      </w:r>
    </w:p>
    <w:p>
      <w:pPr>
        <w:ind w:left="283"/>
      </w:pPr>
      <w:r>
        <w:rPr>
          <w:rFonts w:ascii="Calibri" w:hAnsi="Calibri"/>
          <w:b w:val="0"/>
          <w:i w:val="0"/>
          <w:color w:val="202020"/>
          <w:sz w:val="22"/>
        </w:rPr>
        <w:t>• Pas de logique localiste sous habillage réseau.</w:t>
      </w:r>
    </w:p>
    <w:p>
      <w:pPr>
        <w:ind w:left="283"/>
      </w:pPr>
      <w:r>
        <w:rPr>
          <w:rFonts w:ascii="Calibri" w:hAnsi="Calibri"/>
          <w:b w:val="0"/>
          <w:i w:val="0"/>
          <w:color w:val="202020"/>
          <w:sz w:val="22"/>
        </w:rPr>
        <w:t>• Pas de confusion entre matérialisation et fermeture de couche.</w:t>
      </w:r>
    </w:p>
    <w:p>
      <w:pPr>
        <w:ind w:left="283"/>
      </w:pPr>
      <w:r>
        <w:rPr>
          <w:rFonts w:ascii="Calibri" w:hAnsi="Calibri"/>
          <w:b w:val="0"/>
          <w:i w:val="0"/>
          <w:color w:val="202020"/>
          <w:sz w:val="22"/>
        </w:rPr>
        <w:t>• Pas de catalogação absorbant silencieusement la complexité réseau.</w:t>
      </w:r>
    </w:p>
    <w:p>
      <w:pPr>
        <w:ind w:left="283"/>
      </w:pPr>
      <w:r>
        <w:rPr>
          <w:rFonts w:ascii="Calibri" w:hAnsi="Calibri"/>
          <w:b w:val="0"/>
          <w:i w:val="0"/>
          <w:color w:val="202020"/>
          <w:sz w:val="22"/>
        </w:rPr>
        <w:t>• Aucune migration sans palier réversible.</w:t>
      </w:r>
    </w:p>
    <w:p>
      <w:pPr>
        <w:ind w:left="283"/>
      </w:pPr>
      <w:r>
        <w:rPr>
          <w:rFonts w:ascii="Calibri" w:hAnsi="Calibri"/>
          <w:b w:val="0"/>
          <w:i w:val="0"/>
          <w:color w:val="202020"/>
          <w:sz w:val="22"/>
        </w:rPr>
        <w:t>• Aucun déploiement Edge Function non rétro-compatible.</w:t>
      </w:r>
    </w:p>
    <w:p>
      <w:pPr>
        <w:ind w:left="283"/>
      </w:pPr>
      <w:r>
        <w:rPr>
          <w:rFonts w:ascii="Calibri" w:hAnsi="Calibri"/>
          <w:b w:val="0"/>
          <w:i w:val="0"/>
          <w:color w:val="202020"/>
          <w:sz w:val="22"/>
        </w:rPr>
        <w:t>• Aucune décision d'infrastructure sans lecture politique.</w:t>
      </w:r>
    </w:p>
    <w:p>
      <w:pPr>
        <w:ind w:left="283"/>
      </w:pPr>
      <w:r>
        <w:rPr>
          <w:rFonts w:ascii="Calibri" w:hAnsi="Calibri"/>
          <w:b w:val="0"/>
          <w:i w:val="0"/>
          <w:color w:val="202020"/>
          <w:sz w:val="22"/>
        </w:rPr>
        <w:t>• Aucune chaîne de texte hardcodée ajoutée, dans aucune langue.</w:t>
      </w:r>
    </w:p>
    <w:p>
      <w:pPr>
        <w:ind w:left="283"/>
      </w:pPr>
      <w:r>
        <w:rPr>
          <w:rFonts w:ascii="Calibri" w:hAnsi="Calibri"/>
          <w:b w:val="0"/>
          <w:i w:val="0"/>
          <w:color w:val="202020"/>
          <w:sz w:val="22"/>
        </w:rPr>
        <w:t>• Aucun durcissement de sécurité sans lecture du dump à jour.</w:t>
      </w:r>
    </w:p>
    <w:p>
      <w:pPr>
        <w:ind w:left="283"/>
      </w:pPr>
      <w:r>
        <w:rPr>
          <w:rFonts w:ascii="Calibri" w:hAnsi="Calibri"/>
          <w:b w:val="0"/>
          <w:i w:val="0"/>
          <w:color w:val="202020"/>
          <w:sz w:val="22"/>
        </w:rPr>
        <w:t>• Aucune fermeture de chantier déclarée close avant audit frontend explicite.</w:t>
      </w:r>
    </w:p>
    <w:p>
      <w:pPr>
        <w:ind w:left="283"/>
      </w:pPr>
      <w:r>
        <w:rPr>
          <w:rFonts w:ascii="Calibri" w:hAnsi="Calibri"/>
          <w:b w:val="0"/>
          <w:i w:val="0"/>
          <w:color w:val="202020"/>
          <w:sz w:val="22"/>
        </w:rPr>
        <w:t>• Aucun helper SECURITY DEFINER exposé à anon sans justification politique écrite.</w:t>
      </w:r>
    </w:p>
    <w:p>
      <w:pPr>
        <w:ind w:left="283"/>
      </w:pPr>
      <w:r>
        <w:rPr>
          <w:rFonts w:ascii="Calibri" w:hAnsi="Calibri"/>
          <w:b w:val="0"/>
          <w:i w:val="0"/>
          <w:color w:val="202020"/>
          <w:sz w:val="22"/>
        </w:rPr>
        <w:t>• Le filtrage et le vocabulaire d'écran doivent respecter en toutes circonstances la dualité item_status / workflow_stage (Doctrine I).</w:t>
      </w:r>
    </w:p>
    <w:p>
      <w:pPr>
        <w:ind w:left="283"/>
      </w:pPr>
      <w:r>
        <w:rPr>
          <w:rFonts w:ascii="Calibri" w:hAnsi="Calibri"/>
          <w:b w:val="0"/>
          <w:i w:val="0"/>
          <w:color w:val="202020"/>
          <w:sz w:val="22"/>
        </w:rPr>
        <w:t>• La sécurité de la carte-lecteur ne s'appuie sur aucune information stockée localement par le navigateur ou l'application mobile : tout pointeur vers une appartenance passe par un jeton opaque révocable (Doctrine VI).</w:t>
      </w:r>
    </w:p>
    <w:p>
      <w:pPr>
        <w:spacing w:before="240" w:after="80"/>
      </w:pPr>
      <w:r>
        <w:rPr>
          <w:rFonts w:ascii="Calibri" w:hAnsi="Calibri"/>
          <w:b/>
          <w:i w:val="0"/>
          <w:color w:val="445577"/>
          <w:sz w:val="30"/>
        </w:rPr>
        <w:t>V.4 — Note de clôture sur la cadence des Livres blancs</w:t>
      </w:r>
    </w:p>
    <w:p>
      <w:pPr>
        <w:jc w:val="both"/>
      </w:pPr>
      <w:r>
        <w:rPr>
          <w:rFonts w:ascii="Calibri" w:hAnsi="Calibri"/>
          <w:b w:val="0"/>
          <w:i w:val="0"/>
          <w:color w:val="202020"/>
          <w:sz w:val="22"/>
        </w:rPr>
        <w:t>La série v9.7 → v17 couvre une période de soixante jours (du 31 mars au 29 mai 2026). Sur cette période, le projet est passé de 61 % à ≈ 96 % d'avancement estimé, soit +35 points. La cadence moyenne reste à environ +0,58 point par jour calendaire, stable depuis la v14. Mais la v17 mesure deux changements de régime déjà entamés en v16. La cadence d'expansion backend continue à se ralentir (+7 fonctions en 8 jours v15 → v16, +7 fonctions en 1 jour v16 → v17 mais portées exclusivement par la carte-lecteur, sans nouveau palier métier). La cadence de Livre blanc est volontairement interrompue après cette v17 : la prochaine version ne devrait pas être produite avant clôture complète du chantier-cadre Painel (séquence 2), jonction frontend des profils d'adoption (séquence 3), et engagement substantiel du chantier-cadre Importações. À ce rythme, une v18 est envisageable autour de fin juillet 2026, horizon de la mi-année.</w:t>
      </w:r>
    </w:p>
    <w:p>
      <w:pPr>
        <w:spacing w:before="240" w:after="80"/>
      </w:pPr>
      <w:r>
        <w:rPr>
          <w:rFonts w:ascii="Calibri" w:hAnsi="Calibri"/>
          <w:b/>
          <w:i w:val="0"/>
          <w:color w:val="445577"/>
          <w:sz w:val="30"/>
        </w:rPr>
        <w:t>V.5 — Formule de clôture</w:t>
      </w:r>
    </w:p>
    <w:p>
      <w:pPr>
        <w:jc w:val="both"/>
      </w:pPr>
      <w:r>
        <w:rPr>
          <w:rFonts w:ascii="Calibri" w:hAnsi="Calibri"/>
          <w:b w:val="0"/>
          <w:i w:val="0"/>
          <w:color w:val="202020"/>
          <w:sz w:val="22"/>
        </w:rPr>
        <w:t>La v9.7 avait posé la colonne vertébrale stratégique. La v10 avait constaté qu'elle portait du volume. La v11 avait dit qu'elle s'était mise debout. La v12 avait dit qu'elle parlait désormais d'une voix politique alignée. La v13 avait dit qu'elle était lisible exactement, dans son anatomie complète. La v14 avait dit qu'elle avait poussé trois membres nouveaux et qu'il fallait les câbler au système nerveux frontal. La v15, en addendum, avait dit qu'un premier chantier-cadre de jonction (Biblioteca) tenait sa promesse et inscrivait deux doctrines transverses. La v16 avait dit que la méthode parité+audit n'était plus un chantier isolé mais une manière de travailler répétée. La v17 doit dire encore autre chose : que le moment est venu de tenir le rythme acquis sans ajouter de doctrine spéculative, et que la prochaine étape n'est pas un Livre blanc mais un chantier tenu — celui de la jonction frontend des profils d'adoption, qui matérialisera la doctrine de jonction sur l'axe le plus en retard.</w:t>
      </w:r>
    </w:p>
    <w:p>
      <w:pPr>
        <w:jc w:val="both"/>
      </w:pPr>
      <w:r>
        <w:rPr>
          <w:rFonts w:ascii="Calibri" w:hAnsi="Calibri"/>
          <w:b w:val="0"/>
          <w:i w:val="0"/>
          <w:color w:val="202020"/>
          <w:sz w:val="22"/>
        </w:rPr>
        <w:t>Ce que le v17 mesure, pris sur le mois de mai entier, est trois fois modeste et trois fois important. Modeste en doctrines nouvelles : une seule (Doctrine VI, mobile), qui formalise des décisions déjà prises. Modeste en chiffres : +7 fonctions, +1 vue, +1 policy, +1 FK en vingt-quatre heures, portés exclusivement par la carte-lecteur. Modeste en gains d'avancement : +1 à +5 points sur les axes touchés. Important par la livraison concrète : la carte-lecteur en production, la découpe Painel -40 %, trois bugs Painel résolus, le second chantier-cadre quasi-clos, le corpus decisions/ et le backlog refondus, et la confirmation que la méthode parité+audit est tenable dans la durée. Important par le retour au calme stratégique : aucun chantier structurel nouveau n'est ouvert dans la fenêtre, le projet vit désormais sur sa propre dynamique de fermeture itérative. Important par l'émergence d'une catégorie qui n'apparaissait pas : le mode terrain (axe nouveau du tableau IV.1), première ouverture vers une extension du périmètre depuis huit semaines.</w:t>
      </w:r>
    </w:p>
    <w:tbl>
      <w:tblPr>
        <w:tblW w:type="auto" w:w="0"/>
        <w:tblLayout w:type="fixed"/>
        <w:tblLook w:firstColumn="1" w:firstRow="1" w:lastColumn="0" w:lastRow="0" w:noHBand="0" w:noVBand="1" w:val="04A0"/>
      </w:tblPr>
      <w:tblGrid>
        <w:gridCol w:w="9972"/>
      </w:tblGrid>
      <w:tr>
        <w:tc>
          <w:tcPr>
            <w:tcW w:type="dxa" w:w="9638"/>
            <w:shd w:val="clear" w:color="auto" w:fill="EAEBE0"/>
          </w:tcPr>
          <w:p>
            <w:pPr>
              <w:spacing w:before="80" w:after="40"/>
            </w:pPr>
            <w:r/>
            <w:r>
              <w:rPr>
                <w:rFonts w:ascii="Calibri" w:hAnsi="Calibri"/>
                <w:b/>
                <w:color w:val="1F2E55"/>
                <w:sz w:val="22"/>
              </w:rPr>
              <w:t>Formule courte du v17 (29 mai 2026).</w:t>
            </w:r>
          </w:p>
          <w:p>
            <w:pPr>
              <w:spacing w:after="80"/>
              <w:jc w:val="both"/>
            </w:pPr>
            <w:r>
              <w:rPr>
                <w:rFonts w:ascii="Calibri" w:hAnsi="Calibri"/>
                <w:color w:val="202020"/>
                <w:sz w:val="21"/>
              </w:rPr>
              <w:t>Un mois de mai entier de production cohérente, deux chantiers-cadres menés à leur quasi-clôture, six doctrines transverses inscrites au Livre blanc, une livraison politique pour Bologne (la carte-lecteur), et un retour au calme stratégique : c'est ce que mesure la v17, sans ajouter de doctrine spéculative ni ouvrir de nouveau front. La prochaine étape est un chantier tenu — la jonction frontend des profils d'adoption — et un v18 attendu autour de fin juillet, à la mi-année.</w:t>
            </w:r>
          </w:p>
        </w:tc>
      </w:tr>
    </w:tbl>
    <w:p>
      <w:pPr>
        <w:spacing w:after="80"/>
      </w:pPr>
      <w:r>
        <w:rPr>
          <w:rFonts w:ascii="Calibri" w:hAnsi="Calibri"/>
          <w:b w:val="0"/>
          <w:i w:val="0"/>
          <w:color w:val="202020"/>
          <w:sz w:val="22"/>
        </w:rPr>
      </w:r>
    </w:p>
    <w:p>
      <w:pPr>
        <w:spacing w:before="240"/>
      </w:pPr>
      <w:r>
        <w:rPr>
          <w:rFonts w:ascii="Calibri" w:hAnsi="Calibri"/>
          <w:b w:val="0"/>
          <w:i w:val="0"/>
          <w:color w:val="202020"/>
          <w:sz w:val="22"/>
        </w:rPr>
      </w:r>
    </w:p>
    <w:p>
      <w:pPr>
        <w:spacing w:before="320" w:after="80"/>
        <w:jc w:val="center"/>
      </w:pPr>
      <w:r>
        <w:rPr>
          <w:rFonts w:ascii="Calibri" w:hAnsi="Calibri"/>
          <w:b w:val="0"/>
          <w:i w:val="0"/>
          <w:color w:val="445577"/>
          <w:sz w:val="28"/>
        </w:rPr>
        <w:t>—  ◊  —</w:t>
      </w:r>
    </w:p>
    <w:p>
      <w:pPr>
        <w:jc w:val="center"/>
      </w:pPr>
      <w:r>
        <w:rPr>
          <w:rFonts w:ascii="Calibri" w:hAnsi="Calibri"/>
          <w:b w:val="0"/>
          <w:i/>
          <w:color w:val="445577"/>
          <w:sz w:val="20"/>
        </w:rPr>
        <w:t>Fin du Grand Livre blanc stratégique v17. Le présent document succède au v16 (27 mai 2026) et inaugure une refonte structurelle. Il consolide les acquis doctrinaux du chantier-cadre Painel et du chantier extension mobile, et propose un retour à une cadence plus lente — la prochaine version (v18) n'est pas attendue avant la clôture du chantier-cadre Importações, horizon fin juillet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