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56"/>
          <w:szCs w:val="56"/>
        </w:rPr>
        <w:t xml:space="preserve">AnarBib</w:t>
      </w:r>
    </w:p>
    <w:p>
      <w:pPr>
        <w:spacing w:after="120"/>
        <w:jc w:val="center"/>
      </w:pPr>
      <w:r>
        <w:rPr>
          <w:b/>
          <w:bCs/>
          <w:sz w:val="36"/>
          <w:szCs w:val="36"/>
        </w:rPr>
        <w:t xml:space="preserve">Backlog technique v18</w:t>
      </w:r>
    </w:p>
    <w:p>
      <w:pPr>
        <w:spacing w:after="120"/>
        <w:jc w:val="center"/>
      </w:pPr>
      <w:r>
        <w:rPr>
          <w:i/>
          <w:iCs/>
          <w:sz w:val="24"/>
          <w:szCs w:val="24"/>
        </w:rPr>
        <w:t xml:space="preserve">Version française</w:t>
      </w:r>
    </w:p>
    <w:p>
      <w:pPr>
        <w:spacing w:after="600"/>
        <w:jc w:val="center"/>
      </w:pPr>
      <w:r>
        <w:rPr>
          <w:sz w:val="24"/>
          <w:szCs w:val="24"/>
        </w:rPr>
        <w:t xml:space="preserve">27 mai 2026</w:t>
      </w:r>
    </w:p>
    <w:p>
      <w:pPr>
        <w:spacing w:after="400"/>
        <w:jc w:val="center"/>
      </w:pPr>
      <w:r>
        <w:rPr>
          <w:color w:val="6B7280"/>
          <w:sz w:val="24"/>
          <w:szCs w:val="24"/>
        </w:rPr>
        <w:t xml:space="preserve">———  ✦  ———</w:t>
      </w:r>
    </w:p>
    <w:p>
      <w:pPr>
        <w:spacing w:after="200"/>
        <w:jc w:val="center"/>
      </w:pPr>
      <w:r>
        <w:rPr>
          <w:i/>
          <w:iCs/>
          <w:sz w:val="20"/>
          <w:szCs w:val="20"/>
        </w:rPr>
        <w:t xml:space="preserve">Backlog unifié — v18 (27/05/2026). Succède au v17. Apport : rattrapage des sessions des 26 et 27 mai. Un méga-item neuf, #PAINEL, fait entrer l’audit de parité doctrinale de la page Painel — sur le modèle du chantier-cadre #BIBLIO. Trois items neufs entrent : #CARTE (carte uMap des bibliothèques libertaires), #RESEAU-FED (chantier réseau fédératif) et #MOBILE (extension mobile / mode terrain, qui absorbe #H). Le méga-item #153 est intégralement clos sur le volet code : ses cinq chantiers A, B, C, D, E sont bouclés (deux détails de finition restent à régler, voir fiche). Hors ces apports, le v18 conserve l’intégralité du contenu v17. Le backlog reste tenu en français seul.</w:t>
      </w:r>
    </w:p>
    <w:p>
      <w:r>
        <w:br w:type="page"/>
      </w:r>
    </w:p>
    <w:p>
      <w:pPr>
        <w:pStyle w:val="Heading1"/>
      </w:pPr>
      <w:r>
        <w:t xml:space="preserve">A. Vue d’ensemble</w:t>
      </w:r>
    </w:p>
    <w:p>
      <w:pPr>
        <w:spacing w:after="120"/>
      </w:pPr>
      <w:r>
        <w:rPr>
          <w:b w:val="false"/>
          <w:bCs w:val="false"/>
          <w:i w:val="false"/>
          <w:iCs w:val="false"/>
        </w:rPr>
        <w:t xml:space="preserve">Ce backlog v18 succède au v17 (25/05/2026). Il répercute les sessions des 26 et 27 mai, qui n’ont pas porté un apport unique comme le v17 mais plusieurs apports hétérogènes : l’ouverture d’un nouveau chantier-audit sur la page Painel, l’avancement du méga-item #153, l’entrée de trois items neufs, et la correction de deux bugs de données. Le v18 les intègre tous. Hors ces apports, le v18 conserve l’intégralité du contenu v17 : chantier-cadre #BIBLIO, méga-items #CL et #153, chantier #ILL, chantiers Bologna #BG, section G RGPD, et tous les items inchangés.</w:t>
      </w:r>
    </w:p>
    <w:p>
      <w:pPr>
        <w:pStyle w:val="Heading2"/>
      </w:pPr>
      <w:r>
        <w:t xml:space="preserve">Apport 1 — ouverture du chantier-audit #PAINEL</w:t>
      </w:r>
    </w:p>
    <w:p>
      <w:pPr>
        <w:spacing w:after="120"/>
      </w:pPr>
      <w:r>
        <w:rPr>
          <w:b w:val="false"/>
          <w:bCs w:val="false"/>
          <w:i w:val="false"/>
          <w:iCs w:val="false"/>
        </w:rPr>
        <w:t xml:space="preserve">Le 26/05, après le chantier-cadre #BIBLIO (audit de la page Biblioteca), la même méthode de parité fonctionnelle, qualitative et doctrinale a été engagée sur la page Painel. Un audit systématique a identifié quatorze écarts, numérotés EA-01 à EA-14. Comme #BIBLIO, ce chantier entre au backlog comme méga-item #PAINEL, en priorité critique, décliné en chantiers d’exécution. Le premier de ces chantiers — le chantier A — est déjà clos : il regroupait EA-05, EA-09 et EA-13, livrés et validés en production les 26 et 27 mai. Onze écarts restent à traiter, plus deux constats annexes relevés en cours d’audit (#PN-1, #PN-2).</w:t>
      </w:r>
    </w:p>
    <w:p>
      <w:pPr>
        <w:pStyle w:val="Heading2"/>
      </w:pPr>
      <w:r>
        <w:t xml:space="preserve">Apport 2 — trois items neufs : #CARTE, #RESEAU-FED, #MOBILE</w:t>
      </w:r>
    </w:p>
    <w:p>
      <w:pPr>
        <w:spacing w:after="120"/>
      </w:pPr>
      <w:r>
        <w:rPr>
          <w:b w:val="false"/>
          <w:bCs w:val="false"/>
          <w:i w:val="false"/>
          <w:iCs w:val="false"/>
        </w:rPr>
        <w:t xml:space="preserve">Trois chantiers nouveaux ont été cadrés et entrent comme items à part entière. #CARTE : le recensement cartographique de 105 bibliothèques et collectifs libertaires (24 pays, 5 continents) pour une carte uMap publique — recensement et fichiers de données produits, mise en ligne à finaliser. #RESEAU-FED : un dossier d’ouverture qui cadre la transformation de la page réseau, aujourd’hui console d’administration, en une véritable instance fédérative (cercles, assemblées générales, bulletin). #MOBILE : un dossier d’ouverture pour une extension mobile en PWA mono-codebase — scanner ISBN de catalogage et carte-lecteur — qui absorbe et remplace l’ancien item #H.</w:t>
      </w:r>
    </w:p>
    <w:p>
      <w:pPr>
        <w:pStyle w:val="Heading2"/>
      </w:pPr>
      <w:r>
        <w:t xml:space="preserve">Apport 3 — avancement du méga-item #153</w:t>
      </w:r>
    </w:p>
    <w:p>
      <w:pPr>
        <w:spacing w:after="120"/>
      </w:pPr>
      <w:r>
        <w:rPr>
          <w:b w:val="false"/>
          <w:bCs w:val="false"/>
          <w:i w:val="false"/>
          <w:iCs w:val="false"/>
        </w:rPr>
        <w:t xml:space="preserve">Le méga-item #153 (corrections des contenus de mails) est intégralement clos sur son volet code. Au v17, seul son chantier #153.A était bouclé. Le travail s’est en réalité fait en deux étapes que la traçabilité documentaire n’avait pas répercutées : le chantier #153.B (i18n des mails internes — TR-4, TM-A, TM-B, TM-C, TM-D) a été bouclé dès le 18/05/2026 dans le cadre du chantier i18n du layout mail (signature_short_i18n jsonb additive, layout.ts et library-mail-routing.ts acceptant locale, 58 patches sur 8 handlers) ; cet état n’avait pas été remis dans le backlog v17 ni dans les versions intermédiaires. Le constat est rétabli dans ce v18 par recoupement entre la mémoire de session et la vérification de l’absence de chaînes en dur dans team.ts et register. Les sessions des 26 et 27/05 ont par ailleurs bouclé trois chantiers supplémentaires : #153.C (logos résolus depuis le contexte — colonne libraries.logo_url ajoutée et lecture en base dans register), #153.D (wording des mails de statut de réservation, douze clés refondues sur les huit locales) et #153.E (lot de cohérence transverse) sur l’intégralité de son volet code. Sept constats du #153.E ont été traités : NW-B (clé i18n cassée), TR-5 (uniformisation des préfixes de sujet), TR-6.1 et TR-6.3 sur les Edge Functions concernées, NW-A et NW-C (commentaires de doctrine corrigés), et LP-C (cycle de vie de team_notification_outbox — migration ajoutant le statut ‘skipped’ et code distinguant fan-out vide de fan-out plein dans handleTeamEvent et handleNetworkEvent). Deux détails de finition restent à régler, identifiés en cours de chantier : une dette ‘reserva_v2_recusada’ / ‘res.refused’ (code mort) confirmée en #153.D et la dé-duplication de la copie autonome de _shared/ dans notify-internal-task. Hors ces deux détails, #153 est clos.</w:t>
      </w:r>
    </w:p>
    <w:p>
      <w:pPr>
        <w:pStyle w:val="Heading2"/>
      </w:pPr>
      <w:r>
        <w:t xml:space="preserve">Corrections et bugs</w:t>
      </w:r>
    </w:p>
    <w:p>
      <w:pPr>
        <w:spacing w:after="120"/>
      </w:pPr>
      <w:r>
        <w:rPr>
          <w:b w:val="false"/>
          <w:bCs w:val="false"/>
          <w:i w:val="false"/>
          <w:iCs w:val="false"/>
        </w:rPr>
        <w:t xml:space="preserve">Deux bugs de données ont été corrigés et déployés. Un bug de réservation en état terminal classée à tort comme active dans la file du Painel (trigger no-show ne propageant pas l’état à reserva_linhas_v2) a été corrigé par la migration 20260526010000. Un défaut de filtre sur la file des consultations a été corrigé dans la foulée. Ces deux corrections sont actées dans la fiche #PAINEL, le chantier-audit les ayant révélées. Par ailleurs, le sous-travail #ILL-digital du chantier #ILL dispose désormais d’une note de cadrage (CADRAGE_ILL-digital_2026-05-25) : il reste au statut « à spécifier », mais ses questions ouvertes sont posées noir sur blanc.</w:t>
      </w:r>
    </w:p>
    <w:p>
      <w:pPr>
        <w:pStyle w:val="Heading2"/>
      </w:pPr>
      <w:r>
        <w:t xml:space="preserve">Rappel des apports structurels hérités</w:t>
      </w:r>
    </w:p>
    <w:p>
      <w:pPr>
        <w:spacing w:after="120"/>
      </w:pPr>
      <w:r>
        <w:rPr>
          <w:b w:val="false"/>
          <w:bCs w:val="false"/>
          <w:i w:val="false"/>
          <w:iCs w:val="false"/>
        </w:rPr>
        <w:t xml:space="preserve">Pour mémoire, les apports structurels des versions antérieures, toujours en vigueur. Le chantier-cadre Biblioteca #BIBLIO, item-chantier majeur en priorité critique, est quasi-clos : seule son étape 8 (mails) reste, bloquée jusqu’au 05/06 par la dépendance externe à la migration Resend #110. Le méga-item #CL « chantier compte lecteur », dix sous-items #CL.1 à #CL.10 issus du Cahier de chantier Dunkerque. Le méga-item #153, audit transverse des mails décliné en cinq chantiers de correction #153.A à #153.E. Les quatre items #BG issus du dossier de préparation Bologna 2026. La conformité RGPD, menée de bout en bout, consignée en section G comme acquis. Le chantier #ILL (PEB) clos avec cinq sous-travaux livrés. Le chantier #PARTNERS (partenaires de correspondance) livré le 24/05.</w:t>
      </w:r>
    </w:p>
    <w:p>
      <w:pPr>
        <w:pStyle w:val="Heading2"/>
      </w:pPr>
      <w:r>
        <w:t xml:space="preserve">Décompte</w:t>
      </w:r>
    </w:p>
    <w:p>
      <w:pPr>
        <w:spacing w:after="120"/>
      </w:pPr>
      <w:r>
        <w:rPr>
          <w:b w:val="false"/>
          <w:bCs w:val="false"/>
          <w:i w:val="false"/>
          <w:iCs w:val="false"/>
        </w:rPr>
        <w:t xml:space="preserve">Le backlog v18 compte 90 lignes au tableau de la section C. Six lignes entrent par rapport au v17 : #PAINEL, #CARTE, #RESEAU-FED, #MOBILE, #PN-1 et #PN-2. L’item #H n’est pas retiré — conformément à la convention du backlog, aucune ligne ne sort, les items résolus ou absorbés restent au tableau pour mémoire : #H y figure désormais au statut « absorbé », avec renvoi vers #MOBILE.</w:t>
      </w:r>
    </w:p>
    <w:p>
      <w:pPr>
        <w:spacing w:after="120"/>
      </w:pPr>
      <w:r>
        <w:rPr>
          <w:b w:val="false"/>
          <w:bCs w:val="false"/>
          <w:i/>
          <w:iCs/>
          <w:sz w:val="18"/>
          <w:szCs w:val="18"/>
        </w:rPr>
        <w:t xml:space="preserve">Réconciliation du décompte hérité du v17 — à signaler. Le préambule du v17 annonçait « 83 lignes au tableau », mais le tableau du v17 en comptait en réalité 84 : l’écart d’une ligne n’a pas été remarqué à l’époque. Le décompte exact du v18 est donc 84 lignes héritées du v17 plus 6 lignes neuves, soit 90 — et non « 87 » comme un report mécanique du chiffre v17 l’aurait laissé croire. Le v18 rétablit le décompte juste.</w:t>
      </w:r>
    </w:p>
    <w:p>
      <w:pPr>
        <w:spacing w:after="120"/>
      </w:pPr>
      <w:r>
        <w:rPr>
          <w:b w:val="false"/>
          <w:bCs w:val="false"/>
          <w:i w:val="false"/>
          <w:iCs w:val="false"/>
        </w:rPr>
        <w:t xml:space="preserve">Le décompte des unités de travail évolue en conséquence. Le v17 recensait 98 unités (sur la base de son chiffre de 83 lignes) ; le compte réel était 99. Le v18 part de 90 lignes de tableau, plus les 10 sous-items #CL.1-#CL.10, plus les 5 sous-items #153.A-#153.E, plus le chantier A du méga-item #PAINEL (seul chantier déjà cadré ; les chantiers B à F seront comptés à mesure qu’ils sont arrêtés). On obtient 106 unités de travail recensées à ce jour.</w:t>
      </w:r>
    </w:p>
    <w:p>
      <w:pPr>
        <w:pStyle w:val="Heading2"/>
      </w:pPr>
      <w:r>
        <w:t xml:space="preserve">Répartition par priorité</w:t>
      </w:r>
    </w:p>
    <w:p>
      <w:pPr>
        <w:pStyle w:val="ListParagraph"/>
        <w:numPr>
          <w:ilvl w:val="0"/>
          <w:numId w:val="2"/>
        </w:numPr>
        <w:spacing w:after="60"/>
      </w:pPr>
      <w:r>
        <w:rPr>
          <w:b/>
          <w:bCs/>
        </w:rPr>
        <w:t>Critique (score ≥ 18) : 3 items (#K1 résolu, #BIBLIO, #PAINEL)</w:t>
      </w:r>
    </w:p>
    <w:p>
      <w:pPr>
        <w:pStyle w:val="ListParagraph"/>
        <w:numPr>
          <w:ilvl w:val="0"/>
          <w:numId w:val="2"/>
        </w:numPr>
        <w:spacing w:after="60"/>
      </w:pPr>
      <w:r>
        <w:rPr>
          <w:b/>
          <w:bCs/>
        </w:rPr>
        <w:t xml:space="preserve">Haute (15-17) : 11 items</w:t>
      </w:r>
    </w:p>
    <w:p>
      <w:pPr>
        <w:pStyle w:val="ListParagraph"/>
        <w:numPr>
          <w:ilvl w:val="0"/>
          <w:numId w:val="2"/>
        </w:numPr>
        <w:spacing w:after="60"/>
      </w:pPr>
      <w:r>
        <w:rPr>
          <w:b/>
          <w:bCs/>
        </w:rPr>
        <w:t xml:space="preserve">Moyenne (12-14) : 16 items</w:t>
      </w:r>
    </w:p>
    <w:p>
      <w:pPr>
        <w:pStyle w:val="ListParagraph"/>
        <w:numPr>
          <w:ilvl w:val="0"/>
          <w:numId w:val="2"/>
        </w:numPr>
        <w:spacing w:after="60"/>
      </w:pPr>
      <w:r>
        <w:t xml:space="preserve">Hygiène / dette (8-11) : 23 items</w:t>
      </w:r>
    </w:p>
    <w:p>
      <w:pPr>
        <w:pStyle w:val="ListParagraph"/>
        <w:numPr>
          <w:ilvl w:val="0"/>
          <w:numId w:val="2"/>
        </w:numPr>
        <w:spacing w:after="60"/>
      </w:pPr>
      <w:r>
        <w:t xml:space="preserve">Nice-to-have (≤ 7) : 35 items</w:t>
      </w:r>
    </w:p>
    <w:p>
      <w:pPr>
        <w:spacing w:after="120"/>
      </w:pPr>
      <w:r>
        <w:rPr>
          <w:b w:val="false"/>
          <w:bCs w:val="false"/>
          <w:i/>
          <w:iCs/>
          <w:sz w:val="18"/>
          <w:szCs w:val="18"/>
        </w:rPr>
        <w:t xml:space="preserve">Les deux lignes-chantier sans score chiffré (#ILL, #PARTNERS) ne sont pas comptées dans les tranches de priorité. Total : 88 items scorés + 2 lignes-chantier = 90 lignes.</w:t>
      </w:r>
    </w:p>
    <w:p>
      <w:pPr>
        <w:pStyle w:val="Heading2"/>
      </w:pPr>
      <w:r>
        <w:t xml:space="preserve">Répartition par thème</w:t>
      </w:r>
    </w:p>
    <w:p>
      <w:pPr>
        <w:pStyle w:val="ListParagraph"/>
        <w:numPr>
          <w:ilvl w:val="0"/>
          <w:numId w:val="2"/>
        </w:numPr>
        <w:spacing w:after="60"/>
      </w:pPr>
      <w:r>
        <w:t xml:space="preserve">Chantier-cadre : 2 items majeurs (#BIBLIO, 10 étapes ; #PAINEL, 14 écarts)</w:t>
      </w:r>
    </w:p>
    <w:p>
      <w:pPr>
        <w:pStyle w:val="ListParagraph"/>
        <w:numPr>
          <w:ilvl w:val="0"/>
          <w:numId w:val="2"/>
        </w:numPr>
        <w:spacing w:after="60"/>
      </w:pPr>
      <w:r>
        <w:t xml:space="preserve">Compte lecteur : 1 méga-item (#CL) + 10 sous-items #CL.1-#CL.10, plus #ACCOUNT-migration</w:t>
      </w:r>
    </w:p>
    <w:p>
      <w:pPr>
        <w:pStyle w:val="ListParagraph"/>
        <w:numPr>
          <w:ilvl w:val="0"/>
          <w:numId w:val="2"/>
        </w:numPr>
        <w:spacing w:after="60"/>
      </w:pPr>
      <w:r>
        <w:t xml:space="preserve">Mail : 1 méga-item (#153) + 5 sous-items #153.A-#153.E, plus #110</w:t>
      </w:r>
    </w:p>
    <w:p>
      <w:pPr>
        <w:pStyle w:val="ListParagraph"/>
        <w:numPr>
          <w:ilvl w:val="0"/>
          <w:numId w:val="2"/>
        </w:numPr>
        <w:spacing w:after="60"/>
      </w:pPr>
      <w:r>
        <w:t xml:space="preserve">Réseau : 4 items (#64 ; #PARTNERS livré ; #CARTE ; #RESEAU-FED)</w:t>
      </w:r>
    </w:p>
    <w:p>
      <w:pPr>
        <w:pStyle w:val="ListParagraph"/>
        <w:numPr>
          <w:ilvl w:val="0"/>
          <w:numId w:val="2"/>
        </w:numPr>
        <w:spacing w:after="60"/>
      </w:pPr>
      <w:r>
        <w:t xml:space="preserve">Catalogage : 7 items (dont #MOBILE, qui absorbe #H ; #H conservé pour mémoire)</w:t>
      </w:r>
    </w:p>
    <w:p>
      <w:pPr>
        <w:pStyle w:val="ListParagraph"/>
        <w:numPr>
          <w:ilvl w:val="0"/>
          <w:numId w:val="2"/>
        </w:numPr>
        <w:spacing w:after="60"/>
      </w:pPr>
      <w:r>
        <w:t xml:space="preserve">Hygiène : 11 items (dont #PN-1)</w:t>
      </w:r>
    </w:p>
    <w:p>
      <w:pPr>
        <w:pStyle w:val="ListParagraph"/>
        <w:numPr>
          <w:ilvl w:val="0"/>
          <w:numId w:val="2"/>
        </w:numPr>
        <w:spacing w:after="60"/>
      </w:pPr>
      <w:r>
        <w:t xml:space="preserve">PEB / interbibliothèques : 1 item (#ILL, chantier unique ; 5 sous-travaux livrés, 1 à spécifier)</w:t>
      </w:r>
    </w:p>
    <w:p>
      <w:pPr>
        <w:pStyle w:val="ListParagraph"/>
        <w:numPr>
          <w:ilvl w:val="0"/>
          <w:numId w:val="2"/>
        </w:numPr>
        <w:spacing w:after="60"/>
      </w:pPr>
      <w:r>
        <w:t xml:space="preserve">Sécurité : 7 items (hors RGPD, acquis — voir section G)</w:t>
      </w:r>
    </w:p>
    <w:p>
      <w:pPr>
        <w:pStyle w:val="ListParagraph"/>
        <w:numPr>
          <w:ilvl w:val="0"/>
          <w:numId w:val="2"/>
        </w:numPr>
        <w:spacing w:after="60"/>
      </w:pPr>
      <w:r>
        <w:t xml:space="preserve">i18n : 7 items</w:t>
      </w:r>
    </w:p>
    <w:p>
      <w:pPr>
        <w:pStyle w:val="ListParagraph"/>
        <w:numPr>
          <w:ilvl w:val="0"/>
          <w:numId w:val="2"/>
        </w:numPr>
        <w:spacing w:after="60"/>
      </w:pPr>
      <w:r>
        <w:t xml:space="preserve">OPAC : 6 items</w:t>
      </w:r>
    </w:p>
    <w:p>
      <w:pPr>
        <w:pStyle w:val="ListParagraph"/>
        <w:numPr>
          <w:ilvl w:val="0"/>
          <w:numId w:val="2"/>
        </w:numPr>
        <w:spacing w:after="60"/>
      </w:pPr>
      <w:r>
        <w:t xml:space="preserve">Anti-méga-machine : 5 items</w:t>
      </w:r>
    </w:p>
    <w:p>
      <w:pPr>
        <w:pStyle w:val="ListParagraph"/>
        <w:numPr>
          <w:ilvl w:val="0"/>
          <w:numId w:val="2"/>
        </w:numPr>
        <w:spacing w:after="60"/>
      </w:pPr>
      <w:r>
        <w:t xml:space="preserve">UX : 5 items</w:t>
      </w:r>
    </w:p>
    <w:p>
      <w:pPr>
        <w:pStyle w:val="ListParagraph"/>
        <w:numPr>
          <w:ilvl w:val="0"/>
          <w:numId w:val="2"/>
        </w:numPr>
        <w:spacing w:after="60"/>
      </w:pPr>
      <w:r>
        <w:t xml:space="preserve">Cotisations : 4 items</w:t>
      </w:r>
    </w:p>
    <w:p>
      <w:pPr>
        <w:pStyle w:val="ListParagraph"/>
        <w:numPr>
          <w:ilvl w:val="0"/>
          <w:numId w:val="2"/>
        </w:numPr>
        <w:spacing w:after="60"/>
      </w:pPr>
      <w:r>
        <w:t xml:space="preserve">Bugs UX : 5 items (dont #PN-2)</w:t>
      </w:r>
    </w:p>
    <w:p>
      <w:pPr>
        <w:pStyle w:val="ListParagraph"/>
        <w:numPr>
          <w:ilvl w:val="0"/>
          <w:numId w:val="2"/>
        </w:numPr>
        <w:spacing w:after="60"/>
      </w:pPr>
      <w:r>
        <w:t xml:space="preserve">Tests : 3 items</w:t>
      </w:r>
    </w:p>
    <w:p>
      <w:pPr>
        <w:pStyle w:val="ListParagraph"/>
        <w:numPr>
          <w:ilvl w:val="0"/>
          <w:numId w:val="2"/>
        </w:numPr>
        <w:spacing w:after="60"/>
      </w:pPr>
      <w:r>
        <w:t xml:space="preserve">Performance : 3 items</w:t>
      </w:r>
    </w:p>
    <w:p>
      <w:pPr>
        <w:pStyle w:val="ListParagraph"/>
        <w:numPr>
          <w:ilvl w:val="0"/>
          <w:numId w:val="2"/>
        </w:numPr>
        <w:spacing w:after="60"/>
      </w:pPr>
      <w:r>
        <w:t xml:space="preserve">Module tâches : 2 items</w:t>
      </w:r>
    </w:p>
    <w:p>
      <w:pPr>
        <w:pStyle w:val="ListParagraph"/>
        <w:numPr>
          <w:ilvl w:val="0"/>
          <w:numId w:val="2"/>
        </w:numPr>
        <w:spacing w:after="60"/>
      </w:pPr>
      <w:r>
        <w:t xml:space="preserve">Conception : 2 items</w:t>
      </w:r>
    </w:p>
    <w:p>
      <w:pPr>
        <w:pStyle w:val="ListParagraph"/>
        <w:numPr>
          <w:ilvl w:val="0"/>
          <w:numId w:val="2"/>
        </w:numPr>
        <w:spacing w:after="60"/>
      </w:pPr>
      <w:r>
        <w:t xml:space="preserve">Onboarding : 2 items</w:t>
      </w:r>
    </w:p>
    <w:p>
      <w:pPr>
        <w:pStyle w:val="ListParagraph"/>
        <w:numPr>
          <w:ilvl w:val="0"/>
          <w:numId w:val="2"/>
        </w:numPr>
        <w:spacing w:after="60"/>
      </w:pPr>
      <w:r>
        <w:t xml:space="preserve">Membership : 2 items</w:t>
      </w:r>
    </w:p>
    <w:p>
      <w:pPr>
        <w:pStyle w:val="ListParagraph"/>
        <w:numPr>
          <w:ilvl w:val="0"/>
          <w:numId w:val="2"/>
        </w:numPr>
        <w:spacing w:after="60"/>
      </w:pPr>
      <w:r>
        <w:t xml:space="preserve">Notifications : 2 items</w:t>
      </w:r>
    </w:p>
    <w:p>
      <w:pPr>
        <w:pStyle w:val="ListParagraph"/>
        <w:numPr>
          <w:ilvl w:val="0"/>
          <w:numId w:val="2"/>
        </w:numPr>
        <w:spacing w:after="60"/>
      </w:pPr>
      <w:r>
        <w:t xml:space="preserve">Infrastructure : 1 item</w:t>
      </w:r>
    </w:p>
    <w:p>
      <w:pPr>
        <w:pStyle w:val="ListParagraph"/>
        <w:numPr>
          <w:ilvl w:val="0"/>
          <w:numId w:val="2"/>
        </w:numPr>
        <w:spacing w:after="60"/>
      </w:pPr>
      <w:r>
        <w:t xml:space="preserve">Onboarding biblio : 1 item</w:t>
      </w:r>
    </w:p>
    <w:p>
      <w:pPr>
        <w:pStyle w:val="ListParagraph"/>
        <w:numPr>
          <w:ilvl w:val="0"/>
          <w:numId w:val="2"/>
        </w:numPr>
        <w:spacing w:after="60"/>
      </w:pPr>
      <w:r>
        <w:t xml:space="preserve">QA : 1 item</w:t>
      </w:r>
    </w:p>
    <w:p>
      <w:pPr>
        <w:pStyle w:val="ListParagraph"/>
        <w:numPr>
          <w:ilvl w:val="0"/>
          <w:numId w:val="2"/>
        </w:numPr>
        <w:spacing w:after="60"/>
      </w:pPr>
      <w:r>
        <w:t xml:space="preserve">Spec : 1 item</w:t>
      </w:r>
    </w:p>
    <w:p>
      <w:pPr>
        <w:pStyle w:val="ListParagraph"/>
        <w:numPr>
          <w:ilvl w:val="0"/>
          <w:numId w:val="2"/>
        </w:numPr>
        <w:spacing w:after="60"/>
      </w:pPr>
      <w:r>
        <w:t xml:space="preserve">Documentation : 1 item</w:t>
      </w:r>
    </w:p>
    <w:p>
      <w:pPr>
        <w:pStyle w:val="ListParagraph"/>
        <w:numPr>
          <w:ilvl w:val="0"/>
          <w:numId w:val="2"/>
        </w:numPr>
        <w:spacing w:after="60"/>
      </w:pPr>
      <w:r>
        <w:t xml:space="preserve">Maintenance : 1 item</w:t>
      </w:r>
    </w:p>
    <w:p>
      <w:r>
        <w:br w:type="page"/>
      </w:r>
    </w:p>
    <w:p>
      <w:pPr>
        <w:pStyle w:val="Heading1"/>
      </w:pPr>
      <w:r>
        <w:t xml:space="preserve">B. Convention de scoring et estimation</w:t>
      </w:r>
    </w:p>
    <w:p>
      <w:pPr>
        <w:spacing w:after="120"/>
      </w:pPr>
      <w:r>
        <w:rPr>
          <w:b w:val="false"/>
          <w:bCs w:val="false"/>
          <w:i w:val="false"/>
          <w:iCs w:val="false"/>
        </w:rPr>
        <w:t xml:space="preserve">Score = Importance politique (1-5) + Effort/Urgence inverse (1-3). Pour cohérence avec l’historique, on conserve la grille étendue (max 18 = critique).</w:t>
      </w:r>
    </w:p>
    <w:p>
      <w:pPr>
        <w:spacing w:after="120"/>
      </w:pPr>
      <w:r>
        <w:rPr>
          <w:b w:val="false"/>
          <w:bCs w:val="false"/>
          <w:i w:val="false"/>
          <w:iCs w:val="false"/>
        </w:rPr>
        <w:t xml:space="preserve">Estimation temps : raisonnable, en sessions de 2-4h (rythme nocturne effectif observé sur les sept dernières semaines). Une « session » = un bloc cohérent. Les estimations en jours-homme (j-h) correspondent aux chantiers Bologna #BG, étalables sur plusieurs sessions dédiées. Les méga-items #CL, #153, #PAINEL et l’item-chantier #BIBLIO portent une estimation globale ; le détail figure dans leurs fiches respectives.</w:t>
      </w:r>
    </w:p>
    <w:p>
      <w:pPr>
        <w:spacing w:after="80"/>
      </w:pPr>
      <w:r>
        <w:rPr>
          <w:b/>
          <w:bCs/>
        </w:rPr>
        <w:t xml:space="preserve">Statuts utilisés :</w:t>
      </w:r>
    </w:p>
    <w:p>
      <w:pPr>
        <w:pStyle w:val="ListParagraph"/>
        <w:numPr>
          <w:ilvl w:val="0"/>
          <w:numId w:val="2"/>
        </w:numPr>
        <w:spacing w:after="60"/>
      </w:pPr>
      <w:r>
        <w:t xml:space="preserve">🟢 PRÊT — prérequis clos, peut démarrer immédiatement</w:t>
      </w:r>
    </w:p>
    <w:p>
      <w:pPr>
        <w:pStyle w:val="ListParagraph"/>
        <w:numPr>
          <w:ilvl w:val="0"/>
          <w:numId w:val="2"/>
        </w:numPr>
        <w:spacing w:after="60"/>
      </w:pPr>
      <w:r>
        <w:t xml:space="preserve">🟠 OUVERT / EN COURS — non commencé ou en progression, prérequis OK</w:t>
      </w:r>
    </w:p>
    <w:p>
      <w:pPr>
        <w:pStyle w:val="ListParagraph"/>
        <w:numPr>
          <w:ilvl w:val="0"/>
          <w:numId w:val="2"/>
        </w:numPr>
        <w:spacing w:after="60"/>
      </w:pPr>
      <w:r>
        <w:t xml:space="preserve">🟡 PARTIEL / À PLANIFIER / À CADRER — état intermédiaire</w:t>
      </w:r>
    </w:p>
    <w:p>
      <w:pPr>
        <w:pStyle w:val="ListParagraph"/>
        <w:numPr>
          <w:ilvl w:val="0"/>
          <w:numId w:val="2"/>
        </w:numPr>
        <w:spacing w:after="60"/>
      </w:pPr>
      <w:r>
        <w:t xml:space="preserve">🆕 — nouvel item issu de session récente (RebAL, BTL, Karina, Dunkerque, Bologna)</w:t>
      </w:r>
    </w:p>
    <w:p>
      <w:pPr>
        <w:pStyle w:val="ListParagraph"/>
        <w:numPr>
          <w:ilvl w:val="0"/>
          <w:numId w:val="2"/>
        </w:numPr>
        <w:spacing w:after="60"/>
      </w:pPr>
      <w:r>
        <w:t xml:space="preserve">✅ — résolu, livré, acté ou absorbé (gardé pour mémoire)</w:t>
      </w:r>
    </w:p>
    <w:p>
      <w:r>
        <w:br w:type="page"/>
      </w:r>
    </w:p>
    <w:p>
      <w:pPr>
        <w:pStyle w:val="Heading1"/>
      </w:pPr>
      <w:r>
        <w:t xml:space="preserve">C. Tableau complet des items</w:t>
      </w:r>
    </w:p>
    <w:p>
      <w:pPr>
        <w:spacing w:after="120"/>
      </w:pPr>
      <w:r>
        <w:rPr>
          <w:b w:val="false"/>
          <w:bCs w:val="false"/>
          <w:i w:val="false"/>
          <w:iCs w:val="false"/>
          <w:sz w:val="18"/>
          <w:szCs w:val="18"/>
        </w:rPr>
        <w:t xml:space="preserve">Tri : score décroissant, puis identifiant. Couleur de fond selon la priorité. Les items-chantier #BIBLIO et #PAINEL et les méga-items #CL et #153 apparaissent comme lignes uniques ; leur détail figure en section D. Les deux lignes-chantier #ILL et #PARTNERS, sans score chiffré, ferment le tableau.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080"/>
        <w:gridCol w:w="4060"/>
        <w:gridCol w:w="560"/>
        <w:gridCol w:w="1700"/>
        <w:gridCol w:w="1340"/>
      </w:tblGrid>
      <w:tr>
        <w:trPr>
          <w:tblHeader/>
        </w:trPr>
        <w:tc>
          <w:tcPr>
            <w:tcW w:type="dxa" w:w="62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Thème</w:t>
            </w:r>
          </w:p>
        </w:tc>
        <w:tc>
          <w:tcPr>
            <w:tcW w:type="dxa" w:w="406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Titre</w:t>
            </w:r>
          </w:p>
        </w:tc>
        <w:tc>
          <w:tcPr>
            <w:tcW w:type="dxa" w:w="56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Score</w:t>
            </w:r>
          </w:p>
        </w:tc>
        <w:tc>
          <w:tcPr>
            <w:tcW w:type="dxa" w:w="17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Estimation</w:t>
            </w:r>
          </w:p>
        </w:tc>
        <w:tc>
          <w:tcPr>
            <w:tcW w:type="dxa" w:w="134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Statut</w:t>
            </w:r>
          </w:p>
        </w:tc>
      </w:tr>
      <w:tr>
        <w:tc>
          <w:tcPr>
            <w:tcW w:type="dxa" w:w="62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bCs/>
                <w:sz w:val="17"/>
                <w:szCs w:val="17"/>
              </w:rPr>
              <w:t xml:space="preserve">#K1</w:t>
            </w:r>
          </w:p>
        </w:tc>
        <w:tc>
          <w:tcPr>
            <w:tcW w:type="dxa" w:w="108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Onboarding</w:t>
            </w:r>
          </w:p>
        </w:tc>
        <w:tc>
          <w:tcPr>
            <w:tcW w:type="dxa" w:w="406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Spec criar-conta v0.3 — 3 cas distincts dans le select + bandeau vitrine</w:t>
            </w:r>
          </w:p>
        </w:tc>
        <w:tc>
          <w:tcPr>
            <w:tcW w:type="dxa" w:w="56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bCs/>
                <w:sz w:val="17"/>
                <w:szCs w:val="17"/>
              </w:rPr>
              <w:t xml:space="preserve">18</w:t>
            </w:r>
          </w:p>
        </w:tc>
        <w:tc>
          <w:tcPr>
            <w:tcW w:type="dxa" w:w="170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Livré — chantier criar-conta clos (P1-P8)</w:t>
            </w:r>
          </w:p>
        </w:tc>
        <w:tc>
          <w:tcPr>
            <w:tcW w:type="dxa" w:w="134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 RÉSOLU</w:t>
            </w:r>
          </w:p>
        </w:tc>
      </w:tr>
      <w:tr>
        <w:tc>
          <w:tcPr>
            <w:tcW w:type="dxa" w:w="62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bCs/>
                <w:sz w:val="17"/>
                <w:szCs w:val="17"/>
              </w:rPr>
              <w:t xml:space="preserve">#BIBLIO</w:t>
            </w:r>
          </w:p>
        </w:tc>
        <w:tc>
          <w:tcPr>
            <w:tcW w:type="dxa" w:w="108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Chantier-cadre</w:t>
            </w:r>
          </w:p>
        </w:tc>
        <w:tc>
          <w:tcPr>
            <w:tcW w:type="dxa" w:w="406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Audit de parité doctrinale page Biblioteca — étapes 1-10 (EA-00→EA-18)</w:t>
            </w:r>
          </w:p>
        </w:tc>
        <w:tc>
          <w:tcPr>
            <w:tcW w:type="dxa" w:w="56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bCs/>
                <w:sz w:val="17"/>
                <w:szCs w:val="17"/>
              </w:rPr>
              <w:t xml:space="preserve">18</w:t>
            </w:r>
          </w:p>
        </w:tc>
        <w:tc>
          <w:tcPr>
            <w:tcW w:type="dxa" w:w="170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Quasi-clos — seule l’étape 8 (mails) reste, bloquée jusqu’au 05/06 (#110)</w:t>
            </w:r>
          </w:p>
        </w:tc>
        <w:tc>
          <w:tcPr>
            <w:tcW w:type="dxa" w:w="134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 EN COURS (étape 8)</w:t>
            </w:r>
          </w:p>
        </w:tc>
      </w:tr>
      <w:tr>
        <w:tc>
          <w:tcPr>
            <w:tcW w:type="dxa" w:w="62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bCs/>
                <w:sz w:val="17"/>
                <w:szCs w:val="17"/>
              </w:rPr>
              <w:t xml:space="preserve">#PAINEL</w:t>
            </w:r>
          </w:p>
        </w:tc>
        <w:tc>
          <w:tcPr>
            <w:tcW w:type="dxa" w:w="108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Chantier-cadre</w:t>
            </w:r>
          </w:p>
        </w:tc>
        <w:tc>
          <w:tcPr>
            <w:tcW w:type="dxa" w:w="406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Audit de parité doctrinale page Painel — 14 écarts EA-01→EA-14 (méga-item)</w:t>
            </w:r>
          </w:p>
        </w:tc>
        <w:tc>
          <w:tcPr>
            <w:tcW w:type="dxa" w:w="56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bCs/>
                <w:sz w:val="17"/>
                <w:szCs w:val="17"/>
              </w:rPr>
              <w:t xml:space="preserve">18</w:t>
            </w:r>
          </w:p>
        </w:tc>
        <w:tc>
          <w:tcPr>
            <w:tcW w:type="dxa" w:w="170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Chantier-audit ouvert le 26/05 — chantier A clos (EA-05/09/13), 11 écarts restants</w:t>
            </w:r>
          </w:p>
        </w:tc>
        <w:tc>
          <w:tcPr>
            <w:tcW w:type="dxa" w:w="134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 EN COURS (chantier A clos)</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#33</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Cotisations</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Tester scénario blocage emprunts par cotisation expirée</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16</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30 min — déroulé QA en prod</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#CL</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Compte lecteur</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Chantier compte lecteur — conta.html poste d'observation (méga-item, 10 sous-items)</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16</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6-9 sessions au total (voir sous-items)</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DUNKERQUE</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#110</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Mail</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Migration Brevo → Resend</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R.5 en surveillance ; R.6 planifiée 05/06</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EN COURS (R.5)</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#36</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Cotisations</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Activation cotisations pour CIRA Marseille</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30 min après #33</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#61</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UX</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Date limite de retrait dans les réservations</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#MOBILE</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Catalogage</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Extension mobile / mode terrain — scanner ISBN, carte-lecteur, PWA mono-codebase (absorbe #H)</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Chantier structurel — dossier d'ouverture v0.1, 4 arbitrages en attente</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CADRÉ — 4 arbitrages à trancher</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#MM1</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Anti-méga-machine</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Enrichir banner G : « ... ou écrivez-nous pour qu'on en parle ensemble »</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30 min (1 modif simple + i18n × 8 locales)</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RIFLEXION 19/05</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#MM5</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Anti-méga-machine</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Bandeau anti-méga-machine sur SolicitarBibliotecaPage</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1h (composant + i18n × 8 locales)</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RIFLEXION 19/05</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#BG4</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Sécurité</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Durcissement RLS / advisors Supabase (4 ERROR + 144 WARN)</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13-22 j-h — chantier long</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EN COURS</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#MODEL-item-grain</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Conception</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Unifier la granularité du modèle sur l'exemplaire (item_id) — absorbe #J</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Chantier structurel — spec dédiée, plusieurs sessions</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CADRÉ — à implémenter</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#H</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Catalogage</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Scanner ISBN mobile pour catalogage rapide</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Absorbé — voir #MOBILE</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ABSORBÉ (#MOBILE)</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#I</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Catalogage</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Intégration archive.org (Wayback + IA Items)</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14</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1-2 sessions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BTL (réunion 18/05)</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#J</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Catalogage</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Granularité loanable par exemplaire (réserve / consultation)</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14</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2 sessions (1 backend + 1 frontend)</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BTL (réunion 18/05)</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#MM2</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Anti-méga-machine</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Footer global persistant : mail collectif + Matrix sur toutes pages staff</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14</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RIFLEXION 19/05</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#ACCOUNT-migration</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Compte lecteur</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Chantier validation physique + migration de compte (2 specs cadrées, paire ordonnée)</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14</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Chantier structurel — 2 phases, plusieurs sessions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CADRÉ — à implémenter</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#RESEAU-FED</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Réseau</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Chantier réseau fédératif — page fédération (cercles, assemblées, bulletin)</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13</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Chantier structurel — dossier d'ouverture v1, préalable à spécification</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CADRÉ — préalable à spec</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#111</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Onboarding biblio</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Wizard onboarding biblio complet — volets 1-10 (post-validation admin réseau)</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13</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Gros chantier — à cadrer (probablement 2-3 semaines)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PERSPECTIVE Q3 2026</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#BG2</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Infrastructure</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Stratégie de sauvegarde militante (dump chiffré, hors-site, test restauration)</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13</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6-7 j-h</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À CADRER</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#TASKS</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Module tâches</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Module des tâches de la bibliothèque — tâches, modèles récurrents, catalogue de suggestions</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13</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Livré — étapes 1-6 + 3-bis, 2 bugs Painel corrigés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RÉSOLU</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#E2E-infra</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Tests</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Mettre en place l’infrastructure de tests E2E (prérequis de #31/#32)</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13</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Chantier dédié — montage Playwright + intégration CI</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BACKLOG 24/05</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#144</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QA</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Dérouler QA manuelles réservations + emprunts</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12</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1-2h par doc (2 docs)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PRÊT</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#32</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Tests</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Test E2E parcours staff : circulation, no-show, libera</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12</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#58</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Catalogage</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Refonte page Catalogacao : tableau de contrôle</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12</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1-2 sessions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PARTIEL</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#60</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Catalogage</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Import CSV / OPF / JSON catalogues existants</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12</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2 sessions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PARTIEL</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#79</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Sécurité</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RBAC catalogage : 8 fonctions sans garde</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12</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#153</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Mail</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Méga-item — corrections des contenus de mails (5 chantiers #153.A-#153.E issus de l'audit)</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12</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5 chantiers — A, B, C, D bouclés ; E clos sur le code (2 détails)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CLOS sur le code (5/5 chantiers ; 2 détails de finition)</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#BG3</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Sécurité</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Journalisation militante : minimisation, troncation IP, rotation, JOURNALISATION.md</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12</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5-7 j-h</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À CADRER</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#138</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UX</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D2 workflow stage côté lecteur·rice</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11</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#139</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Spec</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Spec consultas v2.2 — intégrer doctrines internalisées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11</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3-4h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#MM3</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Anti-méga-machine</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Encadrés inline « parlons-en avant » sur pages Biblioteca sensibles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11</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2-3h (4 encadrés ciblés + i18n)</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RIFLEXION 19/05</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#DOC1</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Documentation</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Traduire le README en pt-BR (langue de référence du projet)</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11</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3-4h (≈ 40 sections de prose)</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BACKLOG 23/05</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#K3</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Onboarding</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Rattachement automatique lectrices orphelines (phase 2 Karina)</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10</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 session backend + 1 frontend</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PHASE 2</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#MM4</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Anti-méga-machine</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Page /conversemos : canal humain premier, guides seconds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10</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3-4h (page complète + routing + i18n × 8 locales)</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RIFLEXION 19/05</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#31</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Tests</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Test E2E parcours lecteur réservation → retrait</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#35</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Membership</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Composant StaffMembershipManager (renouvellements)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#4</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Sécurité</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Documenter SECURITY DEFINER via COMMENT ON FUNCTION</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2-3 sessions</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56% audité</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#64</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Réseau</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Page Rede : vue réseau fédératif des biblios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1-2 sessions</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PARTIEL</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#OPAC1</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OPAC</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Barre d'actions de notice : citer / mail / imprimer / exporter / permalien</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RebAL</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#OPAC3</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OPAC</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Liens autorités systématiques sur tous les contributeurs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RebAL</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#DOC2</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Aligner mail-strings.ts sur la charte inclusive</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Chantier i18n dédié (~82 chaînes, 8 locales)</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BACKLOG 24/05</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#CARTE</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Réseau</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Carte uMap des bibliothèques libertaires — recensement de 105 lieux (24 pays)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Livré — recensement et fichiers CSV/GeoJSON produits ; mise en ligne uMap à finaliser</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LIVRÉ — mise en ligne à finaliser</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#115</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Performance</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Code-split PanelPage.jsx (~2300 lignes après #143)</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#119</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Audit secrets : tokens Codeberg, Woodpecker, Windows Cred Mgr</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#149</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Pattern erreurs RPC silencieuses (audit + helper)</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#20</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Sécurité</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must_change_password : enforcement réel au login manquant</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#25</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Cotisations</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Notifications expiration cotisation (7j, 1j, jour J)</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À PLANIFIER</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#6</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Bugs UX</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(nulld, nullx) pour règles circulation non-renouvelables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#OPAC6</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OPAC</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Onglet 'Description' avec résumé/notes/sujets bien structuré</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0.5-1 session</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RebAL</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#152</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Catalogage</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Détection de proches-doublons (documents et autorités)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1-2 sessions</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#157</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Bugs UX</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Gestion de réservation côté conta : lecteur·rice ne peut gérer sa réservation</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à diagnostiquer</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#147</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i18n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LanguagePicker : retirer drapeaux d'États, noms en langue propre</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#16</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Performance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Bundle index ~1605 KB : 8 locales i18n chargées statiquement</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 session dédiée</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#DOC3</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Résorber les 5 chaînes hors-charte des locales frontend</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30 min (5 chaînes)</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BACKLOG 24/05</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#PN-1</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Unifier les deux helpers de traduction d'erreur (localizeError.js / apiErrors.js)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1h — fusion + ré-pointage des imports</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BACKLOG 27/05</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#13</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Performance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Code-split AccountPage.jsx (~1400 lignes)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#34</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Membership</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Composant ReaderMembershipBadge (statut lecteur)</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#51</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i18n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ReaderPage i18n (0 occurrence confirmée)</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#62</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UX</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Filtres avancés catalogue : année intervalle, ISBN, assunto</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PARTIEL</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#75</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UX</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Boutons navigation conditionnels selon rôle (audit complet)</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PARTIEL</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#OPAC2</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OPAC</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Affichage MARC consultable côté OPAC public</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RebAL</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#OPAC4</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OPAC</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Onglet 'Documents similaires' avec recommandations contextuelles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 sessions</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RebAL</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#151</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Conception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Compteur AUTORIDADES sur page Biblioteca : à repenser au niveau réseau</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#155</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Notifications</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Vérifier câblage de bout en bout de l'invitation participant·es (tâches internes)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#156</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UX</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library_contact_profiles : RLS d'écriture présente mais aucun éditeur frontend</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#TASKS-invitation-groupée</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Module tâches</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Invitation groupée : solliciter l’équipe au-delà du tâche-par-tâche</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 sessions — à cadrer</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#PN-2</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Bugs UX</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Page Painel : route /painel renvoie un 404 dans certains parcours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à diagnostiquer</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BACKLOG 27/05</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#OPAC5</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OPAC</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Tags lecteurs (folksonomie légère)</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5</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RebAL</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#49</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i18n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Phase 5 i18n : test CI orphelines + clés inutilisées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4</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#81</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Sécurité</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Audit défense-en-profondeur Cat 2 : ~30 fonctions calcul pur</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4</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SPRINT HYGIÈNE</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#148</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Supprimer/renommer AnarBib-functions/ obsolète</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5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#22</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Cotisations</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fn_submit_library_request_via_claim : COALESCE sur user_id</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15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#43</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Notifications</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Notifications devolução tardive</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À PLANIFIER</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Bugs UX</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Top books 90-day data chargé mais non rendu UI</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30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#70</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i18n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Manuel complet AnarBib : versions traduites (URL i18n)</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BLOQUÉ</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#8</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Bugs UX</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Hardcoded PT-BR strings dans Rapports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30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#154</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Robustesse notify-internal-task : task_id non-UUID provoque un 500 brut</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30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#BG5</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Sécurité</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OAuth GAFAM : constat de non-implémentation (choix politique acté)</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0 — déjà fait</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ACTÉ</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#158</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i18n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Libellé « Abandonner » → « Éliminer » (bouton suppression PEB), 8 locales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15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#146</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Désactiver GitHub Pages (miroir inutile)</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2</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5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REPORTÉ</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#17</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i18n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Nettoyage 566 clés i18n orphelines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2</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 session passe dédiée</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#26</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Maintenance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4 tables _backup_*_20260408 toujours en prod</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2</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10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#78</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Nettoyer hook stub link_book_contributors_to_authors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2</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30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#80</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Hook pre-commit : ignorer commentaires SQL + doctrine « tests de vérification »</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2</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15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#57</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Warnings linter (.linter.toml non présent)</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30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#71</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i18n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Vollstaendiges → Vollstandiges dans de.json</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5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#ILL</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PEB</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Chantier PEB — cycle du prêt interbibliothèques. 5 sous-travaux livrés, 1 ouvert (digital, cadré le 25/05)</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livré 22-25/05</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LIVRÉ — 1 sous-travail cadré, à spécifier (digital)</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#PARTNERS</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Réseau</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Partenaires de correspondance d’une bibliothèque — éditeur onglet documents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livré 24/05</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RÉSOLU</w:t>
            </w:r>
          </w:p>
        </w:tc>
      </w:tr>
    </w:tbl>
    <w:p>
      <w:r>
        <w:br w:type="page"/>
      </w:r>
    </w:p>
    <w:p>
      <w:pPr>
        <w:pStyle w:val="Heading1"/>
      </w:pPr>
      <w:r>
        <w:t xml:space="preserve">D. Détails des items</w:t>
      </w:r>
    </w:p>
    <w:p>
      <w:pPr>
        <w:spacing w:after="120"/>
      </w:pPr>
      <w:r>
        <w:rPr>
          <w:b w:val="false"/>
          <w:bCs w:val="false"/>
          <w:i w:val="false"/>
          <w:iCs w:val="false"/>
        </w:rPr>
        <w:t xml:space="preserve">Cette section reprend en fiches détaillées les items-chantier #BIBLIO et #PAINEL, les méga-items #CL et #153 et leurs sous-items, les items neufs du v18, et les items de score ≥ 8 ou à valeur documentaire. Les fiches inchangées depuis le v17 sont conservées ; les nouvelles fiches et les fiches mises à jour par les sessions des 26-27/05 sont signalées.</w:t>
      </w:r>
    </w:p>
    <w:p>
      <w:pPr>
        <w:spacing w:after="60" w:before="200"/>
      </w:pPr>
      <w:r>
        <w:rPr>
          <w:b/>
          <w:bCs/>
          <w:color w:val="1E40AF"/>
        </w:rPr>
        <w:t xml:space="preserve">#BIBLIO</w:t>
      </w:r>
      <w:r>
        <w:rPr>
          <w:b/>
          <w:bCs/>
        </w:rPr>
        <w:t xml:space="preserve"> — Audit de parité doctrinale page Biblioteca — étapes 1-10  </w:t>
      </w:r>
      <w:r>
        <w:rPr>
          <w:i/>
          <w:iCs/>
          <w:color w:val="6B7280"/>
        </w:rPr>
        <w:t xml:space="preserve">(score 18, CRITIQUE)</w:t>
      </w:r>
    </w:p>
    <w:p>
      <w:pPr>
        <w:spacing w:after="100"/>
      </w:pPr>
      <w:r>
        <w:rPr>
          <w:i/>
          <w:iCs/>
          <w:color w:val="555555"/>
          <w:sz w:val="18"/>
          <w:szCs w:val="18"/>
        </w:rPr>
        <w:t xml:space="preserve">Thème : Chantier-cadre   ·   Statut : 🟠 EN COURS (étape 8)   ·   Estimation : Quasi-clos — seule l’étape 8 (mails) reste, bloquée jusqu’au 05/06 (#110)</w:t>
      </w:r>
    </w:p>
    <w:p>
      <w:pPr>
        <w:spacing w:after="120"/>
      </w:pPr>
      <w:r>
        <w:rPr>
          <w:b w:val="false"/>
          <w:bCs w:val="false"/>
          <w:i w:val="false"/>
          <w:iCs w:val="false"/>
        </w:rPr>
        <w:t xml:space="preserve">Item-chantier majeur. Le chantier-cadre Biblioteca a été ouvert le 21/05/2026 ; il est piloté dans son document dédié docs/decisions/CHANTIER_audit_biblioteca_parite_doctrinale_2026-05-21.md. Audit de parité fonctionnelle, qualitative et doctrinale de la page Biblioteca : dix-neuf écarts identifiés et tous arbitrés (EA-00 à EA-18). EA-00 porte la doctrine RPC v3 nuancée — RPC obligatoire pour les actions DB risquées, supabase.from() autorisé pour les lectures simples protégées par RLS, supabase.storage.from() hors périmètre RPC.</w:t>
      </w:r>
    </w:p>
    <w:p>
      <w:pPr>
        <w:spacing w:after="120"/>
      </w:pPr>
      <w:r>
        <w:rPr>
          <w:b w:val="false"/>
          <w:bCs w:val="false"/>
          <w:i w:val="false"/>
          <w:iCs w:val="false"/>
        </w:rPr>
        <w:t xml:space="preserve">État au 25/05 : la vérification sur le code réel a établi que le chantier est quasi-clos — seule l’étape 8 (mails) reste ouverte, bloquée jusqu’au 05/06 par la dépendance à la migration Resend #110. Les étapes 6 et 9, un temps données ouvertes, étaient en réalité déjà faites.</w:t>
      </w:r>
    </w:p>
    <w:p>
      <w:pPr>
        <w:spacing w:after="120"/>
      </w:pPr>
      <w:r>
        <w:rPr>
          <w:b w:val="false"/>
          <w:bCs w:val="false"/>
          <w:i w:val="false"/>
          <w:iCs w:val="false"/>
        </w:rPr>
        <w:t xml:space="preserve">Stratégie post-Biblioteca actée le 21/05 : la méthode parité fonctionnelle + qualitative + audit doctrinal s’étend ensuite à d’autres pages. Le présent v18 acte la première de ces extensions : la page Painel, qui fait l’objet du nouveau méga-item #PAINEL. Suivront Importações puis Catalogação. La présentation Bologna FICEDL de septembre 2026 est une étape revendiquée, non une deadline : AnarBib comme commun en construction, la méthode parité+audit posée comme un acte de transparence libertaire.</w:t>
      </w:r>
    </w:p>
    <w:p>
      <w:pPr>
        <w:pStyle w:val="Heading3"/>
      </w:pPr>
      <w:r>
        <w:t xml:space="preserve">Les dix étapes du chantier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60"/>
        <w:gridCol w:w="2000"/>
      </w:tblGrid>
      <w:tr>
        <w:trPr>
          <w:tblHeader/>
        </w:trPr>
        <w:tc>
          <w:tcPr>
            <w:tcW w:type="dxa" w:w="9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Étape</w:t>
            </w:r>
          </w:p>
        </w:tc>
        <w:tc>
          <w:tcPr>
            <w:tcW w:type="dxa" w:w="32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Intitulé</w:t>
            </w:r>
          </w:p>
        </w:tc>
        <w:tc>
          <w:tcPr>
            <w:tcW w:type="dxa" w:w="326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Écarts couverts</w:t>
            </w:r>
          </w:p>
        </w:tc>
        <w:tc>
          <w:tcPr>
            <w:tcW w:type="dxa" w:w="20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État</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i18n de la page Biblioteca</w:t>
            </w:r>
          </w:p>
        </w:tc>
        <w:tc>
          <w:tcPr>
            <w:tcW w:type="dxa" w:w="32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EA-16</w:t>
            </w:r>
          </w:p>
        </w:tc>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 Livrée</w:t>
            </w:r>
          </w:p>
        </w:tc>
      </w:tr>
      <w:tr>
        <w:tc>
          <w:tcPr>
            <w:tcW w:type="dxa" w:w="9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2</w:t>
            </w:r>
          </w:p>
        </w:tc>
        <w:tc>
          <w:tcPr>
            <w:tcW w:type="dxa" w:w="3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PEB — RPC (prêt interbibliothèques)</w:t>
            </w:r>
          </w:p>
        </w:tc>
        <w:tc>
          <w:tcPr>
            <w:tcW w:type="dxa" w:w="32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EA-12</w:t>
            </w:r>
          </w:p>
        </w:tc>
        <w:tc>
          <w:tcPr>
            <w:tcW w:type="dxa" w:w="20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 Phase 1 livrée — 4 dettes phase 2</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Backend EA-15 + patch frontend</w:t>
            </w:r>
          </w:p>
        </w:tc>
        <w:tc>
          <w:tcPr>
            <w:tcW w:type="dxa" w:w="32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EA-15</w:t>
            </w:r>
          </w:p>
        </w:tc>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 Livrée (commits ebe9a0e, 2bd4c49)</w:t>
            </w:r>
          </w:p>
        </w:tc>
      </w:tr>
      <w:tr>
        <w:tc>
          <w:tcPr>
            <w:tcW w:type="dxa" w:w="9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4-7</w:t>
            </w:r>
          </w:p>
        </w:tc>
        <w:tc>
          <w:tcPr>
            <w:tcW w:type="dxa" w:w="3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Étapes intermédiaires d’audit</w:t>
            </w:r>
          </w:p>
        </w:tc>
        <w:tc>
          <w:tcPr>
            <w:tcW w:type="dxa" w:w="32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EA-01→EA-14, EA-17, EA-18</w:t>
            </w:r>
          </w:p>
        </w:tc>
        <w:tc>
          <w:tcPr>
            <w:tcW w:type="dxa" w:w="20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 À mener — séquence cadrée</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Mails de la page Biblioteca</w:t>
            </w:r>
          </w:p>
        </w:tc>
        <w:tc>
          <w:tcPr>
            <w:tcW w:type="dxa" w:w="32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liée à #153</w:t>
            </w:r>
          </w:p>
        </w:tc>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 À mener — bloquée 05/06 (#110)</w:t>
            </w:r>
          </w:p>
        </w:tc>
      </w:tr>
      <w:tr>
        <w:tc>
          <w:tcPr>
            <w:tcW w:type="dxa" w:w="9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9</w:t>
            </w:r>
          </w:p>
        </w:tc>
        <w:tc>
          <w:tcPr>
            <w:tcW w:type="dxa" w:w="3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Test du PEB avec exemplaires</w:t>
            </w:r>
          </w:p>
        </w:tc>
        <w:tc>
          <w:tcPr>
            <w:tcW w:type="dxa" w:w="32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EA-12 (vérification)</w:t>
            </w:r>
          </w:p>
        </w:tc>
        <w:tc>
          <w:tcPr>
            <w:tcW w:type="dxa" w:w="20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 Testée 22/05</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Câblage frontend des échanges</w:t>
            </w:r>
          </w:p>
        </w:tc>
        <w:tc>
          <w:tcPr>
            <w:tcW w:type="dxa" w:w="32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EA-11, EA-20</w:t>
            </w:r>
          </w:p>
        </w:tc>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 Cartographiée — 54 fonctions, 4 paquets</w:t>
            </w:r>
          </w:p>
        </w:tc>
      </w:tr>
    </w:tbl>
    <w:p>
      <w:pPr>
        <w:spacing w:after="120"/>
      </w:pPr>
      <w:r>
        <w:rPr>
          <w:b w:val="false"/>
          <w:bCs w:val="false"/>
          <w:i w:val="false"/>
          <w:iCs w:val="false"/>
        </w:rPr>
        <w:t xml:space="preserve">Articulations : l’étape 10 conditionne notify-document-permission-request, muette tant que library_contact_profiles est vide — même sujet que #156 (EA-20). L’étape 8 (mails) est à coordonner avec le chantier #153. L’étape 7 recoupe #151 (compteur AUTORIDADES). Point d’infrastructure : « could not load config from forge: context deadline exceeded » est une panne de l’infra Codeberg, jamais un problème de code — vérifier status.codeberg.org avant tout autre diagnostic.</w:t>
      </w:r>
    </w:p>
    <w:p>
      <w:r>
        <w:br w:type="page"/>
      </w:r>
    </w:p>
    <w:p>
      <w:pPr>
        <w:spacing w:after="60" w:before="200"/>
      </w:pPr>
      <w:r>
        <w:rPr>
          <w:b/>
          <w:bCs/>
          <w:color w:val="1E40AF"/>
        </w:rPr>
        <w:t xml:space="preserve">#PAINEL</w:t>
      </w:r>
      <w:r>
        <w:rPr>
          <w:b/>
          <w:bCs/>
        </w:rPr>
        <w:t xml:space="preserve"> — Audit de parité doctrinale page Painel — 14 écarts (méga-item)  </w:t>
      </w:r>
      <w:r>
        <w:rPr>
          <w:i/>
          <w:iCs/>
          <w:color w:val="B45309"/>
        </w:rPr>
        <w:t xml:space="preserve">(score 18, CRITIQUE — NOUVEAU v18)</w:t>
      </w:r>
    </w:p>
    <w:p>
      <w:pPr>
        <w:spacing w:after="100"/>
      </w:pPr>
      <w:r>
        <w:rPr>
          <w:i/>
          <w:iCs/>
          <w:color w:val="555555"/>
          <w:sz w:val="18"/>
          <w:szCs w:val="18"/>
        </w:rPr>
        <w:t xml:space="preserve">Thème : Chantier-cadre   ·   Statut : 🟠 EN COURS (chantier A clos)   ·   Estimation : Chantier-audit ouvert le 26/05 — chantier A clos, 11 écarts restants</w:t>
      </w:r>
    </w:p>
    <w:p>
      <w:pPr>
        <w:spacing w:after="120"/>
      </w:pPr>
      <w:r>
        <w:rPr>
          <w:b w:val="false"/>
          <w:bCs w:val="false"/>
          <w:i w:val="false"/>
          <w:iCs w:val="false"/>
        </w:rPr>
        <w:t xml:space="preserve">Méga-item neuf, ouvert les 26-27/05/2026. Une fois le chantier-cadre #BIBLIO quasi-clos, la méthode d’audit de parité — fonctionnelle, qualitative et doctrinale — a été appliquée à la page Painel, la console de travail quotidien du staff de bibliothèque. L’audit systématique a recensé quatorze écarts, numérotés EA-01 à EA-14. Sur le modèle de #BIBLIO, #PAINEL est inscrit comme item-chantier en priorité critique et décliné en chantiers d’exécution regroupant les écarts par cohérence.</w:t>
      </w:r>
    </w:p>
    <w:p>
      <w:pPr>
        <w:spacing w:after="120"/>
      </w:pPr>
      <w:r>
        <w:rPr>
          <w:b w:val="false"/>
          <w:bCs w:val="false"/>
          <w:i w:val="false"/>
          <w:iCs w:val="false"/>
        </w:rPr>
        <w:t xml:space="preserve">Un document de cadrage dédié — PAINEL_etat_des_lieux_et_cadrage_EA-13_2026-05-26 — a été produit en cours d’audit ; il consigne l’état des lieux et le détail de l’écart EA-13. Le découpage fin des écarts en chantiers est arrêté à mesure de l’avancement, et non d’un bloc à l’ouverture.</w:t>
      </w:r>
    </w:p>
    <w:p>
      <w:pPr>
        <w:pStyle w:val="Heading3"/>
      </w:pPr>
      <w:r>
        <w:t xml:space="preserve">Chantier A — clos (EA-05, EA-09, EA-13)</w:t>
      </w:r>
    </w:p>
    <w:p>
      <w:pPr>
        <w:spacing w:after="120"/>
      </w:pPr>
      <w:r>
        <w:rPr>
          <w:b w:val="false"/>
          <w:bCs w:val="false"/>
          <w:i w:val="false"/>
          <w:iCs w:val="false"/>
        </w:rPr>
        <w:t xml:space="preserve">Le premier chantier d’exécution est bouclé et déployé en production. Il regroupait trois écarts. EA-05 a été livré en production en cinq paquets successifs. EA-09 portait sur la généralisation d’un retour visuel (toast) après les actions du Painel. EA-13 portait sur le recensement et l’harmonisation du vocabulaire de l’interface : cinq pages passées en revue, trois infobulles corrigées. Un composant réutilisable, ScrollButtons, a été livré et validé en production dans le cadre de ce chantier.</w:t>
      </w:r>
    </w:p>
    <w:p>
      <w:pPr>
        <w:pStyle w:val="Heading3"/>
      </w:pPr>
      <w:r>
        <w:t xml:space="preserve">Écarts restants — 11 sur 14</w:t>
      </w:r>
    </w:p>
    <w:p>
      <w:pPr>
        <w:spacing w:after="120"/>
      </w:pPr>
      <w:r>
        <w:rPr>
          <w:b w:val="false"/>
          <w:bCs w:val="false"/>
          <w:i w:val="false"/>
          <w:iCs w:val="false"/>
        </w:rPr>
        <w:t xml:space="preserve">Onze écarts restent à traiter, répartis dans les chantiers B à F encore à arrêter. Le détail fonctionnel de ces onze écarts n’est pas reproduit ici : il est porté par le document de cadrage dédié, et le présent backlog ne le recopie pas tant que le découpage en chantiers n’est pas figé — par honnêteté, le tableau du méga-item ne sera complété qu’à mesure que chaque chantier est cadré.</w:t>
      </w:r>
    </w:p>
    <w:p>
      <w:pPr>
        <w:pStyle w:val="Heading3"/>
      </w:pPr>
      <w:r>
        <w:t xml:space="preserve">Constats annexes — #PN-1 et #PN-2</w:t>
      </w:r>
    </w:p>
    <w:p>
      <w:pPr>
        <w:spacing w:after="120"/>
      </w:pPr>
      <w:r>
        <w:rPr>
          <w:b w:val="false"/>
          <w:bCs w:val="false"/>
          <w:i w:val="false"/>
          <w:iCs w:val="false"/>
        </w:rPr>
        <w:t xml:space="preserve">L’audit a fait remonter deux constats qui débordent le périmètre strict des quatorze écarts et sont inscrits comme items distincts au tableau. #PN-1 : la traduction des messages d’erreur passe par deux helpers parallèles, localizeError.js côté espace lecteur et apiErrors.js côté Painel — un doublon à unifier. #PN-2 : la route /painel renvoie un 404 dans certains parcours — bug à diagnostiquer.</w:t>
      </w:r>
    </w:p>
    <w:p>
      <w:pPr>
        <w:pStyle w:val="Heading3"/>
      </w:pPr>
      <w:r>
        <w:t xml:space="preserve">Bugs de données révélés par le chantier</w:t>
      </w:r>
    </w:p>
    <w:p>
      <w:pPr>
        <w:spacing w:after="120"/>
      </w:pPr>
      <w:r>
        <w:rPr>
          <w:b w:val="false"/>
          <w:bCs w:val="false"/>
          <w:i w:val="false"/>
          <w:iCs w:val="false"/>
        </w:rPr>
        <w:t xml:space="preserve">L’audit a agi en révélateur de deux incohérences de données préexistantes, corrigées et déployées en cours de chantier. Bug de réservation terminale classée active : la réservation 29.1 de la BLMF (« O Anarquismo no Banco dos Réus ») apparaissait dans la file active du Painel alors qu’elle était en état terminal. Cause : le trigger trg_auto_liberate_after_no_show_change ne propageait l’état terminal qu’à la table reserva_item_workflow_v2, jamais à reserva_linhas_v2.item_status — sur laquelle filtre la file active. Corrigé par la migration 20260526010000_migration_fix_liberate_no_show (propagation ajoutée, gardée par item_status = 'ativa' ; rattrapage de la ligne 19 ; bloc DO de vérification). Le filtre de la file des consultations a été corrigé dans la même session. Documentation : BUG_resa_terminale_classee_active_2026-05-26.md.</w:t>
      </w:r>
    </w:p>
    <w:p>
      <w:pPr>
        <w:spacing w:after="120"/>
      </w:pPr>
      <w:r>
        <w:rPr>
          <w:b w:val="false"/>
          <w:bCs w:val="false"/>
          <w:i/>
          <w:iCs/>
          <w:sz w:val="18"/>
          <w:szCs w:val="18"/>
        </w:rPr>
        <w:t xml:space="preserve">Vérification restante : un cycle complet d’annulation par la bibliothèque doit être déroulé à froid pour confirmer que le garde-fou item_status = 'ativa' exclut bien les lignes déjà cancelada_biblioteca — le raisonnement repose sur la lecture du code, pas encore sur un test en condition réelle.</w:t>
      </w:r>
    </w:p>
    <w:p>
      <w:r>
        <w:br w:type="page"/>
      </w:r>
    </w:p>
    <w:p>
      <w:pPr>
        <w:spacing w:after="60" w:before="200"/>
      </w:pPr>
      <w:r>
        <w:rPr>
          <w:b/>
          <w:bCs/>
          <w:color w:val="1E40AF"/>
        </w:rPr>
        <w:t xml:space="preserve">#CL</w:t>
      </w:r>
      <w:r>
        <w:rPr>
          <w:b/>
          <w:bCs/>
        </w:rPr>
        <w:t xml:space="preserve"> — Chantier compte lecteur — conta.html poste d’observation  </w:t>
      </w:r>
      <w:r>
        <w:rPr>
          <w:i/>
          <w:iCs/>
          <w:color w:val="6B7280"/>
        </w:rPr>
        <w:t xml:space="preserve">(score 16, HAUTE)</w:t>
      </w:r>
    </w:p>
    <w:p>
      <w:pPr>
        <w:spacing w:after="100"/>
      </w:pPr>
      <w:r>
        <w:rPr>
          <w:i/>
          <w:iCs/>
          <w:color w:val="555555"/>
          <w:sz w:val="18"/>
          <w:szCs w:val="18"/>
        </w:rPr>
        <w:t xml:space="preserve">Thème : Compte lecteur   ·   Statut : 🆕 DUNKERQUE   ·   Estimation : 6-9 sessions, réparties sur les 10 sous-items</w:t>
      </w:r>
    </w:p>
    <w:p>
      <w:pPr>
        <w:spacing w:after="120"/>
      </w:pPr>
      <w:r>
        <w:rPr>
          <w:b w:val="false"/>
          <w:bCs w:val="false"/>
          <w:i w:val="false"/>
          <w:iCs w:val="false"/>
        </w:rPr>
        <w:t xml:space="preserve">Méga-item issu du Cahier de chantier réutilisable rédigé avec la Bibliothèque de Dunkerque. Principe directeur : faire de conta.html un poste d’observation personnel sur le catalogue vivant, et non une simple page administrative. Dix sous-items #CL.1 à #CL.10, répartis en trois sprints. Inchangé depuis le v17.</w:t>
      </w:r>
    </w:p>
    <w:p>
      <w:pPr>
        <w:pStyle w:val="Heading3"/>
      </w:pPr>
      <w:r>
        <w:t xml:space="preserve">Les dix sous-items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rPr>
          <w:tblHeader/>
        </w:trPr>
        <w:tc>
          <w:tcPr>
            <w:tcW w:type="dxa" w:w="12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Sous-item</w:t>
            </w:r>
          </w:p>
        </w:tc>
        <w:tc>
          <w:tcPr>
            <w:tcW w:type="dxa" w:w="516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Titre</w:t>
            </w:r>
          </w:p>
        </w:tc>
        <w:tc>
          <w:tcPr>
            <w:tcW w:type="dxa" w:w="15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Priorité</w:t>
            </w:r>
          </w:p>
        </w:tc>
        <w:tc>
          <w:tcPr>
            <w:tcW w:type="dxa" w:w="15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Estimation</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#CL.1</w:t>
            </w:r>
          </w:p>
        </w:tc>
        <w:tc>
          <w:tcPr>
            <w:tcW w:type="dxa" w:w="5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Historique cliquable → fiche livre → dispo locale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Très haute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1-2 sessions</w:t>
            </w:r>
          </w:p>
        </w:tc>
      </w:tr>
      <w:tr>
        <w:tc>
          <w:tcPr>
            <w:tcW w:type="dxa" w:w="1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#CL.2</w:t>
            </w:r>
          </w:p>
        </w:tc>
        <w:tc>
          <w:tcPr>
            <w:tcW w:type="dxa" w:w="51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Réservations lecteur suivies de bout en bout</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Très haute</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1-2 sessions</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#CL.3</w:t>
            </w:r>
          </w:p>
        </w:tc>
        <w:tc>
          <w:tcPr>
            <w:tcW w:type="dxa" w:w="5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 Bandeau état du compte / blocages (clos 24/05)</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Très haute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1 session</w:t>
            </w:r>
          </w:p>
        </w:tc>
      </w:tr>
      <w:tr>
        <w:tc>
          <w:tcPr>
            <w:tcW w:type="dxa" w:w="1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#CL.4</w:t>
            </w:r>
          </w:p>
        </w:tc>
        <w:tc>
          <w:tcPr>
            <w:tcW w:type="dxa" w:w="51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Prêts en cours avec renouvellement clair</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Haute</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1 session</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#CL.5</w:t>
            </w:r>
          </w:p>
        </w:tc>
        <w:tc>
          <w:tcPr>
            <w:tcW w:type="dxa" w:w="5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Navigation continue conta → livro → autor → index</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Haute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1 session</w:t>
            </w:r>
          </w:p>
        </w:tc>
      </w:tr>
      <w:tr>
        <w:tc>
          <w:tcPr>
            <w:tcW w:type="dxa" w:w="1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#CL.6</w:t>
            </w:r>
          </w:p>
        </w:tc>
        <w:tc>
          <w:tcPr>
            <w:tcW w:type="dxa" w:w="51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Centre d’avis / notifications dans conta.html</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Moyenne</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1-2 sessions</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#CL.7</w:t>
            </w:r>
          </w:p>
        </w:tc>
        <w:tc>
          <w:tcPr>
            <w:tcW w:type="dxa" w:w="5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Mes données / sécurité / rattachement</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Moyenne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1 session</w:t>
            </w:r>
          </w:p>
        </w:tc>
      </w:tr>
      <w:tr>
        <w:tc>
          <w:tcPr>
            <w:tcW w:type="dxa" w:w="1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#CL.8</w:t>
            </w:r>
          </w:p>
        </w:tc>
        <w:tc>
          <w:tcPr>
            <w:tcW w:type="dxa" w:w="51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Maîtrise de l’historique par le lecteur</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Moyenne</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1 session</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#CL.9</w:t>
            </w:r>
          </w:p>
        </w:tc>
        <w:tc>
          <w:tcPr>
            <w:tcW w:type="dxa" w:w="5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Liste d’envies / guardar para depois</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Basse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1 session</w:t>
            </w:r>
          </w:p>
        </w:tc>
      </w:tr>
      <w:tr>
        <w:tc>
          <w:tcPr>
            <w:tcW w:type="dxa" w:w="1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#CL.10</w:t>
            </w:r>
          </w:p>
        </w:tc>
        <w:tc>
          <w:tcPr>
            <w:tcW w:type="dxa" w:w="51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Infos pratiques de retrait intégrées au parcours</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Basse</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0.5 session</w:t>
            </w:r>
          </w:p>
        </w:tc>
      </w:tr>
    </w:tbl>
    <w:p>
      <w:pPr>
        <w:spacing w:after="120"/>
      </w:pPr>
      <w:r>
        <w:rPr>
          <w:b w:val="false"/>
          <w:bCs w:val="false"/>
          <w:i w:val="false"/>
          <w:iCs w:val="false"/>
        </w:rPr>
        <w:t xml:space="preserve">#CL.3 est clos depuis le 24/05 : la RPC public.fn_my_account_status() joue le rôle de l’objet-résumé unique côté backend, et le bandeau de AccountPage.jsx câble les statuts active / restricted / attention / incomplete. Le détail des dix sous-items figure inchangé dans le v17 (section D).</w:t>
      </w:r>
    </w:p>
    <w:p>
      <w:r>
        <w:br w:type="page"/>
      </w:r>
    </w:p>
    <w:p>
      <w:pPr>
        <w:spacing w:after="60" w:before="200"/>
      </w:pPr>
      <w:r>
        <w:rPr>
          <w:b/>
          <w:bCs/>
          <w:color w:val="1E40AF"/>
        </w:rPr>
        <w:t xml:space="preserve">#153</w:t>
      </w:r>
      <w:r>
        <w:rPr>
          <w:b/>
          <w:bCs/>
        </w:rPr>
        <w:t xml:space="preserve"> — Méga-item — corrections des contenus de mails (5 chantiers)  </w:t>
      </w:r>
      <w:r>
        <w:rPr>
          <w:i/>
          <w:iCs/>
          <w:color w:val="B45309"/>
        </w:rPr>
        <w:t xml:space="preserve">(score 12 — FICHE MISE À JOUR v18)</w:t>
      </w:r>
    </w:p>
    <w:p>
      <w:pPr>
        <w:spacing w:after="100"/>
      </w:pPr>
      <w:r>
        <w:rPr>
          <w:i/>
          <w:iCs/>
          <w:color w:val="555555"/>
          <w:sz w:val="18"/>
          <w:szCs w:val="18"/>
        </w:rPr>
        <w:t xml:space="preserve">Thème : Mail   ·   Statut : 🟡 EN COURS (chantiers A et D bouclés ; E partiel ; B et C ouverts)   ·   Estimation : 5 chantiers #153.A-#153.E</w:t>
      </w:r>
    </w:p>
    <w:p>
      <w:pPr>
        <w:spacing w:after="120"/>
      </w:pPr>
      <w:r>
        <w:rPr>
          <w:b w:val="false"/>
          <w:bCs w:val="false"/>
          <w:i w:val="false"/>
          <w:iCs w:val="false"/>
        </w:rPr>
        <w:t xml:space="preserve">Audit transverse des contenus de mails automatisés, livré au v16 et décliné en cinq chantiers de correction par le dossier-cadre CHANTIER_corrections_mails_post_audit_153_2026-05-24. Le méga-item conserve le score 12 ; les cinq sous-items portent un rang de priorité reflétant la séquence du dossier-cadre. La présente fiche met à jour l’état d’avancement après les sessions des 26-27/05.</w:t>
      </w:r>
    </w:p>
    <w:p>
      <w:pPr>
        <w:pStyle w:val="Heading3"/>
      </w:pPr>
      <w:r>
        <w:t xml:space="preserve">#153.A — Doublons et mauvais routage de notification lecteur·rice  (priorité 1) — ✅ bouclé</w:t>
      </w:r>
    </w:p>
    <w:p>
      <w:pPr>
        <w:spacing w:after="120"/>
      </w:pPr>
      <w:r>
        <w:rPr>
          <w:b w:val="false"/>
          <w:bCs w:val="false"/>
          <w:i w:val="false"/>
          <w:iCs w:val="false"/>
        </w:rPr>
        <w:t xml:space="preserve">Constats TR-1, TR-2, TR-8. Bouclé le 25/05 : trigger trg_notify_emprestimo_criado retiré, doublon de la conversion réservation→emprunt résorbé, doublon de l’annulation biblio coupé, code mort de emprestimo_prorrogado nettoyé. Trois sous-tâches déployées et confirmées en production.</w:t>
      </w:r>
    </w:p>
    <w:p>
      <w:pPr>
        <w:pStyle w:val="Heading3"/>
      </w:pPr>
      <w:r>
        <w:t xml:space="preserve">#153.B — Internationalisation des mails internes  (priorité 2) — ✅ bouclé</w:t>
      </w:r>
    </w:p>
    <w:p>
      <w:pPr>
        <w:spacing w:after="120"/>
      </w:pPr>
      <w:r>
        <w:rPr>
          <w:b w:val="false"/>
          <w:bCs w:val="false"/>
          <w:i w:val="false"/>
          <w:iCs w:val="false"/>
        </w:rPr>
        <w:t xml:space="preserve">Constats TR-4, TM-B, TM-C, plus TM-A et TM-D rattachés. La dette la plus volumineuse de l’audit : 54 chaînes en dur dans team.ts, plus les rendus internes de l’Edge Function register. Bouclé en réalité le 18/05/2026 dans le cadre du chantier i18n du layout mail, antérieur à l’ouverture formelle du dossier-cadre #153 (24/05). Le travail concret a consisté en l’ajout de signature_short_i18n (jsonb additive, fallback signature_short text), l’adaptation de layout.ts et library-mail-routing.ts pour accepter une locale, et 58 patches sur 8 handlers — recouvrant les 54 chaînes annoncées plus quelques ajustements. La traçabilité documentaire n’avait pas répercuté cette clôture : le backlog v17 et le backlog v18 dans sa première version mentionnaient encore #153.B comme « non commencé », erreur rattrapée dans cette version corrective du v18. Vérification a posteriori : les Edge Functions team.ts et register ne contiennent plus aucune chaîne utilisateur en dur (les seules occurrences résiduelles sont des noms de polices CSS, des étiquettes de logs et des commentaires). L’amendement de spec TM-A reste préparé pour intégration dans les évolutions futures de spec-gouvernance-roles.md.</w:t>
      </w:r>
    </w:p>
    <w:p>
      <w:pPr>
        <w:pStyle w:val="Heading3"/>
      </w:pPr>
      <w:r>
        <w:t xml:space="preserve">#153.C — Logos de bibliothèques résolus depuis le contexte  (priorité 3) — ✅ bouclé</w:t>
      </w:r>
    </w:p>
    <w:p>
      <w:pPr>
        <w:spacing w:after="120"/>
      </w:pPr>
      <w:r>
        <w:rPr>
          <w:b w:val="false"/>
          <w:bCs w:val="false"/>
          <w:i w:val="false"/>
          <w:iCs w:val="false"/>
        </w:rPr>
        <w:t xml:space="preserve">Constat TR-6.2b. Bouclé le 27/05. Aujourd’hui les logos de deux bibliothèques étaient codés en dur dans le code source : une nouvelle bibliothèque n’aurait pas eu son logo dans ses mails sans édition du code. La correction tient en deux gestes. Côté base, une migration ajoute la colonne libraries.logo_url, alimentée par bibliothèque depuis son contexte. Côté Edge Function, register lit désormais ce logo_url depuis la base au lieu de la table en dur, et le restitue dans le rendu des mails. Le logo réseau AnarBib reste légitimement codé en dur (URL Supabase Storage du paquet 25.10). Test en production confirmé sur BLMF : le mail affiche le logo résolu depuis la base.</w:t>
      </w:r>
    </w:p>
    <w:p>
      <w:pPr>
        <w:pStyle w:val="Heading3"/>
      </w:pPr>
      <w:r>
        <w:t xml:space="preserve">#153.D — Wording des mails de statut de réservation  (priorité 4) — ✅ bouclé</w:t>
      </w:r>
    </w:p>
    <w:p>
      <w:pPr>
        <w:spacing w:after="120"/>
      </w:pPr>
      <w:r>
        <w:rPr>
          <w:b w:val="false"/>
          <w:bCs w:val="false"/>
          <w:i w:val="false"/>
          <w:iCs w:val="false"/>
        </w:rPr>
        <w:t xml:space="preserve">Constat TR-3. Bouclé lors des sessions des 26-27/05. Les mails de changement de statut de réservation utilisaient une clé unique servant à la fois de sujet, de titre et d’intro, identique pour le lecteur·rice et le staff. La correction dote chaque clé d’une version « message » informative et sépare le contenu lecteur·rice du contenu staff : douze clés refondues, écriture i18n nouvelle sur les huit locales en langage inclusif. Ce chantier intégrait aussi, depuis la révision D-1, l’enrichissement du mail res.converted avec la date d’échéance de l’emprunt — traité dans la même passe. Le chantier #153.D comprenait deux volets : D-1 (corrections de données — motif d’annulation porté par final_reason='cancelled_by_library', date d’échéance de res.converted) et D-2 (refonte du wording, les douze clés × huit locales).</w:t>
      </w:r>
    </w:p>
    <w:p>
      <w:pPr>
        <w:pStyle w:val="Heading3"/>
      </w:pPr>
      <w:r>
        <w:t xml:space="preserve">#153.E — Lot de cohérence transverse  (priorité 5) — ✅ clos sur le code (2 détails)</w:t>
      </w:r>
    </w:p>
    <w:p>
      <w:pPr>
        <w:spacing w:after="120"/>
      </w:pPr>
      <w:r>
        <w:rPr>
          <w:b w:val="false"/>
          <w:bCs w:val="false"/>
          <w:i w:val="false"/>
          <w:iCs w:val="false"/>
        </w:rPr>
        <w:t xml:space="preserve">Constats TR-5, TR-6.1, TR-6.3, NW-A, NW-B, NW-C, LP-C. Lot de finition, intégralement clos sur son volet code le 27/05. Sept constats sont traités. NW-B : la clé i18n cassée l.executed_at qui faisait afficher du texte technique dans les mails de retrait collectif exécuté, corrigée sur les huit langues — c’était le seul constat du lot avec un défaut visible en production. TR-5 : uniformisation des préfixes de sujet, du type [BRAND_NAME], dans notify-library-request. TR-6.1 et TR-6.3 : examen et correction de toutes les Edge Functions concernées (notify-network-weekly-report, notify-document-permission-request, notify-mid-loan-reading, notify-weekly-report — les trois autres examinées, register, notify-internal-task et notify-event, jugées conformes ou hors périmètre). NW-A et NW-C : commentaires de doctrine corrigés dans network.ts — l’un sur la mutualisation assumée des clés de vote du réseau, l’autre sur l’invariant de timing du compteur de votes. LP-C : cycle de vie de team_notification_outbox traité en deux temps — une migration ajoutant le statut ‘skipped’ au CHECK, puis l’ajout dans handleTeamEvent et handleNetworkEvent d’un helper markOutboxSkipped distinguant fan-out vide (recipients_count zéro) et event non reconnu d’un envoi réussi. La table d’audit cesse ainsi de prétendre qu’un mail est parti là où aucun ne l’est. À noter sur LP-C : la fiche d’audit en décrivait à l’origine un comportement erroné — la lecture du code réel a été nécessaire pour requalifier le défaut et coder la correction juste. Deux détails restent à régler, identifiés en cours de chantier mais hors périmètre direct de TR-/NW-/LP- : la dette ‘reserva_v2_recusada’ / ‘res.refused’ (code mort identifié en #153.D — l’événement n’est plus émis, les clés et la branche de dispatch sont à retirer) et la dé-duplication de la copie autonome de _shared/ dans notify-internal-task (alignée aujourd’hui sur le central, mais divergence future garantie sans surveillance). Ces deux détails seront traités à part, soit dans une session de finition propre, soit rattachés à #154 pour la dé-duplication.</w:t>
      </w:r>
    </w:p>
    <w:p>
      <w:pPr>
        <w:pStyle w:val="Heading3"/>
      </w:pPr>
      <w:r>
        <w:t xml:space="preserve">Constat technique neuf — dé-duplication de notify-internal-task</w:t>
      </w:r>
    </w:p>
    <w:p>
      <w:pPr>
        <w:spacing w:after="120"/>
      </w:pPr>
      <w:r>
        <w:rPr>
          <w:b w:val="false"/>
          <w:bCs w:val="false"/>
          <w:i w:val="false"/>
          <w:iCs w:val="false"/>
        </w:rPr>
        <w:t xml:space="preserve">Le constat de dé-duplication de notify-internal-task, signalé en v18 comme apparu en traitant le chantier #153.E, est confirmé à l’examen du 27/05 : l’Edge Function notify-internal-task embarque bien une copie autonome de la logique partagée. Cette copie est aujourd’hui alignée sur la version de référence du répertoire _shared/, mais la divergence future est garantie sans surveillance. La résorption de cette copie au profit du module partagé devient un des deux détails à régler pour clore #153, à rattacher soit à #154 (robustesse de la même Edge Function), soit à une session de finition propre. Signalé ici pour traçabilité.</w:t>
      </w:r>
    </w:p>
    <w:p>
      <w:pPr>
        <w:pStyle w:val="Heading3"/>
      </w:pPr>
      <w:r>
        <w:t xml:space="preserve">Coordination</w:t>
      </w:r>
    </w:p>
    <w:p>
      <w:pPr>
        <w:spacing w:after="120"/>
      </w:pPr>
      <w:r>
        <w:rPr>
          <w:b w:val="false"/>
          <w:bCs w:val="false"/>
          <w:i/>
          <w:iCs/>
          <w:sz w:val="18"/>
          <w:szCs w:val="18"/>
        </w:rPr>
        <w:t xml:space="preserve">Les chantiers #153.B et #153.E touchaient des Edge Functions de mail également visées par l’étape 8 du chantier #BIBLIO et la migration Resend #110. Les deux étant désormais clos, la dépendance d’édition concurrente est levée — sous réserve des deux détails de finition résiduels (voir fiche #153).</w:t>
      </w:r>
    </w:p>
    <w:p>
      <w:r>
        <w:br w:type="page"/>
      </w:r>
    </w:p>
    <w:p>
      <w:pPr>
        <w:pStyle w:val="Heading2"/>
      </w:pPr>
      <w:r>
        <w:t xml:space="preserve">Items neufs du v18</w:t>
      </w:r>
    </w:p>
    <w:p>
      <w:pPr>
        <w:spacing w:after="60" w:before="200"/>
      </w:pPr>
      <w:r>
        <w:rPr>
          <w:b/>
          <w:bCs/>
          <w:color w:val="1E40AF"/>
        </w:rPr>
        <w:t xml:space="preserve">#MOBILE</w:t>
      </w:r>
      <w:r>
        <w:rPr>
          <w:b/>
          <w:bCs/>
        </w:rPr>
        <w:t xml:space="preserve"> — Extension mobile / mode terrain  </w:t>
      </w:r>
      <w:r>
        <w:rPr>
          <w:i/>
          <w:iCs/>
          <w:color w:val="B45309"/>
        </w:rPr>
        <w:t xml:space="preserve">(score 15, HAUTE — NOUVEAU v18, absorbe #H)</w:t>
      </w:r>
    </w:p>
    <w:p>
      <w:pPr>
        <w:spacing w:after="100"/>
      </w:pPr>
      <w:r>
        <w:rPr>
          <w:i/>
          <w:iCs/>
          <w:color w:val="555555"/>
          <w:sz w:val="18"/>
          <w:szCs w:val="18"/>
        </w:rPr>
        <w:t xml:space="preserve">Thème : Catalogage   ·   Statut : 🟡 CADRÉ — 4 arbitrages à trancher   ·   Estimation : Chantier structurel — dossier d’ouverture v0.1</w:t>
      </w:r>
    </w:p>
    <w:p>
      <w:pPr>
        <w:spacing w:after="120"/>
      </w:pPr>
      <w:r>
        <w:rPr>
          <w:b w:val="false"/>
          <w:bCs w:val="false"/>
          <w:i w:val="false"/>
          <w:iCs w:val="false"/>
        </w:rPr>
        <w:t xml:space="preserve">Item-chantier neuf, dossier d’ouverture du 26/05 (CHANTIER_extension_mobile_mode_terrain_2026-05-26, v0.1). Origine : la demande d’un camarade de la BTL d’un lecteur de codes-barres mobile pour le catalogage. Cet item absorbe et remplace l’ancien #H (« Scanner ISBN mobile ») : #H reste au tableau pour mémoire, au statut « absorbé », et renvoie ici.</w:t>
      </w:r>
    </w:p>
    <w:p>
      <w:pPr>
        <w:spacing w:after="120"/>
      </w:pPr>
      <w:r>
        <w:rPr>
          <w:b w:val="false"/>
          <w:bCs w:val="false"/>
          <w:i w:val="false"/>
          <w:iCs w:val="false"/>
        </w:rPr>
        <w:t xml:space="preserve">Principe directeur : le mobile est une extension, pas un miroir du desktop. Aucune fonction staff complexe n’est portée — catalogage intégral, workflow consultas et administration réseau restent desktop. Le mobile porte des tâches de terrain, et tout tient dans une seule codebase : une PWA responsive dans le repo unique anarbib-app, sans app native propriétaire, cohérente avec le refus du tracking.</w:t>
      </w:r>
    </w:p>
    <w:p>
      <w:pPr>
        <w:spacing w:after="120"/>
      </w:pPr>
      <w:r>
        <w:rPr>
          <w:b w:val="false"/>
          <w:bCs w:val="false"/>
          <w:i w:val="false"/>
          <w:iCs w:val="false"/>
        </w:rPr>
        <w:t xml:space="preserve">Décision actée : le scanner de catalogage suit l’option B — un poste de saisie autonome (scan → résolution ISBN → fiche minimale → file « à compléter sur desktop »), sans couplage temps réel. L’option A (relais Realtime) est écartée pour l’instant. Sous-point soulevé en séance : la carte-lecteur, conçue comme une capacité activable par bibliothèque (sur le modèle de circulation_mode), sans onglet d’édition — la carte est une projection de l’appartenance lecteur, rien à éditer.</w:t>
      </w:r>
    </w:p>
    <w:p>
      <w:pPr>
        <w:spacing w:after="120"/>
      </w:pPr>
      <w:r>
        <w:rPr>
          <w:b w:val="false"/>
          <w:bCs w:val="false"/>
          <w:i w:val="false"/>
          <w:iCs w:val="false"/>
        </w:rPr>
        <w:t xml:space="preserve">Quatre arbitrages restent en attente avant spécification (voir le § 7 du dossier d’ouverture). Acquis technique noté : Supabase Auth n’impose pas de session unique — un même compte peut être connecté simultanément sur desktop et mobile, sans appairage spécial.</w:t>
      </w:r>
    </w:p>
    <w:p>
      <w:pPr>
        <w:spacing w:after="60" w:before="200"/>
      </w:pPr>
      <w:r>
        <w:rPr>
          <w:b/>
          <w:bCs/>
          <w:color w:val="1E40AF"/>
        </w:rPr>
        <w:t xml:space="preserve">#RESEAU-FED</w:t>
      </w:r>
      <w:r>
        <w:rPr>
          <w:b/>
          <w:bCs/>
        </w:rPr>
        <w:t xml:space="preserve"> — Chantier réseau fédératif  </w:t>
      </w:r>
      <w:r>
        <w:rPr>
          <w:i/>
          <w:iCs/>
          <w:color w:val="B45309"/>
        </w:rPr>
        <w:t xml:space="preserve">(score 13, MOYENNE — NOUVEAU v18)</w:t>
      </w:r>
    </w:p>
    <w:p>
      <w:pPr>
        <w:spacing w:after="100"/>
      </w:pPr>
      <w:r>
        <w:rPr>
          <w:i/>
          <w:iCs/>
          <w:color w:val="555555"/>
          <w:sz w:val="18"/>
          <w:szCs w:val="18"/>
        </w:rPr>
        <w:t xml:space="preserve">Thème : Réseau   ·   Statut : 🟡 CADRÉ — préalable à spécification   ·   Estimation : Chantier structurel, dossier d’ouverture v1</w:t>
      </w:r>
    </w:p>
    <w:p>
      <w:pPr>
        <w:spacing w:after="120"/>
      </w:pPr>
      <w:r>
        <w:rPr>
          <w:b w:val="false"/>
          <w:bCs w:val="false"/>
          <w:i w:val="false"/>
          <w:iCs w:val="false"/>
        </w:rPr>
        <w:t xml:space="preserve">Item-chantier neuf, dossier d’ouverture du 25/05 (CHANTIER_reseau_federatif_2026-05-25, v1). Le dossier ne contient pas de code et ne tient pas lieu de spécification : il en est le préalable doctrinal.</w:t>
      </w:r>
    </w:p>
    <w:p>
      <w:pPr>
        <w:spacing w:after="120"/>
      </w:pPr>
      <w:r>
        <w:rPr>
          <w:b w:val="false"/>
          <w:bCs w:val="false"/>
          <w:i w:val="false"/>
          <w:iCs w:val="false"/>
        </w:rPr>
        <w:t xml:space="preserve">Constat structurant : la page réseau actuelle est une console de supervision — cinq onglets orientés administration, gardés par le contrôle isNetworkAdmin. Or AnarBib se revendique fédération de collectifs autonomes ; une fédération sans organe de délibération n’est qu’un annuaire administré. Le chantier dédouble la notion de réseau : la face administration (la page réseau actuelle, conservée) et une face fédération nouvelle — une page accessible à toute personne rattachée à une bibliothèque membre, portant cercles, assemblées générales, bulletin et gazette, carte du réseau, entraide, mémoire fédérale. Ce dédoublement est cohérent avec la doctrine « page = périmètre ».</w:t>
      </w:r>
    </w:p>
    <w:p>
      <w:pPr>
        <w:spacing w:after="120"/>
      </w:pPr>
      <w:r>
        <w:rPr>
          <w:b w:val="false"/>
          <w:bCs w:val="false"/>
          <w:i w:val="false"/>
          <w:iCs w:val="false"/>
        </w:rPr>
        <w:t xml:space="preserve">Quatre principes politiques directeurs, non négociables : fédéralisme et non hiérarchie (aucun échelon supérieur aux bibliothèques) ; le consentement plutôt que le décompte (grammaire de l’absence d’objection motivée, reprise de la cooptation des admins réseau) ; autonomie locale souveraine (une décision d’assemblée est une recommandation, jamais une contrainte) ; lancer peu mais que cela vive. La primitive fédérative est le cercle — une primitive plate, un graphe et jamais un arbre. Tous les objets fédératifs nouveaux devront être conçus RPC-first. Une spécification suivra ce dossier de cadrage ; à Bologna, le chantier sera présenté à l’état de spécification et de maquette.</w:t>
      </w:r>
    </w:p>
    <w:p>
      <w:pPr>
        <w:spacing w:after="60" w:before="200"/>
      </w:pPr>
      <w:r>
        <w:rPr>
          <w:b/>
          <w:bCs/>
          <w:color w:val="1E40AF"/>
        </w:rPr>
        <w:t xml:space="preserve">#CARTE</w:t>
      </w:r>
      <w:r>
        <w:rPr>
          <w:b/>
          <w:bCs/>
        </w:rPr>
        <w:t xml:space="preserve"> — Carte uMap des bibliothèques libertaires  </w:t>
      </w:r>
      <w:r>
        <w:rPr>
          <w:i/>
          <w:iCs/>
          <w:color w:val="B45309"/>
        </w:rPr>
        <w:t xml:space="preserve">(score 9 — NOUVEAU v18)</w:t>
      </w:r>
    </w:p>
    <w:p>
      <w:pPr>
        <w:spacing w:after="100"/>
      </w:pPr>
      <w:r>
        <w:rPr>
          <w:i/>
          <w:iCs/>
          <w:color w:val="555555"/>
          <w:sz w:val="18"/>
          <w:szCs w:val="18"/>
        </w:rPr>
        <w:t xml:space="preserve">Thème : Réseau   ·   Statut : 🟡 LIVRÉ — mise en ligne à finaliser   ·   Estimation : Recensement et fichiers de données produits</w:t>
      </w:r>
    </w:p>
    <w:p>
      <w:pPr>
        <w:spacing w:after="120"/>
      </w:pPr>
      <w:r>
        <w:rPr>
          <w:b w:val="false"/>
          <w:bCs w:val="false"/>
          <w:i w:val="false"/>
          <w:iCs w:val="false"/>
        </w:rPr>
        <w:t xml:space="preserve">Item neuf. Une session des 26-27/05 a produit un recensement cartographique de 105 bibliothèques et collectifs libertaires, répartis sur 24 pays et 5 continents, destiné à une carte uMap publique. Les livrables sont produits : un fichier CSV et un fichier GeoJSON des 105 lieux, un document de recensement, un gabarit d’infobulle uMap, et un fichier de types i18n. Chaque lieu porte une catégorie (six catégories, avec code couleur), une langue de fonds et un statut vis-à-vis d’AnarBib.</w:t>
      </w:r>
    </w:p>
    <w:p>
      <w:pPr>
        <w:spacing w:after="120"/>
      </w:pPr>
      <w:r>
        <w:rPr>
          <w:b w:val="false"/>
          <w:bCs w:val="false"/>
          <w:i w:val="false"/>
          <w:iCs w:val="false"/>
        </w:rPr>
        <w:t xml:space="preserve">Décision actée : « membre du réseau AnarBib » désigne strictement un collectif dont les données sont réellement entrées dans la base AnarBib — à ce jour, un seul membre, la BLMF (Biblioteca Libertária Maxwell Ferreira, collectif CCLA de Belém do Pará). Les autres lieux recensés sont des partenaires ou des cibles, non des membres. Cette distinction relie #CARTE à l’item #64 (page Rede) et au chantier #RESEAU-FED, qui prévoit explicitement une carte du réseau dans la face fédération.</w:t>
      </w:r>
    </w:p>
    <w:p>
      <w:pPr>
        <w:spacing w:after="120"/>
      </w:pPr>
      <w:r>
        <w:rPr>
          <w:b w:val="false"/>
          <w:bCs w:val="false"/>
          <w:i w:val="false"/>
          <w:iCs w:val="false"/>
        </w:rPr>
        <w:t xml:space="preserve">Reste à finaliser : la mise en ligne effective de la carte sur uMap à partir des fichiers produits. L’item est donc « livré » pour la partie recensement et données, « à finaliser » pour la publication.</w:t>
      </w:r>
    </w:p>
    <w:p>
      <w:pPr>
        <w:spacing w:after="60" w:before="200"/>
      </w:pPr>
      <w:r>
        <w:rPr>
          <w:b/>
          <w:bCs/>
          <w:color w:val="1E40AF"/>
        </w:rPr>
        <w:t xml:space="preserve">#PN-1</w:t>
      </w:r>
      <w:r>
        <w:rPr>
          <w:b/>
          <w:bCs/>
        </w:rPr>
        <w:t xml:space="preserve"> — Unifier les deux helpers de traduction d’erreur  </w:t>
      </w:r>
      <w:r>
        <w:rPr>
          <w:i/>
          <w:iCs/>
          <w:color w:val="B45309"/>
        </w:rPr>
        <w:t xml:space="preserve">(score 6 — NOUVEAU v18)</w:t>
      </w:r>
    </w:p>
    <w:p>
      <w:pPr>
        <w:spacing w:after="100"/>
      </w:pPr>
      <w:r>
        <w:rPr>
          <w:i/>
          <w:iCs/>
          <w:color w:val="555555"/>
          <w:sz w:val="18"/>
          <w:szCs w:val="18"/>
        </w:rPr>
        <w:t xml:space="preserve">Thème : Hygiène   ·   Statut : 🆕 BACKLOG 27/05   ·   Estimation : 1h — fusion + ré-pointage des imports</w:t>
      </w:r>
    </w:p>
    <w:p>
      <w:pPr>
        <w:spacing w:after="120"/>
      </w:pPr>
      <w:r>
        <w:rPr>
          <w:b w:val="false"/>
          <w:bCs w:val="false"/>
          <w:i w:val="false"/>
          <w:iCs w:val="false"/>
        </w:rPr>
        <w:t xml:space="preserve">Constat relevé par l’audit Painel. La traduction des messages d’erreur passe par deux helpers parallèles qui font le même travail : localizeError.js, utilisé par l’espace lecteur, et apiErrors.js, utilisé par le Painel. Ce doublon est une dette d’hygiène : à unifier en un seul module, avec ré-pointage des imports. Recoupe l’item #149 (pattern des erreurs RPC silencieuses).</w:t>
      </w:r>
    </w:p>
    <w:p>
      <w:pPr>
        <w:spacing w:after="60" w:before="200"/>
      </w:pPr>
      <w:r>
        <w:rPr>
          <w:b/>
          <w:bCs/>
          <w:color w:val="1E40AF"/>
        </w:rPr>
        <w:t xml:space="preserve">#PN-2</w:t>
      </w:r>
      <w:r>
        <w:rPr>
          <w:b/>
          <w:bCs/>
        </w:rPr>
        <w:t xml:space="preserve"> — Route /painel renvoie un 404 dans certains parcours  </w:t>
      </w:r>
      <w:r>
        <w:rPr>
          <w:i/>
          <w:iCs/>
          <w:color w:val="B45309"/>
        </w:rPr>
        <w:t xml:space="preserve">(score 6 — NOUVEAU v18)</w:t>
      </w:r>
    </w:p>
    <w:p>
      <w:pPr>
        <w:spacing w:after="100"/>
      </w:pPr>
      <w:r>
        <w:rPr>
          <w:i/>
          <w:iCs/>
          <w:color w:val="555555"/>
          <w:sz w:val="18"/>
          <w:szCs w:val="18"/>
        </w:rPr>
        <w:t xml:space="preserve">Thème : Bugs UX   ·   Statut : 🆕 BACKLOG 27/05   ·   Estimation : à diagnostiquer</w:t>
      </w:r>
    </w:p>
    <w:p>
      <w:pPr>
        <w:spacing w:after="120"/>
      </w:pPr>
      <w:r>
        <w:rPr>
          <w:b w:val="false"/>
          <w:bCs w:val="false"/>
          <w:i w:val="false"/>
          <w:iCs w:val="false"/>
        </w:rPr>
        <w:t xml:space="preserve">Constat relevé par l’audit Painel. Dans certains parcours, la route /painel renvoie un 404 au lieu d’afficher la page. Bug à diagnostiquer — cause non encore établie.</w:t>
      </w:r>
    </w:p>
    <w:p>
      <w:r>
        <w:br w:type="page"/>
      </w:r>
    </w:p>
    <w:p>
      <w:pPr>
        <w:pStyle w:val="Heading2"/>
      </w:pPr>
      <w:r>
        <w:t xml:space="preserve">Fiches conservées du v17</w:t>
      </w:r>
    </w:p>
    <w:p>
      <w:pPr>
        <w:spacing w:after="120"/>
      </w:pPr>
      <w:r>
        <w:rPr>
          <w:b w:val="false"/>
          <w:bCs w:val="false"/>
          <w:i w:val="false"/>
          <w:iCs w:val="false"/>
        </w:rPr>
        <w:t xml:space="preserve">Les fiches détaillées des items suivants sont conservées sans modification depuis le v17 et n’y sont pas recopiées intégralement : #K1, #ACCOUNT-migration, #TASKS, #TASKS-invitation-groupée, #I, #J, #MM1 à #MM5, #MODEL-item-grain, #110, #BG2 à #BG5, #E2E-infra, #DOC1 à #DOC3, #111, #144, #32, #58, #60, #79, #138, #139, #K3, #119, #20, #6, #152, #157, #16, #151, #155, #156, #154. Se reporter à la section D du backlog v17 pour leur détail. Seules les fiches ci-dessus — #BIBLIO (mise à jour), #PAINEL, #CL, #153 (mise à jour), #MOBILE, #RESEAU-FED, #CARTE, #PN-1, #PN-2 — et les deux lignes-chantier ci-dessous diffèrent du v17 ou y sont nouvelles.</w:t>
      </w:r>
    </w:p>
    <w:p>
      <w:pPr>
        <w:spacing w:after="60" w:before="200"/>
      </w:pPr>
      <w:r>
        <w:rPr>
          <w:b/>
          <w:bCs/>
          <w:color w:val="1E40AF"/>
        </w:rPr>
        <w:t xml:space="preserve">#ILL</w:t>
      </w:r>
      <w:r>
        <w:rPr>
          <w:b/>
          <w:bCs/>
        </w:rPr>
        <w:t xml:space="preserve"> — Chantier PEB : cycle du prêt interbibliothèques  </w:t>
      </w:r>
      <w:r>
        <w:rPr>
          <w:i/>
          <w:iCs/>
          <w:color w:val="B45309"/>
        </w:rPr>
        <w:t xml:space="preserve">(FICHE MISE À JOUR v18)</w:t>
      </w:r>
    </w:p>
    <w:p>
      <w:pPr>
        <w:spacing w:after="100"/>
      </w:pPr>
      <w:r>
        <w:rPr>
          <w:i/>
          <w:iCs/>
          <w:color w:val="555555"/>
          <w:sz w:val="18"/>
          <w:szCs w:val="18"/>
        </w:rPr>
        <w:t xml:space="preserve">Thème : PEB   ·   Statut : 🟢 LIVRÉ — 1 sous-travail cadré, à spécifier (digital)   ·   Estimation : livré 22-25/05</w:t>
      </w:r>
    </w:p>
    <w:p>
      <w:pPr>
        <w:spacing w:after="120"/>
      </w:pPr>
      <w:r>
        <w:rPr>
          <w:b w:val="false"/>
          <w:bCs w:val="false"/>
          <w:i w:val="false"/>
          <w:iCs w:val="false"/>
        </w:rPr>
        <w:t xml:space="preserve">Ligne-chantier unique regroupant tout le travail sur le prêt interbibliothèques. Cinq sous-travaux livrés et en production : cycle de prêt (session du 22/05, sept correctifs) ; cycle de vie verrouillé (ex-#ILL-lifecycle, triggers de propagation et de validation des transitions) ; sécurité des RPC (ex-#ILL-rpc-anon, aucun GRANT anon) ; calcul du retard (ex-#ILL-overdue, cron quotidien actif) ; archivage des PEB terminés (ex-#ILL-archive, livré le 25/05) ; comptes-rendus enrichis (ex-#ILL-reports, livré le 25/05). Voir docs/decisions/CHANTIER_cloture_ILL_2026-05-24.</w:t>
      </w:r>
    </w:p>
    <w:p>
      <w:pPr>
        <w:spacing w:after="120"/>
      </w:pPr>
      <w:r>
        <w:rPr>
          <w:b w:val="false"/>
          <w:bCs w:val="false"/>
          <w:i w:val="false"/>
          <w:iCs w:val="false"/>
        </w:rPr>
        <w:t xml:space="preserve">Sous-travail ouvert — partage numérique (ex-#ILL-digital). Mise à jour v18 : ce sous-travail dispose désormais d’une note de cadrage, CADRAGE_ILL-digital_2026-05-25. La note ne contient pas de spécification technique : elle pose les questions ouvertes — plusieurs relevant d’un choix politique du collectif. Décision de cadrage actée : le partage numérique ne sera pas modélisé comme un PEB particulier mais comme un circuit distinct, plus simple (pas de retour d’objet), à cheval sur Biblioteca, Catalogação et Importações. Tant que les questions ouvertes ne sont pas tranchées, #ILL-digital reste au statut « à spécifier » — pas « à coder ». Une spec spec-flux-partage-numerique.md suivra une fois les arbitrages rendus.</w:t>
      </w:r>
    </w:p>
    <w:p>
      <w:pPr>
        <w:spacing w:after="60" w:before="200"/>
      </w:pPr>
      <w:r>
        <w:rPr>
          <w:b/>
          <w:bCs/>
          <w:color w:val="1E40AF"/>
        </w:rPr>
        <w:t xml:space="preserve">#PARTNERS</w:t>
      </w:r>
      <w:r>
        <w:rPr>
          <w:b/>
          <w:bCs/>
        </w:rPr>
        <w:t xml:space="preserve"> — Partenaires de correspondance d’une bibliothèque  </w:t>
      </w:r>
      <w:r>
        <w:rPr>
          <w:i/>
          <w:iCs/>
          <w:color w:val="6B7280"/>
        </w:rPr>
        <w:t xml:space="preserve">(✅ RÉSOLU — inchangé v17)</w:t>
      </w:r>
    </w:p>
    <w:p>
      <w:pPr>
        <w:spacing w:after="100"/>
      </w:pPr>
      <w:r>
        <w:rPr>
          <w:i/>
          <w:iCs/>
          <w:color w:val="555555"/>
          <w:sz w:val="18"/>
          <w:szCs w:val="18"/>
        </w:rPr>
        <w:t xml:space="preserve">Thème : Réseau   ·   Statut : ✅ RÉSOLU   ·   Estimation : livré le 24/05</w:t>
      </w:r>
    </w:p>
    <w:p>
      <w:pPr>
        <w:spacing w:after="120"/>
      </w:pPr>
      <w:r>
        <w:rPr>
          <w:b w:val="false"/>
          <w:bCs w:val="false"/>
          <w:i w:val="false"/>
          <w:iCs w:val="false"/>
        </w:rPr>
        <w:t xml:space="preserve">Chantier ouvert et livré le 24/05. Dans l’onglet « documents et relations extérieures » de la page Biblioteca, chaque bibliothèque peut désormais déclarer ses partenaires de correspondance. Migration 20260524120000_library_partnerships, composant LibraryPartnershipsSection, i18n 18 clés × 8 langues. Fiche conservée pour mémoire ; détail complet dans le v17.</w:t>
      </w:r>
    </w:p>
    <w:p>
      <w:r>
        <w:br w:type="page"/>
      </w:r>
    </w:p>
    <w:p>
      <w:pPr>
        <w:pStyle w:val="Heading1"/>
      </w:pPr>
      <w:r>
        <w:t xml:space="preserve">E. Séquencement recommandé</w:t>
      </w:r>
    </w:p>
    <w:p>
      <w:pPr>
        <w:spacing w:after="120"/>
      </w:pPr>
      <w:r>
        <w:rPr>
          <w:b w:val="false"/>
          <w:bCs w:val="false"/>
          <w:i w:val="false"/>
          <w:iCs w:val="false"/>
        </w:rPr>
        <w:t xml:space="preserve">Le séquencement ci-dessous est indicatif. Deux chantiers-cadre sont désormais les fils conducteurs prioritaires : #BIBLIO (audit page Biblioteca, quasi-clos) et #PAINEL (audit page Painel, chantier A clos). Leurs étapes restantes avancent en parallèle du reste.</w:t>
      </w:r>
    </w:p>
    <w:p>
      <w:pPr>
        <w:pStyle w:val="Heading2"/>
      </w:pPr>
      <w:r>
        <w:t xml:space="preserve">Court terme — 2 à 4 sessions</w:t>
      </w:r>
    </w:p>
    <w:p>
      <w:pPr>
        <w:pStyle w:val="ListParagraph"/>
        <w:numPr>
          <w:ilvl w:val="0"/>
          <w:numId w:val="2"/>
        </w:numPr>
        <w:spacing w:after="60"/>
      </w:pPr>
      <w:r>
        <w:t xml:space="preserve">Faire avancer les deux chantiers-cadre : boucler l’étape 8 de #BIBLIO dès que #110 R.6 est déployé (05/06) ; arrêter le découpage des onze écarts restants de #PAINEL en chantiers B-F et enchaîner.</w:t>
      </w:r>
    </w:p>
    <w:p>
      <w:pPr>
        <w:pStyle w:val="ListParagraph"/>
        <w:numPr>
          <w:ilvl w:val="0"/>
          <w:numId w:val="2"/>
        </w:numPr>
        <w:spacing w:after="60"/>
      </w:pPr>
      <w:r>
        <w:t xml:space="preserve">Régler les deux détails de finition de #153 : la dette ‘reserva_v2_recusada’ / ‘res.refused’ (code mort à retirer) et la dé-duplication de la copie autonome de _shared/ dans notify-internal-task — à rattacher à #154 ou à une session de finition propre.</w:t>
      </w:r>
    </w:p>
    <w:p>
      <w:pPr>
        <w:pStyle w:val="ListParagraph"/>
        <w:numPr>
          <w:ilvl w:val="0"/>
          <w:numId w:val="2"/>
        </w:numPr>
        <w:spacing w:after="60"/>
      </w:pPr>
      <w:r>
        <w:t xml:space="preserve">Selon l’énergie disponible : sprint 1 du méga-item #CL (#CL.3 fait, puis #CL.1 et #CL.2), ou option Karina (#K1 paquets 6-7-8), ou la série anti-méga-machine #MM1/#MM5/#MM3.</w:t>
      </w:r>
    </w:p>
    <w:p>
      <w:pPr>
        <w:pStyle w:val="ListParagraph"/>
        <w:numPr>
          <w:ilvl w:val="0"/>
          <w:numId w:val="2"/>
        </w:numPr>
        <w:spacing w:after="60"/>
      </w:pPr>
      <w:r>
        <w:t xml:space="preserve">Finaliser la mise en ligne uMap de #CARTE à partir des fichiers déjà produits.</w:t>
      </w:r>
    </w:p>
    <w:p>
      <w:pPr>
        <w:pStyle w:val="ListParagraph"/>
        <w:numPr>
          <w:ilvl w:val="0"/>
          <w:numId w:val="2"/>
        </w:numPr>
        <w:spacing w:after="60"/>
      </w:pPr>
      <w:r>
        <w:t xml:space="preserve">Quickwins hygiène pour souffler : #147, #148, #71, #146, #PN-1.</w:t>
      </w:r>
    </w:p>
    <w:p>
      <w:pPr>
        <w:pStyle w:val="Heading2"/>
      </w:pPr>
      <w:r>
        <w:t xml:space="preserve">Moyen terme — 2 à 6 semaines</w:t>
      </w:r>
    </w:p>
    <w:p>
      <w:pPr>
        <w:pStyle w:val="ListParagraph"/>
        <w:numPr>
          <w:ilvl w:val="0"/>
          <w:numId w:val="2"/>
        </w:numPr>
        <w:spacing w:after="60"/>
      </w:pPr>
      <w:r>
        <w:t xml:space="preserve">Bouclage de #BIBLIO (étapes 4 à 10) et de #PAINEL (chantiers B-F).</w:t>
      </w:r>
    </w:p>
    <w:p>
      <w:pPr>
        <w:pStyle w:val="ListParagraph"/>
        <w:numPr>
          <w:ilvl w:val="0"/>
          <w:numId w:val="2"/>
        </w:numPr>
        <w:spacing w:after="60"/>
      </w:pPr>
      <w:r>
        <w:t xml:space="preserve">Bouclage du méga-item #CL (sprints 2 et 3) et de la spec Karina #K1.</w:t>
      </w:r>
    </w:p>
    <w:p>
      <w:pPr>
        <w:pStyle w:val="ListParagraph"/>
        <w:numPr>
          <w:ilvl w:val="0"/>
          <w:numId w:val="2"/>
        </w:numPr>
        <w:spacing w:after="60"/>
      </w:pPr>
      <w:r>
        <w:t xml:space="preserve">Déclenchement de #110 R.6 (suppression Brevo) — planifié au 05/06, sous réserve de R.5 au vert.</w:t>
      </w:r>
    </w:p>
    <w:p>
      <w:pPr>
        <w:pStyle w:val="ListParagraph"/>
        <w:numPr>
          <w:ilvl w:val="0"/>
          <w:numId w:val="2"/>
        </w:numPr>
        <w:spacing w:after="60"/>
      </w:pPr>
      <w:r>
        <w:t xml:space="preserve">Régler les deux détails de finition de #153 (code mort res.refused, dé-duplication _shared/ de notify-internal-task) — seul reliquat du méga-item #153, par ailleurs intégralement clos sur le code.</w:t>
      </w:r>
    </w:p>
    <w:p>
      <w:pPr>
        <w:pStyle w:val="ListParagraph"/>
        <w:numPr>
          <w:ilvl w:val="0"/>
          <w:numId w:val="2"/>
        </w:numPr>
        <w:spacing w:after="60"/>
      </w:pPr>
      <w:r>
        <w:t xml:space="preserve">Dérouler #144 (QA réservations + emprunts). Chantier #MOBILE : trancher les 4 arbitrages en attente, puis spécifier le scanner ISBN et la carte-lecteur.</w:t>
      </w:r>
    </w:p>
    <w:p>
      <w:pPr>
        <w:pStyle w:val="Heading2"/>
      </w:pPr>
      <w:r>
        <w:t xml:space="preserve">Long terme — chantiers Bologna, fédération et extension de la méthode</w:t>
      </w:r>
    </w:p>
    <w:p>
      <w:pPr>
        <w:pStyle w:val="ListParagraph"/>
        <w:numPr>
          <w:ilvl w:val="0"/>
          <w:numId w:val="2"/>
        </w:numPr>
        <w:spacing w:after="60"/>
      </w:pPr>
      <w:r>
        <w:t xml:space="preserve">Chantiers de préparation Bologna #BG2, #BG3, #BG4 : sauvegardes, journalisation, durcissement RLS. Le volet RGPD est déjà acquis (section G).</w:t>
      </w:r>
    </w:p>
    <w:p>
      <w:pPr>
        <w:pStyle w:val="ListParagraph"/>
        <w:numPr>
          <w:ilvl w:val="0"/>
          <w:numId w:val="2"/>
        </w:numPr>
        <w:spacing w:after="60"/>
      </w:pPr>
      <w:r>
        <w:t xml:space="preserve">Chantier #RESEAU-FED : passer du dossier de cadrage à une spécification, puis à une maquette présentable à Bologna.</w:t>
      </w:r>
    </w:p>
    <w:p>
      <w:pPr>
        <w:pStyle w:val="ListParagraph"/>
        <w:numPr>
          <w:ilvl w:val="0"/>
          <w:numId w:val="2"/>
        </w:numPr>
        <w:spacing w:after="60"/>
      </w:pPr>
      <w:r>
        <w:t xml:space="preserve">Extension de la méthode parité+audit : après #BIBLIO et #PAINEL, la page Importações (#60), puis Catalogação (#58, #152).</w:t>
      </w:r>
    </w:p>
    <w:p>
      <w:pPr>
        <w:pStyle w:val="ListParagraph"/>
        <w:numPr>
          <w:ilvl w:val="0"/>
          <w:numId w:val="2"/>
        </w:numPr>
        <w:spacing w:after="60"/>
      </w:pPr>
      <w:r>
        <w:t xml:space="preserve">Chantier I archive.org ; spec consultas v2.2 (#139) ; couche OPAC enrichie (#OPAC1-#OPAC6) ; rattachement automatique des lectrices orphelines (#K3) ; tests E2E automatisés (#E2E-infra puis #31, #32) ; chantier #111 wizard onboarding biblio.</w:t>
      </w:r>
    </w:p>
    <w:p>
      <w:r>
        <w:br w:type="page"/>
      </w:r>
    </w:p>
    <w:p>
      <w:pPr>
        <w:pStyle w:val="Heading1"/>
      </w:pPr>
      <w:r>
        <w:t xml:space="preserve">G. Acquis : conformité RGPD (chantier clos)</w:t>
      </w:r>
    </w:p>
    <w:p>
      <w:pPr>
        <w:spacing w:after="120"/>
      </w:pPr>
      <w:r>
        <w:rPr>
          <w:b w:val="false"/>
          <w:bCs w:val="false"/>
          <w:i w:val="false"/>
          <w:iCs w:val="false"/>
        </w:rPr>
        <w:t xml:space="preserve">Le dossier de préparation Bologna listait cinq chantiers techniques ; quatre ont donné lieu à des items #BG ouverts. Le cinquième, la conformité RGPD, a été mené de bout en bout il y a quelques semaines. Cette section le consigne comme acquis, inchangée depuis le v17.</w:t>
      </w:r>
    </w:p>
    <w:p>
      <w:pPr>
        <w:pStyle w:val="Heading2"/>
      </w:pPr>
      <w:r>
        <w:t xml:space="preserve">Ce qui a été réalisé</w:t>
      </w:r>
    </w:p>
    <w:p>
      <w:pPr>
        <w:pStyle w:val="ListParagraph"/>
        <w:numPr>
          <w:ilvl w:val="0"/>
          <w:numId w:val="2"/>
        </w:numPr>
        <w:spacing w:after="60"/>
      </w:pPr>
      <w:r>
        <w:t xml:space="preserve">Registre des traitements rédigé et committé (docs/legal/REGISTRE_TRAITEMENTS.md), en deux couches : template générique et exemple rempli.</w:t>
      </w:r>
    </w:p>
    <w:p>
      <w:pPr>
        <w:pStyle w:val="ListParagraph"/>
        <w:numPr>
          <w:ilvl w:val="0"/>
          <w:numId w:val="2"/>
        </w:numPr>
        <w:spacing w:after="60"/>
      </w:pPr>
      <w:r>
        <w:t xml:space="preserve">Documents légaux publics traduits dans les six locales, licenciés CC-BY-SA-4.0.</w:t>
      </w:r>
    </w:p>
    <w:p>
      <w:pPr>
        <w:pStyle w:val="ListParagraph"/>
        <w:numPr>
          <w:ilvl w:val="0"/>
          <w:numId w:val="2"/>
        </w:numPr>
        <w:spacing w:after="60"/>
      </w:pPr>
      <w:r>
        <w:t xml:space="preserve">Double base légale assumée : RGPD européen et LGPD brésilienne, reflet du réseau RebAL.</w:t>
      </w:r>
    </w:p>
    <w:p>
      <w:pPr>
        <w:pStyle w:val="ListParagraph"/>
        <w:numPr>
          <w:ilvl w:val="0"/>
          <w:numId w:val="2"/>
        </w:numPr>
        <w:spacing w:after="60"/>
      </w:pPr>
      <w:r>
        <w:t xml:space="preserve">Conformité de la chaîne de sous-traitance : DPA Supabase signé, clauses pour le transfert sa-east-1 transitoire, mention « migration eu-west à l’étude ».</w:t>
      </w:r>
    </w:p>
    <w:p>
      <w:pPr>
        <w:pStyle w:val="ListParagraph"/>
        <w:numPr>
          <w:ilvl w:val="0"/>
          <w:numId w:val="2"/>
        </w:numPr>
        <w:spacing w:after="60"/>
      </w:pPr>
      <w:r>
        <w:t xml:space="preserve">Droits des personnes implémentés : accès, effacement (suppression cryptographique), portabilité (export JSON + CSV en zip depuis /conta).</w:t>
      </w:r>
    </w:p>
    <w:p>
      <w:pPr>
        <w:pStyle w:val="ListParagraph"/>
        <w:numPr>
          <w:ilvl w:val="0"/>
          <w:numId w:val="2"/>
        </w:numPr>
        <w:spacing w:after="60"/>
      </w:pPr>
      <w:r>
        <w:t xml:space="preserve">Sections privacy par bibliothèque exposées ; honnêteté sur la dette listée au registre.</w:t>
      </w:r>
    </w:p>
    <w:p>
      <w:pPr>
        <w:pStyle w:val="Heading2"/>
      </w:pPr>
      <w:r>
        <w:t xml:space="preserve">Reliquat opérationnel</w:t>
      </w:r>
    </w:p>
    <w:p>
      <w:pPr>
        <w:spacing w:after="120"/>
      </w:pPr>
      <w:r>
        <w:rPr>
          <w:b w:val="false"/>
          <w:bCs w:val="false"/>
          <w:i w:val="false"/>
          <w:iCs w:val="false"/>
        </w:rPr>
        <w:t xml:space="preserve">Unique reliquat : les deux crons RGPD (notification avant purge, purge des données expirées) sont déployés mais délibérément désactivés (active=false) — choix de précaution tant que les bibliothèques n’ont pas validé leurs politiques de rétention. Ce reliquat n’ouvre pas d’item de backlog ; la rétention courte des sauvegardes prévue par #BG2 doit être calée sur les durées RGPD.</w:t>
      </w:r>
    </w:p>
    <w:p>
      <w:r>
        <w:br w:type="page"/>
      </w:r>
    </w:p>
    <w:p>
      <w:pPr>
        <w:pStyle w:val="Heading1"/>
      </w:pPr>
      <w:r>
        <w:t xml:space="preserve">Annexe — Préparation Bologna 2026</w:t>
      </w:r>
    </w:p>
    <w:p>
      <w:pPr>
        <w:spacing w:after="120"/>
      </w:pPr>
      <w:r>
        <w:rPr>
          <w:b w:val="false"/>
          <w:bCs w:val="false"/>
          <w:i w:val="false"/>
          <w:iCs w:val="false"/>
        </w:rPr>
        <w:t xml:space="preserve">Cette annexe récapitule, hors scoring, les éléments de préparation de la présentation au FICEDL de Bologne (septembre 2026). Elle accompagne les items #BG2 à #BG5 et la section G. Inchangée depuis le v17 sur le fond ; le v18 ajoute que deux chantiers-cadre — #BIBLIO et #PAINEL — incarnent désormais la méthode parité+audit présentable comme un acte de transparence, et que le chantier #RESEAU-FED sera présenté à l’état de spécification et de maquette.</w:t>
      </w:r>
    </w:p>
    <w:p>
      <w:pPr>
        <w:pStyle w:val="Heading2"/>
      </w:pPr>
      <w:r>
        <w:t xml:space="preserve">Récapitulatif des chantiers techniques Bologna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Chantier</w:t>
            </w:r>
          </w:p>
        </w:tc>
        <w:tc>
          <w:tcPr>
            <w:tcW w:type="dxa" w:w="40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Position politique</w:t>
            </w:r>
          </w:p>
        </w:tc>
        <w:tc>
          <w:tcPr>
            <w:tcW w:type="dxa" w:w="296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État / charge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RGPD</w:t>
            </w:r>
          </w:p>
        </w:tc>
        <w:tc>
          <w:tcPr>
            <w:tcW w:type="dxa" w:w="4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Bouclier contre les logiques marchandes</w:t>
            </w:r>
          </w:p>
        </w:tc>
        <w:tc>
          <w:tcPr>
            <w:tcW w:type="dxa" w:w="2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 Acquis (section G)</w:t>
            </w:r>
          </w:p>
        </w:tc>
      </w:tr>
      <w:tr>
        <w:tc>
          <w:tcPr>
            <w:tcW w:type="dxa" w:w="24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#BG2 — Sauvegardes</w:t>
            </w:r>
          </w:p>
        </w:tc>
        <w:tc>
          <w:tcPr>
            <w:tcW w:type="dxa" w:w="40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Autonomie technique + résistance politique</w:t>
            </w:r>
          </w:p>
        </w:tc>
        <w:tc>
          <w:tcPr>
            <w:tcW w:type="dxa" w:w="29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6-7 j-h</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#BG3 — Journalisation</w:t>
            </w:r>
          </w:p>
        </w:tc>
        <w:tc>
          <w:tcPr>
            <w:tcW w:type="dxa" w:w="4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Minimum vital, transparence</w:t>
            </w:r>
          </w:p>
        </w:tc>
        <w:tc>
          <w:tcPr>
            <w:tcW w:type="dxa" w:w="2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5-7 j-h</w:t>
            </w:r>
          </w:p>
        </w:tc>
      </w:tr>
      <w:tr>
        <w:tc>
          <w:tcPr>
            <w:tcW w:type="dxa" w:w="24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#BG4 — RLS / durcissement</w:t>
            </w:r>
          </w:p>
        </w:tc>
        <w:tc>
          <w:tcPr>
            <w:tcW w:type="dxa" w:w="40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Garantie technique, pas une promesse</w:t>
            </w:r>
          </w:p>
        </w:tc>
        <w:tc>
          <w:tcPr>
            <w:tcW w:type="dxa" w:w="29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13-22 j-h</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#BG5 — OAuth</w:t>
            </w:r>
          </w:p>
        </w:tc>
        <w:tc>
          <w:tcPr>
            <w:tcW w:type="dxa" w:w="4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Pas de vassalisation aux GAFAM</w:t>
            </w:r>
          </w:p>
        </w:tc>
        <w:tc>
          <w:tcPr>
            <w:tcW w:type="dxa" w:w="2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 Acté — 0 j-h</w:t>
            </w:r>
          </w:p>
        </w:tc>
      </w:tr>
    </w:tbl>
    <w:p>
      <w:pPr>
        <w:spacing w:after="120"/>
      </w:pPr>
      <w:r>
        <w:rPr>
          <w:b w:val="false"/>
          <w:bCs w:val="false"/>
          <w:i/>
          <w:iCs/>
          <w:sz w:val="18"/>
          <w:szCs w:val="18"/>
        </w:rPr>
        <w:t xml:space="preserve">Reste à mener : 24 à 36 jours-homme (#BG2, #BG3, #BG4), étalables sur les mois jusqu’à la présentation, à 1-2 jours par semaine — le rythme effectif du projet. Le chantier RGPD, le plus exigeant en volume documentaire, est déjà clos.</w:t>
      </w:r>
    </w:p>
    <w:p>
      <w:pPr>
        <w:pStyle w:val="Heading2"/>
      </w:pPr>
      <w:r>
        <w:t xml:space="preserve">Notes sur le ton</w:t>
      </w:r>
    </w:p>
    <w:p>
      <w:pPr>
        <w:pStyle w:val="ListParagraph"/>
        <w:numPr>
          <w:ilvl w:val="0"/>
          <w:numId w:val="2"/>
        </w:numPr>
        <w:spacing w:after="60"/>
      </w:pPr>
      <w:r>
        <w:t xml:space="preserve">L’humilité chiffrée : dire « 65 % » plutôt que « 90 % » gagne en crédibilité. La méthode parité+audit des chantiers #BIBLIO et #PAINEL est elle-même présentable comme un acte de transparence.</w:t>
      </w:r>
    </w:p>
    <w:p>
      <w:pPr>
        <w:pStyle w:val="ListParagraph"/>
        <w:numPr>
          <w:ilvl w:val="0"/>
          <w:numId w:val="2"/>
        </w:numPr>
        <w:spacing w:after="60"/>
      </w:pPr>
      <w:r>
        <w:t xml:space="preserve">La cohérence entre principes et pratique : chaque fois qu’un choix politique a produit un effet pratique mesurable, c’est une démonstration plus forte que mille discours.</w:t>
      </w:r>
    </w:p>
    <w:p>
      <w:pPr>
        <w:pStyle w:val="ListParagraph"/>
        <w:numPr>
          <w:ilvl w:val="0"/>
          <w:numId w:val="2"/>
        </w:numPr>
        <w:spacing w:after="60"/>
      </w:pPr>
      <w:r>
        <w:t xml:space="preserve">La reconnaissance des limites : « Non lo so, è un punto che non abbiamo ancora affrontato » vaut mieux qu’une réponse bricolée.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E40AF"/>
      <w:sz w:val="32"/>
      <w:szCs w:val="32"/>
    </w:rPr>
  </w:style>
  <w:style w:type="paragraph" w:styleId="Heading2">
    <w:name w:val="Heading 2"/>
    <w:basedOn w:val="Normal"/>
    <w:next w:val="Normal"/>
    <w:qFormat/>
    <w:pPr>
      <w:spacing w:after="140" w:before="220"/>
      <w:outlineLvl w:val="1"/>
    </w:pPr>
    <w:rPr>
      <w:rFonts w:ascii="Calibri" w:cs="Calibri" w:eastAsia="Calibri" w:hAnsi="Calibri"/>
      <w:b/>
      <w:bCs/>
      <w:color w:val="1E3A5F"/>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2026-05-27T11:53:42.214Z</dcterms:created>
  <dcterms:modified xsi:type="dcterms:W3CDTF">2026-05-27T11:53:42.215Z</dcterms:modified>
</cp:coreProperties>
</file>

<file path=docProps/custom.xml><?xml version="1.0" encoding="utf-8"?>
<Properties xmlns="http://schemas.openxmlformats.org/officeDocument/2006/custom-properties" xmlns:vt="http://schemas.openxmlformats.org/officeDocument/2006/docPropsVTypes"/>
</file>