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4A829026" w:rsidR="00904D6D" w:rsidRPr="003D5B84" w:rsidRDefault="00845F3F" w:rsidP="00956EB6">
      <w:pPr>
        <w:pStyle w:val="Title"/>
      </w:pPr>
      <w:r>
        <w:rPr>
          <w:sz w:val="32"/>
          <w:szCs w:val="32"/>
        </w:rPr>
        <w:t xml:space="preserve">Content-centric </w:t>
      </w:r>
      <w:r w:rsidR="006C1538">
        <w:rPr>
          <w:sz w:val="32"/>
          <w:szCs w:val="32"/>
        </w:rPr>
        <w:t xml:space="preserve">Information </w:t>
      </w:r>
      <w:r>
        <w:rPr>
          <w:sz w:val="32"/>
          <w:szCs w:val="32"/>
        </w:rPr>
        <w:t>Protection in the Cloud</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64ED4CDE" w:rsidR="00941203" w:rsidRPr="00957C11" w:rsidRDefault="009429AE" w:rsidP="006C1538">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w:t>
            </w:r>
            <w:r w:rsidR="006C1538">
              <w:rPr>
                <w:iCs/>
                <w:color w:val="000000"/>
                <w:sz w:val="18"/>
                <w:szCs w:val="18"/>
              </w:rPr>
              <w:t>d</w:t>
            </w:r>
            <w:r>
              <w:rPr>
                <w:iCs/>
                <w:color w:val="000000"/>
                <w:sz w:val="18"/>
                <w:szCs w:val="18"/>
              </w:rPr>
              <w:t xml:space="preserv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w:t>
            </w:r>
            <w:r w:rsidR="006C1538">
              <w:rPr>
                <w:iCs/>
                <w:color w:val="000000"/>
                <w:sz w:val="18"/>
                <w:szCs w:val="18"/>
              </w:rPr>
              <w:t>network information security</w:t>
            </w:r>
            <w:r>
              <w:rPr>
                <w:iCs/>
                <w:color w:val="000000"/>
                <w:sz w:val="18"/>
                <w:szCs w:val="18"/>
              </w:rPr>
              <w:t xml:space="preserve">, discuss the shortcomings of current designs, and propose a novel taxonomy of network-enabled usage control architectures that can solve sensitive information transmission problems.  We then close with a description of our information-centric overlay network </w:t>
            </w:r>
            <w:r w:rsidR="00A83139">
              <w:rPr>
                <w:iCs/>
                <w:color w:val="000000"/>
                <w:sz w:val="18"/>
                <w:szCs w:val="18"/>
              </w:rPr>
              <w:t>and discussion of our experience using this system to manage real-time sensitive information flow over commercial cloud systems.</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155CA7FF" w14:textId="5947D97E" w:rsidR="003D5C01" w:rsidRPr="003D5C01" w:rsidRDefault="003D5C01" w:rsidP="003D5C01">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are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sdt>
        <w:sdtPr>
          <w:id w:val="1942491572"/>
          <w:citation/>
        </w:sdtPr>
        <w:sdtContent>
          <w:r w:rsidR="006D3B76">
            <w:fldChar w:fldCharType="begin"/>
          </w:r>
          <w:r w:rsidR="006D3B76">
            <w:instrText xml:space="preserve"> CITATION Tal10 \l 1033 </w:instrText>
          </w:r>
          <w:r w:rsidR="006D3B76">
            <w:fldChar w:fldCharType="separate"/>
          </w:r>
          <w:r w:rsidR="00495DCB">
            <w:rPr>
              <w:noProof/>
            </w:rPr>
            <w:t xml:space="preserve"> (1)</w:t>
          </w:r>
          <w:r w:rsidR="006D3B76">
            <w:fldChar w:fldCharType="end"/>
          </w:r>
        </w:sdtContent>
      </w:sdt>
      <w:r w:rsidRPr="003D5C01">
        <w:t>.</w:t>
      </w:r>
    </w:p>
    <w:p w14:paraId="2C91B263" w14:textId="70C9FACF" w:rsidR="003D5C01" w:rsidRPr="003D5C01" w:rsidRDefault="003D5C01" w:rsidP="00495DCB">
      <w:pPr>
        <w:ind w:firstLine="720"/>
        <w:jc w:val="both"/>
      </w:pPr>
      <w:r w:rsidRPr="003D5C01">
        <w:t>Generally, such systems still do not use current commercial resources as well as they could and use costly data partitioning schemes.  Most of these kinds of systems use some combination of systems managed in house by the enterprise itself rather than exploiting lower cost cloud-enabled services.  Furthermore, many of these systems have large maintenance loads imposed on them as a result of internal infrastructural requirements like data and database management or systems administration.  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495DCB">
            <w:fldChar w:fldCharType="begin"/>
          </w:r>
          <w:r w:rsidR="00495DCB">
            <w:instrText xml:space="preserve"> CITATION USD90 \l 1033 </w:instrText>
          </w:r>
          <w:r w:rsidR="00495DCB">
            <w:fldChar w:fldCharType="separate"/>
          </w:r>
          <w:r w:rsidR="00495DCB">
            <w:rPr>
              <w:noProof/>
            </w:rPr>
            <w:t xml:space="preserve"> (2)</w:t>
          </w:r>
          <w:r w:rsidR="00495DCB">
            <w:fldChar w:fldCharType="end"/>
          </w:r>
        </w:sdtContent>
      </w:sdt>
      <w:r w:rsidRPr="003D5C01">
        <w:t>.</w:t>
      </w:r>
    </w:p>
    <w:p w14:paraId="69C16B03" w14:textId="5263C45B" w:rsidR="003D5C01" w:rsidRPr="003D5C01" w:rsidRDefault="003D5C01" w:rsidP="003D5C01">
      <w:pPr>
        <w:jc w:val="both"/>
      </w:pPr>
      <w:r>
        <w:lastRenderedPageBreak/>
        <w:tab/>
      </w:r>
      <w:r w:rsidRPr="003D5C01">
        <w:t xml:space="preserve">Finally, the length of time between when a sensitive document or other type of data artifact is requested and when it can be delivered to a requester with acceptable need to view that artifact </w:t>
      </w:r>
      <w:r w:rsidR="004744B7">
        <w:t xml:space="preserve">can </w:t>
      </w:r>
      <w:r w:rsidR="004C3223">
        <w:t xml:space="preserve">be </w:t>
      </w:r>
      <w:r w:rsidR="004C3223" w:rsidRPr="003D5C01">
        <w:t>prohibitively</w:t>
      </w:r>
      <w:r w:rsidRPr="003D5C01">
        <w:t xml:space="preserve"> long.  These kinds of sensitive artifacts, usually maintained on partitioned networks or systems, </w:t>
      </w:r>
      <w:r w:rsidR="004744B7">
        <w:t xml:space="preserve">can </w:t>
      </w:r>
      <w:r w:rsidRPr="003D5C01">
        <w:t xml:space="preserve">require </w:t>
      </w:r>
      <w:r w:rsidR="004744B7">
        <w:t>extensive</w:t>
      </w:r>
      <w:r w:rsidRPr="003D5C01">
        <w:t xml:space="preserve"> review by specially trained reviewers prior to release to data requesters.  In cases where acquisition of this data is under hard time constraints like sudden market shifts or other unexpected conditional changes </w:t>
      </w:r>
      <w:r>
        <w:t xml:space="preserve">this </w:t>
      </w:r>
      <w:r w:rsidRPr="003D5C01">
        <w:t>long review time can result in consequences ranging from financial losses to loss of life.</w:t>
      </w:r>
    </w:p>
    <w:p w14:paraId="461F9C22" w14:textId="65547CF6" w:rsidR="003D5C01" w:rsidRPr="003D5C01" w:rsidRDefault="003D5C01" w:rsidP="00CB7178">
      <w:pPr>
        <w:ind w:firstLine="720"/>
        <w:jc w:val="both"/>
      </w:pPr>
      <w:r w:rsidRPr="003D5C01">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495DCB">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495DCB">
            <w:rPr>
              <w:noProof/>
            </w:rPr>
            <w:t>(4)</w:t>
          </w:r>
          <w:r w:rsidR="00CB7178">
            <w:fldChar w:fldCharType="end"/>
          </w:r>
        </w:sdtContent>
      </w:sdt>
      <w:r w:rsidRPr="003D5C01">
        <w:t>.</w:t>
      </w:r>
      <w:r w:rsidR="00CB7178">
        <w:t xml:space="preserve">  </w:t>
      </w:r>
      <w:r w:rsidRPr="003D5C01">
        <w:t>Cloud systems certainly exhibit economic incentives for use, providing cost savings and flexibility, but they also have distinct disadvantages as well</w:t>
      </w:r>
      <w:r w:rsidR="00CB7178">
        <w:t xml:space="preserve"> </w:t>
      </w:r>
      <w:sdt>
        <w:sdtPr>
          <w:id w:val="-1267375366"/>
          <w:citation/>
        </w:sdtPr>
        <w:sdtContent>
          <w:r w:rsidR="00DA3851">
            <w:fldChar w:fldCharType="begin"/>
          </w:r>
          <w:r w:rsidR="00DA3851">
            <w:instrText xml:space="preserve"> CITATION Pea10 \l 1033 </w:instrText>
          </w:r>
          <w:r w:rsidR="00DA3851">
            <w:fldChar w:fldCharType="separate"/>
          </w:r>
          <w:r w:rsidR="00495DCB">
            <w:rPr>
              <w:noProof/>
            </w:rPr>
            <w:t>(5)</w:t>
          </w:r>
          <w:r w:rsidR="00DA3851">
            <w:fldChar w:fldCharType="end"/>
          </w:r>
        </w:sdtContent>
      </w:sdt>
      <w:r w:rsidR="00DA3851">
        <w:t>.</w:t>
      </w:r>
    </w:p>
    <w:p w14:paraId="51466D61" w14:textId="7433F2A3"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495DCB">
            <w:rPr>
              <w:noProof/>
            </w:rPr>
            <w:t>(6)</w:t>
          </w:r>
          <w:r w:rsidR="00CB6A80">
            <w:fldChar w:fldCharType="end"/>
          </w:r>
        </w:sdtContent>
      </w:sdt>
      <w:r w:rsidR="00116881">
        <w:t>.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495DCB">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495DCB">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495DCB">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495DCB">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0E213ED7" w:rsidR="00DF00CC" w:rsidRDefault="00F02B87" w:rsidP="00AE0CBF">
      <w:pPr>
        <w:ind w:firstLine="720"/>
        <w:jc w:val="both"/>
      </w:pPr>
      <w:r w:rsidRPr="00E610ED">
        <w:t xml:space="preserve">The Unified Cross Domain Management Office (UCDMO) supports efforts to develop other specific solutions that have been presented over the past few years to handle this kind of information management.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495DCB">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495DCB">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495DCB">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495DCB">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easily flow both from a higher sensitivity domain to a lower sensitivity domain, and from lower to higher as well.  They generally act over both primary data (say, a document) and metadata over that primary data as well.  Note that in these system</w:t>
      </w:r>
      <w:r w:rsidR="004B3057">
        <w:t>s</w:t>
      </w:r>
      <w:r w:rsidR="003D5C01" w:rsidRPr="003D5C01">
        <w:t>, in most cases, human intervention is still required to adequately review data prior to passing into lower security domains.</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495DCB">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lastRenderedPageBreak/>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0B519D54"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75C0A8AE" w14:textId="62921801" w:rsidR="003D5C01" w:rsidRPr="003D5C01" w:rsidRDefault="003D5C01" w:rsidP="00DF00C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495DCB">
            <w:rPr>
              <w:noProof/>
            </w:rPr>
            <w:t xml:space="preserve"> (12)</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B141B69" w14:textId="77777777" w:rsidR="003D5C01" w:rsidRDefault="003D5C01" w:rsidP="003D5C01">
      <w:pPr>
        <w:jc w:val="both"/>
      </w:pPr>
    </w:p>
    <w:p w14:paraId="543F81BD" w14:textId="5EA78ECC" w:rsidR="00A074BB" w:rsidRDefault="00A074BB" w:rsidP="003D5C01">
      <w:pPr>
        <w:jc w:val="both"/>
      </w:pPr>
      <w:r>
        <w:rPr>
          <w:noProof/>
        </w:rPr>
        <w:drawing>
          <wp:inline distT="0" distB="0" distL="0" distR="0" wp14:anchorId="5D1E1175" wp14:editId="4346F752">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28FF50D1" w14:textId="77777777" w:rsidR="00B7695F" w:rsidRDefault="00B7695F" w:rsidP="003D5C01">
      <w:pPr>
        <w:jc w:val="both"/>
      </w:pPr>
    </w:p>
    <w:p w14:paraId="65CC3339" w14:textId="7AEA8CC6" w:rsidR="00B7695F" w:rsidRPr="00B7695F" w:rsidRDefault="00B7695F" w:rsidP="00B7695F">
      <w:pPr>
        <w:jc w:val="center"/>
        <w:rPr>
          <w:b/>
          <w:bCs/>
        </w:rPr>
      </w:pPr>
      <w:r>
        <w:rPr>
          <w:lang w:val="id-ID"/>
        </w:rPr>
        <w:t>Figure 2</w:t>
      </w:r>
      <w:r w:rsidRPr="003D5B84">
        <w:rPr>
          <w:lang w:val="id-ID"/>
        </w:rPr>
        <w:t xml:space="preserve">. </w:t>
      </w:r>
      <w:r>
        <w:t>Service-centric Cross-Domain Notional Architecture</w:t>
      </w:r>
    </w:p>
    <w:p w14:paraId="07CD900E" w14:textId="77777777" w:rsidR="003D5C01" w:rsidRPr="003D5C01" w:rsidRDefault="003D5C01" w:rsidP="003D5C01">
      <w:pPr>
        <w:jc w:val="both"/>
      </w:pPr>
    </w:p>
    <w:p w14:paraId="741C2F5E" w14:textId="06DD5CA2"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GIG is not a truly open system ---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495DCB">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P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4FC10266" w14:textId="3C2FBA1F" w:rsidR="003D5C01" w:rsidRPr="003D5C01" w:rsidRDefault="003D5C01" w:rsidP="00DF00CC">
      <w:pPr>
        <w:ind w:firstLine="720"/>
        <w:jc w:val="both"/>
      </w:pPr>
      <w:r w:rsidRPr="003D5C01">
        <w:lastRenderedPageBreak/>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495DCB">
            <w:rPr>
              <w:noProof/>
            </w:rPr>
            <w:t xml:space="preserve"> (14)</w:t>
          </w:r>
          <w:r w:rsidR="009A51D7">
            <w:fldChar w:fldCharType="end"/>
          </w:r>
        </w:sdtContent>
      </w:sdt>
      <w:r w:rsidR="009A51D7">
        <w:t>.</w:t>
      </w:r>
    </w:p>
    <w:p w14:paraId="3A85DCF8" w14:textId="77777777" w:rsidR="003D5C01" w:rsidRDefault="003D5C01" w:rsidP="003D5C01">
      <w:pPr>
        <w:jc w:val="both"/>
      </w:pPr>
    </w:p>
    <w:p w14:paraId="148AD08B" w14:textId="597976A0" w:rsidR="00A074BB" w:rsidRDefault="00A074BB" w:rsidP="003D5C01">
      <w:pPr>
        <w:jc w:val="both"/>
      </w:pPr>
      <w:r>
        <w:rPr>
          <w:noProof/>
        </w:rPr>
        <w:drawing>
          <wp:inline distT="0" distB="0" distL="0" distR="0" wp14:anchorId="23C8ADC5" wp14:editId="5E052211">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13278F41" w14:textId="77777777" w:rsidR="00B7695F" w:rsidRDefault="00B7695F" w:rsidP="003D5C01">
      <w:pPr>
        <w:jc w:val="both"/>
      </w:pPr>
    </w:p>
    <w:p w14:paraId="6FAF65E2" w14:textId="01AFE23F" w:rsidR="00B7695F" w:rsidRPr="00B7695F" w:rsidRDefault="00B7695F" w:rsidP="00B7695F">
      <w:pPr>
        <w:jc w:val="center"/>
        <w:rPr>
          <w:b/>
          <w:bCs/>
        </w:rPr>
      </w:pPr>
      <w:r>
        <w:rPr>
          <w:lang w:val="id-ID"/>
        </w:rPr>
        <w:t>Figure 3</w:t>
      </w:r>
      <w:r w:rsidRPr="003D5B84">
        <w:rPr>
          <w:lang w:val="id-ID"/>
        </w:rPr>
        <w:t xml:space="preserve">. </w:t>
      </w:r>
      <w:r>
        <w:t>Raytheon’s Notional Architecture</w:t>
      </w:r>
    </w:p>
    <w:p w14:paraId="60A5A41D" w14:textId="77777777" w:rsidR="003D5C01" w:rsidRPr="003D5C01" w:rsidRDefault="003D5C01" w:rsidP="003D5C01">
      <w:pPr>
        <w:jc w:val="both"/>
      </w:pPr>
    </w:p>
    <w:p w14:paraId="6E6438E4" w14:textId="02F6E31F" w:rsidR="003D5C01" w:rsidRPr="003D5C01" w:rsidRDefault="003D5C01" w:rsidP="00AE0CBF">
      <w:pPr>
        <w:ind w:firstLine="720"/>
        <w:jc w:val="both"/>
      </w:pP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r w:rsidR="00AE0CBF">
        <w:t xml:space="preserv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P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495DCB">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34B89EF1" w14:textId="77777777" w:rsidR="003D5C01" w:rsidRDefault="003D5C01" w:rsidP="003D5C01">
      <w:pPr>
        <w:jc w:val="both"/>
      </w:pPr>
    </w:p>
    <w:p w14:paraId="05F8DDB1" w14:textId="17CE10B8" w:rsidR="00A074BB" w:rsidRDefault="00A074BB" w:rsidP="003D5C01">
      <w:pPr>
        <w:jc w:val="both"/>
      </w:pPr>
      <w:r>
        <w:rPr>
          <w:noProof/>
        </w:rPr>
        <w:drawing>
          <wp:inline distT="0" distB="0" distL="0" distR="0" wp14:anchorId="57642BF9" wp14:editId="334E45CD">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38730F3" w14:textId="77777777" w:rsidR="00B7695F" w:rsidRDefault="00B7695F" w:rsidP="003D5C01">
      <w:pPr>
        <w:jc w:val="both"/>
      </w:pPr>
    </w:p>
    <w:p w14:paraId="046DBE9D" w14:textId="1445842F" w:rsidR="00B7695F" w:rsidRPr="00B7695F" w:rsidRDefault="00512684" w:rsidP="00B7695F">
      <w:pPr>
        <w:jc w:val="center"/>
        <w:rPr>
          <w:b/>
          <w:bCs/>
        </w:rPr>
      </w:pPr>
      <w:r>
        <w:rPr>
          <w:lang w:val="id-ID"/>
        </w:rPr>
        <w:t>Figure 4</w:t>
      </w:r>
      <w:r w:rsidR="00B7695F" w:rsidRPr="003D5B84">
        <w:rPr>
          <w:lang w:val="id-ID"/>
        </w:rPr>
        <w:t xml:space="preserve">. </w:t>
      </w:r>
      <w:r w:rsidR="00B7695F">
        <w:t>Booz | Allen | Hamilton’s Notional Architecture</w:t>
      </w:r>
    </w:p>
    <w:p w14:paraId="68737CF2" w14:textId="77777777" w:rsidR="00DF00CC" w:rsidRDefault="00DF00CC" w:rsidP="003D5C01">
      <w:pPr>
        <w:jc w:val="both"/>
      </w:pPr>
    </w:p>
    <w:p w14:paraId="6D3AF07A" w14:textId="32481A0C" w:rsidR="003D5C01" w:rsidRPr="003D5C01" w:rsidRDefault="003D5C01" w:rsidP="00AE0CBF">
      <w:pPr>
        <w:ind w:firstLine="720"/>
        <w:jc w:val="both"/>
      </w:pPr>
      <w:r w:rsidRPr="003D5C01">
        <w:lastRenderedPageBreak/>
        <w:t xml:space="preserve">Figure </w:t>
      </w:r>
      <w:r w:rsidR="00B678F8">
        <w:t>4</w:t>
      </w:r>
      <w:r w:rsidRPr="003D5C01">
        <w:t xml:space="preserve"> embodies BAH's thinking with respect to </w:t>
      </w:r>
      <w:proofErr w:type="gramStart"/>
      <w:r w:rsidRPr="003D5C01">
        <w:t>cross 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Pr="003D5C01">
        <w:t>cross domain</w:t>
      </w:r>
      <w:proofErr w:type="gramEnd"/>
      <w:r w:rsidRPr="003D5C01">
        <w:t xml:space="preserve"> management system.</w:t>
      </w:r>
      <w:r w:rsidR="00AE0CBF">
        <w:t xml:space="preserve">  </w:t>
      </w:r>
      <w:r w:rsidRPr="003D5C01">
        <w:t xml:space="preserve">While not as detailed as the Raytheon proposal, this does have similar elements.  Here, we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2FA3E247" w14:textId="734EFA6A" w:rsidR="00E610ED" w:rsidRPr="00E610ED" w:rsidRDefault="00E610ED" w:rsidP="00CD01FA">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data security, but nothing else.  In each of these current system architectures, users are only allowed to exchange one type of information per domain.  The physical instantiations of these models are locked by operational policy to a single classification level.  Users cannot, for example, have Top Secret material on a network accredited for Secret material.</w:t>
      </w:r>
    </w:p>
    <w:p w14:paraId="32AA9217" w14:textId="2EC50BCE" w:rsidR="00F02B87" w:rsidRDefault="00E610ED" w:rsidP="00F02B87">
      <w:pPr>
        <w:ind w:firstLine="720"/>
        <w:jc w:val="both"/>
      </w:pPr>
      <w:r w:rsidRPr="00E610ED">
        <w:t>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w:t>
      </w:r>
      <w:r w:rsidR="00CD01FA">
        <w:t>r costs and increase reliability</w:t>
      </w:r>
      <w:r w:rsidRPr="00E610ED">
        <w:t xml:space="preserve">.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all </w:t>
      </w:r>
      <w:r w:rsidRPr="00E610ED">
        <w:t>conditions, including when they are under attack or compromise</w:t>
      </w:r>
      <w:sdt>
        <w:sdtPr>
          <w:id w:val="-1452088384"/>
          <w:citation/>
        </w:sdtPr>
        <w:sdtContent>
          <w:r w:rsidR="00507112">
            <w:fldChar w:fldCharType="begin"/>
          </w:r>
          <w:r w:rsidR="00507112">
            <w:instrText xml:space="preserve"> CITATION Ros09 \l 1033 </w:instrText>
          </w:r>
          <w:r w:rsidR="00507112">
            <w:fldChar w:fldCharType="separate"/>
          </w:r>
          <w:r w:rsidR="00495DCB">
            <w:rPr>
              <w:noProof/>
            </w:rPr>
            <w:t xml:space="preserve"> (15)</w:t>
          </w:r>
          <w:r w:rsidR="00507112">
            <w:fldChar w:fldCharType="end"/>
          </w:r>
        </w:sdtContent>
      </w:sdt>
      <w:r w:rsidR="00CD01FA">
        <w:t>.</w:t>
      </w:r>
    </w:p>
    <w:p w14:paraId="44555F92" w14:textId="1850D846" w:rsidR="00F02B87" w:rsidRDefault="00E610ED" w:rsidP="00F02B87">
      <w:pPr>
        <w:ind w:firstLine="720"/>
        <w:jc w:val="both"/>
      </w:pPr>
      <w:r w:rsidRPr="00E610ED">
        <w:t>This work introduces the notion of usage management embedded in a delivery network itself.  It also provides an in-depth analysis of the challenges and principles involved in the design of an open, inter-operable usage management framework that operates over this kind of environment. Besides referencing the material we have covered in depth 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495DCB">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495DCB">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495DCB">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495DCB">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495DCB">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495DCB">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495DCB">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495DCB">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495DCB">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495DCB">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495DCB">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495DCB">
            <w:rPr>
              <w:noProof/>
            </w:rPr>
            <w:t>(27)</w:t>
          </w:r>
          <w:r w:rsidR="00532668">
            <w:fldChar w:fldCharType="end"/>
          </w:r>
        </w:sdtContent>
      </w:sdt>
      <w:r w:rsidR="00532668">
        <w:t xml:space="preserve"> </w:t>
      </w:r>
      <w:r w:rsidRPr="00E610ED">
        <w:t>towards the devel</w:t>
      </w:r>
      <w:r w:rsidR="009E1F75">
        <w:t>opment of supporting frameworks.</w:t>
      </w:r>
    </w:p>
    <w:p w14:paraId="2E46F12F" w14:textId="60F9DEFD"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proofErr w:type="gramStart"/>
      <w:r w:rsidRPr="00E610ED">
        <w:t>domains which</w:t>
      </w:r>
      <w:proofErr w:type="gramEnd"/>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495DCB">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5DA2F9FC" w14:textId="4B07D0F9" w:rsidR="008920D7" w:rsidRDefault="008920D7" w:rsidP="00FB78EF">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w:t>
      </w:r>
      <w:r w:rsidR="005E1871">
        <w:rPr>
          <w:bCs/>
        </w:rPr>
        <w:t>four</w:t>
      </w:r>
      <w:r w:rsidRPr="00F77566">
        <w:rPr>
          <w:bCs/>
        </w:rPr>
        <w:t xml:space="preserve"> distinct types of integrated policy-centric usage management systems, as shown in Table </w:t>
      </w:r>
      <w:r w:rsidR="00FB78EF">
        <w:rPr>
          <w:bCs/>
        </w:rPr>
        <w:t>1.</w:t>
      </w:r>
      <w:r w:rsidRPr="00F77566">
        <w:rPr>
          <w:bCs/>
        </w:rPr>
        <w:t xml:space="preserve">  Of these </w:t>
      </w:r>
      <w:r w:rsidR="005E1871">
        <w:rPr>
          <w:bCs/>
        </w:rPr>
        <w:t>four</w:t>
      </w:r>
      <w:r w:rsidRPr="00F77566">
        <w:rPr>
          <w:bCs/>
        </w:rPr>
        <w:t>, only the first two levels are represented in current system models.</w:t>
      </w:r>
    </w:p>
    <w:p w14:paraId="3FB026FF" w14:textId="77777777" w:rsidR="00C369C2" w:rsidRDefault="00C369C2" w:rsidP="00F77566">
      <w:pPr>
        <w:ind w:firstLine="720"/>
        <w:rPr>
          <w:bCs/>
        </w:rPr>
      </w:pP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15B768DA" w:rsidR="008920D7" w:rsidRPr="00AE0CBF" w:rsidRDefault="008920D7" w:rsidP="00AE0CBF">
      <w:pPr>
        <w:ind w:firstLine="720"/>
        <w:jc w:val="both"/>
        <w:rPr>
          <w:bCs/>
        </w:rPr>
      </w:pPr>
      <w:r w:rsidRPr="00F77566">
        <w:rPr>
          <w:bCs/>
        </w:rPr>
        <w:t>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That said however, many of the supporting infrastructural services, like identification management or 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77777777" w:rsidR="005E1871" w:rsidRDefault="00FB78EF" w:rsidP="005E1871">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r w:rsidR="005E1871" w:rsidRPr="005E1871">
        <w:rPr>
          <w:bCs/>
        </w:rPr>
        <w:t xml:space="preserve"> </w:t>
      </w:r>
    </w:p>
    <w:p w14:paraId="48512E09" w14:textId="5230A091" w:rsidR="005E1871" w:rsidRDefault="005E1871" w:rsidP="005E1871">
      <w:pPr>
        <w:ind w:firstLine="720"/>
        <w:jc w:val="both"/>
        <w:rPr>
          <w:bCs/>
        </w:rPr>
      </w:pPr>
      <w:r w:rsidRPr="00F77566">
        <w:rPr>
          <w:bCs/>
        </w:rPr>
        <w:t>Generally one of the domains supports more sensitive information than the other, but that is not always the case.  In the models we have examined this has certainly been true, but classified info</w:t>
      </w:r>
      <w:r>
        <w:rPr>
          <w:bCs/>
        </w:rPr>
        <w:t xml:space="preserve">rmation for example </w:t>
      </w:r>
      <w:r w:rsidRPr="00F77566">
        <w:rPr>
          <w:bCs/>
        </w:rPr>
        <w:t xml:space="preserve">is </w:t>
      </w:r>
      <w:r>
        <w:rPr>
          <w:bCs/>
        </w:rPr>
        <w:t>commonly stored in compartments</w:t>
      </w:r>
      <w:r w:rsidRPr="00F77566">
        <w:rPr>
          <w:bCs/>
        </w:rPr>
        <w:t xml:space="preserve"> which are </w:t>
      </w:r>
      <w:r>
        <w:rPr>
          <w:bCs/>
        </w:rPr>
        <w:t>separated by clear need-to-know</w:t>
      </w:r>
      <w:r w:rsidRPr="00F77566">
        <w:rPr>
          <w:bCs/>
        </w:rPr>
        <w:t xml:space="preserve"> policies enforced by access lists and classification guides.  These kinds of compartments contain information at similar levels of classification, but contain distinct informational eleme</w:t>
      </w:r>
      <w:r>
        <w:rPr>
          <w:bCs/>
        </w:rPr>
        <w:t>nts that should not be combined.</w:t>
      </w:r>
    </w:p>
    <w:p w14:paraId="64AC4A12" w14:textId="5ABEEF09"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a priori knowledge of the domains the guard connects, and therefore are tightly coupled those domains.  Furthermore, the filter elements are standalone within the system, in this classification, not availing themselves of external resources.  Rather, they examining information transiting through the filter based purely on </w:t>
      </w:r>
      <w:r>
        <w:rPr>
          <w:bCs/>
        </w:rPr>
        <w:t xml:space="preserve">the content of that information.  </w:t>
      </w:r>
      <w:r w:rsidRPr="00F77566">
        <w:rPr>
          <w:bCs/>
        </w:rPr>
        <w:t>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even very limited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234CE07F" w:rsidR="00C40930" w:rsidRDefault="008920D7" w:rsidP="00C40930">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r w:rsidR="00AE0CBF">
        <w:rPr>
          <w:bCs/>
        </w:rPr>
        <w:t xml:space="preserve">  </w:t>
      </w:r>
      <w:r w:rsidRPr="00F77566">
        <w:rPr>
          <w:bCs/>
        </w:rPr>
        <w:t xml:space="preserve">Here, we again have at least two domains, Domain A and Domain B, though we could potentially have more.  </w:t>
      </w:r>
      <w:r w:rsidR="00FB78EF">
        <w:rPr>
          <w:bCs/>
        </w:rPr>
        <w:t xml:space="preserve">ϕ </w:t>
      </w:r>
      <w:r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C40930">
        <w:rPr>
          <w:bCs/>
        </w:rPr>
        <w:t xml:space="preserve">data artifact in a data package.  </w:t>
      </w:r>
      <w:r w:rsidR="00C40930"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C40930">
        <w:rPr>
          <w:bCs/>
        </w:rPr>
        <w:t>tion transfer decisions as well.</w:t>
      </w:r>
    </w:p>
    <w:p w14:paraId="457368F2" w14:textId="77777777" w:rsidR="00C40930" w:rsidRPr="00F77566" w:rsidRDefault="00C40930" w:rsidP="00C40930">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sidR="00495DCB">
            <w:rPr>
              <w:bCs/>
              <w:noProof/>
            </w:rPr>
            <w:t xml:space="preserve"> </w:t>
          </w:r>
          <w:r w:rsidR="00495DCB">
            <w:rPr>
              <w:noProof/>
            </w:rPr>
            <w:t>(29)</w:t>
          </w:r>
          <w:r>
            <w:rPr>
              <w:bCs/>
            </w:rPr>
            <w:fldChar w:fldCharType="end"/>
          </w:r>
        </w:sdtContent>
      </w:sdt>
      <w:r w:rsidRPr="00F77566">
        <w:rPr>
          <w:bCs/>
        </w:rPr>
        <w:t>.</w:t>
      </w:r>
    </w:p>
    <w:p w14:paraId="778DD69D" w14:textId="77777777" w:rsidR="00C40930" w:rsidRDefault="00C40930" w:rsidP="00C40930">
      <w:pPr>
        <w:ind w:firstLine="720"/>
        <w:jc w:val="both"/>
        <w:rPr>
          <w:bCs/>
        </w:rPr>
      </w:pP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19C22C6" w:rsidR="00F77566" w:rsidRDefault="00C40930" w:rsidP="00C40930">
      <w:pPr>
        <w:ind w:firstLine="720"/>
        <w:jc w:val="both"/>
        <w:rPr>
          <w:bCs/>
        </w:rPr>
      </w:pPr>
      <w:r w:rsidRPr="00F77566">
        <w:rPr>
          <w:bCs/>
        </w:rPr>
        <w:t xml:space="preserve">Policy evaluation in this model has begun to penetrate into the routing elements of the specific domain networks. </w:t>
      </w: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495DCB">
            <w:rPr>
              <w:bCs/>
              <w:noProof/>
            </w:rPr>
            <w:t xml:space="preserve"> </w:t>
          </w:r>
          <w:r w:rsidR="00495DCB">
            <w:rPr>
              <w:noProof/>
            </w:rPr>
            <w:t>(30)</w:t>
          </w:r>
          <w:r>
            <w:rPr>
              <w:bCs/>
            </w:rPr>
            <w:fldChar w:fldCharType="end"/>
          </w:r>
        </w:sdtContent>
      </w:sdt>
      <w:r>
        <w:rPr>
          <w:bCs/>
        </w:rPr>
        <w:t xml:space="preserve">.  </w:t>
      </w: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Pr>
          <w:bCs/>
        </w:rPr>
        <w:t>equire this kind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419EFB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w:t>
      </w:r>
      <w:r w:rsidRPr="00F77566">
        <w:rPr>
          <w:bCs/>
        </w:rPr>
        <w:lastRenderedPageBreak/>
        <w:t>under different routing segments.  In cases of network compromise, this kind of dynamic policy enforcement can also allow for quick node exci</w:t>
      </w:r>
      <w:r w:rsidR="00B776D3">
        <w:rPr>
          <w:bCs/>
        </w:rPr>
        <w:t>sion as well.</w:t>
      </w:r>
    </w:p>
    <w:p w14:paraId="7E78A560" w14:textId="33057254" w:rsidR="00F77566" w:rsidRDefault="008920D7" w:rsidP="00AE0CBF">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E0CBF">
        <w:rPr>
          <w:bCs/>
        </w:rPr>
        <w:t xml:space="preserve">  </w:t>
      </w:r>
      <w:r w:rsidR="005E1871">
        <w:rPr>
          <w:bCs/>
        </w:rPr>
        <w:t>The</w:t>
      </w:r>
      <w:r w:rsidRPr="00F77566">
        <w:rPr>
          <w:bCs/>
        </w:rPr>
        <w:t xml:space="preserv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r w:rsidR="00AE0CBF">
        <w:rPr>
          <w:bCs/>
        </w:rPr>
        <w:t xml:space="preserve">  </w:t>
      </w: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723CCE3F" w14:textId="47073687"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77777777" w:rsidR="00D072D5" w:rsidRDefault="00D072D5" w:rsidP="00D072D5">
      <w:pPr>
        <w:ind w:firstLine="720"/>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proofErr w:type="gramStart"/>
      <w:r w:rsidRPr="00D072D5">
        <w:t>for both</w:t>
      </w:r>
      <w:proofErr w:type="gramEnd"/>
      <w:r w:rsidRPr="00D072D5">
        <w:t xml:space="preserve"> initial configuration information as well as logging and auditing.  We have implemented this required infrastructure using Amazon's Simple Storage Service (S3)</w:t>
      </w:r>
      <w:proofErr w:type="gramStart"/>
      <w:r w:rsidRPr="00D072D5">
        <w:t>,</w:t>
      </w:r>
      <w:proofErr w:type="gramEnd"/>
      <w:r w:rsidRPr="00D072D5">
        <w:t xml:space="preserve"> accessible from both Rackspace and Amazon hosted virtual machines.</w:t>
      </w:r>
    </w:p>
    <w:p w14:paraId="6C01F76F" w14:textId="77777777" w:rsidR="00D072D5" w:rsidRDefault="00D072D5" w:rsidP="00D072D5">
      <w:pPr>
        <w:ind w:firstLine="720"/>
      </w:pPr>
      <w:r w:rsidRPr="00D072D5">
        <w:t xml:space="preserve">The specific technical components are Amazon EC2, Amazon S2,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proofErr w:type="spellStart"/>
      <w:r w:rsidRPr="00D072D5">
        <w:t>intances</w:t>
      </w:r>
      <w:proofErr w:type="spellEnd"/>
      <w:r w:rsidRPr="00D072D5">
        <w:t xml:space="preserve"> or equivalent, and are bootstrapped with the </w:t>
      </w:r>
      <w:proofErr w:type="spellStart"/>
      <w:r w:rsidRPr="00D072D5">
        <w:t>appopriate</w:t>
      </w:r>
      <w:proofErr w:type="spellEnd"/>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proofErr w:type="spellStart"/>
      <w:r w:rsidRPr="00D072D5">
        <w:t>sematics</w:t>
      </w:r>
      <w:proofErr w:type="spellEnd"/>
      <w:r w:rsidRPr="00D072D5">
        <w:t xml:space="preserve"> over HTTP, S3 stores arbitrary documents associated with specific keys in buckets.  </w:t>
      </w:r>
      <w:proofErr w:type="gramStart"/>
      <w:r w:rsidRPr="00D072D5">
        <w:t>These documents can be downloaded by any authorized participant</w:t>
      </w:r>
      <w:proofErr w:type="gramEnd"/>
      <w:r w:rsidRPr="00D072D5">
        <w:t xml:space="preserve">, where </w:t>
      </w:r>
      <w:proofErr w:type="spellStart"/>
      <w:r w:rsidRPr="00D072D5">
        <w:t>authoriztion</w:t>
      </w:r>
      <w:proofErr w:type="spellEnd"/>
      <w:r w:rsidRPr="00D072D5">
        <w:t xml:space="preserve"> state is proven by </w:t>
      </w:r>
      <w:proofErr w:type="spellStart"/>
      <w:r w:rsidRPr="00D072D5">
        <w:t>possention</w:t>
      </w:r>
      <w:proofErr w:type="spellEnd"/>
      <w:r w:rsidRPr="00D072D5">
        <w:t xml:space="preserve"> of a secret key.  In this way, we can store the global configuration of a specific overlay network in a single location from which every node can access </w:t>
      </w:r>
      <w:proofErr w:type="spellStart"/>
      <w:r w:rsidRPr="00D072D5">
        <w:t>informationm</w:t>
      </w:r>
      <w:proofErr w:type="spellEnd"/>
      <w:r w:rsidRPr="00D072D5">
        <w:t xml:space="preserve"> with respect to their pending role and needed </w:t>
      </w:r>
      <w:proofErr w:type="spellStart"/>
      <w:r w:rsidRPr="00D072D5">
        <w:t>configuraiton</w:t>
      </w:r>
      <w:proofErr w:type="spellEnd"/>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p>
    <w:p w14:paraId="6C819029" w14:textId="77777777" w:rsidR="00D072D5" w:rsidRDefault="00D072D5" w:rsidP="00D072D5">
      <w:pPr>
        <w:ind w:firstLine="720"/>
      </w:pPr>
      <w:r w:rsidRPr="00D072D5">
        <w:t>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More importantly, it simplifies post-experimental data analysis as any information logged to the centralized logging system during a given experimental run can be easily read and analyzed after the fact.</w:t>
      </w:r>
    </w:p>
    <w:p w14:paraId="5C468E4A" w14:textId="0CD00868" w:rsidR="00D072D5" w:rsidRPr="00D072D5" w:rsidRDefault="00D072D5" w:rsidP="00D072D5">
      <w:pPr>
        <w:ind w:firstLine="720"/>
      </w:pPr>
      <w:r w:rsidRPr="00D072D5">
        <w:t xml:space="preserve">In order to manage and initialize </w:t>
      </w:r>
      <w:proofErr w:type="gramStart"/>
      <w:r w:rsidRPr="00D072D5">
        <w:t>all overlay nodes</w:t>
      </w:r>
      <w:proofErr w:type="gramEnd"/>
      <w:r w:rsidRPr="00D072D5">
        <w:t xml:space="preserve">, </w:t>
      </w:r>
      <w:proofErr w:type="gramStart"/>
      <w:r w:rsidRPr="00D072D5">
        <w:t>we use Capistrano</w:t>
      </w:r>
      <w:proofErr w:type="gramEnd"/>
      <w:r w:rsidRPr="00D072D5">
        <w:t xml:space="preserve">.  Capistrano is a distributed deployment system initially used to manage large clusters of Ruby-on-Rails systems.  It has since expanded into a general-purpose distributed deployment </w:t>
      </w:r>
      <w:proofErr w:type="spellStart"/>
      <w:r w:rsidRPr="00D072D5">
        <w:t>toolchain</w:t>
      </w:r>
      <w:proofErr w:type="spellEnd"/>
      <w:r w:rsidRPr="00D072D5">
        <w:t xml:space="preserve">, tightly </w:t>
      </w:r>
      <w:proofErr w:type="spellStart"/>
      <w:r w:rsidRPr="00D072D5">
        <w:t>integratd</w:t>
      </w:r>
      <w:proofErr w:type="spellEnd"/>
      <w:r w:rsidRPr="00D072D5">
        <w:t xml:space="preserve"> with </w:t>
      </w:r>
      <w:proofErr w:type="spellStart"/>
      <w:r w:rsidRPr="00D072D5">
        <w:t>Git</w:t>
      </w:r>
      <w:proofErr w:type="spellEnd"/>
      <w:r w:rsidRPr="00D072D5">
        <w:t>.  This allows us to bootstrap different configurations of networks from a single command-and-control node simply and efficiently.</w:t>
      </w:r>
    </w:p>
    <w:p w14:paraId="690745FF" w14:textId="77777777" w:rsidR="00D072D5" w:rsidRDefault="00D072D5" w:rsidP="00D072D5">
      <w:pPr>
        <w:ind w:firstLine="720"/>
      </w:pPr>
      <w:r>
        <w:t>The</w:t>
      </w:r>
      <w:r w:rsidRPr="00D072D5">
        <w:t xml:space="preserve"> system is a distributed content network distributed across multiple nodes and domains providing cross-domain managed data access.  This network consists of clients accessing information through a user interface subsystem that accesses data from external sources and a distributed cross-domain information network.  Queries are submitted through a client, to an application server, then to external services and information nodes.</w:t>
      </w:r>
    </w:p>
    <w:p w14:paraId="392F2F0F" w14:textId="77777777" w:rsidR="00D072D5" w:rsidRDefault="00D072D5" w:rsidP="00D072D5">
      <w:pPr>
        <w:ind w:firstLine="720"/>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layers of increasing strength based on operational demands.  Finally, secure routing would provide the ability to send data over a more secure link if such a link is available and required.</w:t>
      </w:r>
    </w:p>
    <w:p w14:paraId="36AC7F7C" w14:textId="77777777" w:rsidR="00D072D5" w:rsidRDefault="00D072D5" w:rsidP="00D072D5">
      <w:pPr>
        <w:ind w:firstLine="720"/>
      </w:pPr>
      <w:r w:rsidRPr="00D072D5">
        <w:lastRenderedPageBreak/>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77777777" w:rsidR="00D072D5" w:rsidRDefault="00D072D5" w:rsidP="00D072D5">
      <w:pPr>
        <w:ind w:firstLine="720"/>
      </w:pPr>
      <w:r w:rsidRPr="00D072D5">
        <w:t>Information redaction is generally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FE5BAF">
      <w:pPr>
        <w:ind w:firstLine="720"/>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6FD92E8C" w14:textId="5DF8F158" w:rsidR="00FE5BAF" w:rsidRPr="00D072D5" w:rsidRDefault="00FE5BAF" w:rsidP="00FE5BAF">
      <w:pPr>
        <w:ind w:firstLine="720"/>
      </w:pPr>
      <w:r w:rsidRPr="00D072D5">
        <w:t>The user interface subsystem processes requests and returns information from both Google Maps and the content network based on those requests.  Technically, it is based on the latest version of Ruby on Rails (</w:t>
      </w:r>
      <w:proofErr w:type="spellStart"/>
      <w:r w:rsidRPr="00D072D5">
        <w:t>RoR</w:t>
      </w:r>
      <w:proofErr w:type="spellEnd"/>
      <w:r w:rsidRPr="00D072D5">
        <w:t xml:space="preserve">) using standard </w:t>
      </w:r>
      <w:proofErr w:type="spellStart"/>
      <w:r w:rsidRPr="00D072D5">
        <w:t>RoR</w:t>
      </w:r>
      <w:proofErr w:type="spellEnd"/>
      <w:r w:rsidRPr="00D072D5">
        <w:t xml:space="preserve"> configuration conventions running on top of Ruby 1.9</w:t>
      </w:r>
      <w:proofErr w:type="gramStart"/>
      <w:r w:rsidRPr="00D072D5">
        <w:t>.*</w:t>
      </w:r>
      <w:proofErr w:type="gramEnd"/>
      <w:r w:rsidRPr="00D072D5">
        <w:t>.  We use Rake for deployment, and Gem for component installation.  We use Bundler to maintain consistent application dependency state and RVM to manage Ruby virtual machine versions.  HTML 5 interface elements are defined using SASS and HAML.</w:t>
      </w:r>
    </w:p>
    <w:p w14:paraId="74131A1F" w14:textId="74EBCAB8" w:rsidR="00D072D5" w:rsidRDefault="00D072D5" w:rsidP="00D072D5">
      <w:pPr>
        <w:jc w:val="center"/>
      </w:pPr>
      <w:r>
        <w:rPr>
          <w:noProof/>
        </w:rPr>
        <w:drawing>
          <wp:inline distT="0" distB="0" distL="0" distR="0" wp14:anchorId="14CCE1DE" wp14:editId="5D95906F">
            <wp:extent cx="3088549" cy="2393174"/>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view.pdf"/>
                    <pic:cNvPicPr/>
                  </pic:nvPicPr>
                  <pic:blipFill>
                    <a:blip r:embed="rId17">
                      <a:extLst>
                        <a:ext uri="{28A0092B-C50C-407E-A947-70E740481C1C}">
                          <a14:useLocalDpi xmlns:a14="http://schemas.microsoft.com/office/drawing/2010/main" val="0"/>
                        </a:ext>
                      </a:extLst>
                    </a:blip>
                    <a:stretch>
                      <a:fillRect/>
                    </a:stretch>
                  </pic:blipFill>
                  <pic:spPr>
                    <a:xfrm>
                      <a:off x="0" y="0"/>
                      <a:ext cx="3088549" cy="2393174"/>
                    </a:xfrm>
                    <a:prstGeom prst="rect">
                      <a:avLst/>
                    </a:prstGeom>
                  </pic:spPr>
                </pic:pic>
              </a:graphicData>
            </a:graphic>
          </wp:inline>
        </w:drawing>
      </w:r>
    </w:p>
    <w:p w14:paraId="3629CC1F" w14:textId="29E5F507" w:rsidR="00FE5BAF" w:rsidRPr="00D072D5" w:rsidRDefault="00FE5BAF" w:rsidP="00D072D5">
      <w:pPr>
        <w:jc w:val="center"/>
      </w:pPr>
      <w:r>
        <w:rPr>
          <w:lang w:val="id-ID"/>
        </w:rPr>
        <w:t>Figure 7</w:t>
      </w:r>
      <w:r w:rsidRPr="003D5B84">
        <w:rPr>
          <w:lang w:val="id-ID"/>
        </w:rPr>
        <w:t>.</w:t>
      </w:r>
      <w:r w:rsidR="007550AE">
        <w:t xml:space="preserve">  Envisioned Network Node Interaction</w:t>
      </w:r>
    </w:p>
    <w:p w14:paraId="2F1E5ED7" w14:textId="77777777" w:rsidR="00D072D5" w:rsidRPr="00D072D5" w:rsidRDefault="00D072D5" w:rsidP="00D072D5"/>
    <w:p w14:paraId="3586D046" w14:textId="77777777" w:rsidR="00FE5BAF" w:rsidRDefault="00FE5BAF" w:rsidP="00FE5BAF">
      <w:pPr>
        <w:ind w:firstLine="720"/>
      </w:pPr>
      <w:r w:rsidRPr="00D072D5">
        <w:lastRenderedPageBreak/>
        <w:t>The content network can be configured to run as an HTTP overlay system using HTTP routers and nodes or in a peer-to-peer configuration.  In either case, queries can be submitted to the network from any one of the constituent nodes - note that routers do not store data; rather, they focus solely on routing queries through a hierarchical network.  After initial submission, queries propagate throughout the network based on use</w:t>
      </w:r>
      <w:r>
        <w:t>r-submitted search parameters.</w:t>
      </w:r>
    </w:p>
    <w:p w14:paraId="2DCFD272" w14:textId="77777777" w:rsidR="00C00609" w:rsidRDefault="00FE5BAF" w:rsidP="00C00609">
      <w:pPr>
        <w:ind w:firstLine="720"/>
      </w:pPr>
      <w:r w:rsidRPr="00D072D5">
        <w:t>In both configurations, the common functional flow is built around responding to content queries with information of appropriate sensitivity for a given qu</w:t>
      </w:r>
      <w:r w:rsidR="00C00609">
        <w:t>ery context, as shown in Figure</w:t>
      </w:r>
      <w:r w:rsidRPr="00D072D5">
        <w:t xml:space="preserve"> </w:t>
      </w:r>
      <w:r w:rsidR="00C00609">
        <w:t xml:space="preserve">8.  </w:t>
      </w:r>
      <w:r w:rsidRPr="00D072D5">
        <w:t>In general, systems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77777777" w:rsidR="00C00609" w:rsidRDefault="00C00609" w:rsidP="00C00609">
      <w:pPr>
        <w:ind w:firstLine="720"/>
      </w:pPr>
      <w:r>
        <w:t>Figure 8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Pr="00D072D5">
        <w:t>responses</w:t>
      </w:r>
      <w:r w:rsidR="00FE5BAF" w:rsidRPr="00D072D5">
        <w:t xml:space="preserve"> (in the case of a node) that are managed according to the current environmental context.</w:t>
      </w:r>
    </w:p>
    <w:p w14:paraId="776045F2" w14:textId="5C8B33C0" w:rsidR="00FE5BAF" w:rsidRPr="00D072D5" w:rsidRDefault="00FE5BAF" w:rsidP="00C00609">
      <w:pPr>
        <w:ind w:firstLine="720"/>
      </w:pPr>
      <w:r w:rsidRPr="00D072D5">
        <w:t>The primary components in the router and node systems' application layer are small adapters intended to translate between HTTP protocols and domain components.  They are:</w:t>
      </w:r>
    </w:p>
    <w:p w14:paraId="43684335" w14:textId="77777777" w:rsidR="00FE5BAF" w:rsidRPr="00D072D5" w:rsidRDefault="00FE5BAF" w:rsidP="00FE5BAF"/>
    <w:p w14:paraId="11E7307B" w14:textId="42CFD9C6" w:rsidR="00FE5BAF" w:rsidRPr="00D072D5" w:rsidRDefault="00FE5BAF" w:rsidP="00FE5BAF">
      <w:pPr>
        <w:pStyle w:val="ListParagraph"/>
      </w:pPr>
      <w:r w:rsidRPr="00970972">
        <w:rPr>
          <w:b/>
        </w:rPr>
        <w:t>Cont</w:t>
      </w:r>
      <w:r>
        <w:rPr>
          <w:b/>
        </w:rPr>
        <w:t>ext Manager Client Service (</w:t>
      </w:r>
      <w:proofErr w:type="spellStart"/>
      <w:r>
        <w:rPr>
          <w:b/>
        </w:rPr>
        <w:t>ctx_mgr</w:t>
      </w:r>
      <w:r w:rsidRPr="00970972">
        <w:rPr>
          <w:b/>
        </w:rPr>
        <w:t>_s</w:t>
      </w:r>
      <w:proofErr w:type="spellEnd"/>
      <w:r w:rsidRPr="00970972">
        <w:rPr>
          <w:b/>
        </w:rPr>
        <w:t>)}</w:t>
      </w:r>
      <w:r>
        <w:t xml:space="preserve"> – </w:t>
      </w:r>
      <w:r w:rsidRPr="00D072D5">
        <w:t>This is an adapter between the domain context manager and the external context service.</w:t>
      </w:r>
    </w:p>
    <w:p w14:paraId="6D3BAB8F" w14:textId="77777777" w:rsidR="00FE5BAF" w:rsidRPr="00D072D5" w:rsidRDefault="00FE5BAF" w:rsidP="00FE5BAF">
      <w:pPr>
        <w:pStyle w:val="ListParagraph"/>
      </w:pPr>
      <w:r>
        <w:rPr>
          <w:b/>
        </w:rPr>
        <w:t>Node Service (</w:t>
      </w:r>
      <w:proofErr w:type="spellStart"/>
      <w:r>
        <w:rPr>
          <w:b/>
        </w:rPr>
        <w:t>node</w:t>
      </w:r>
      <w:r w:rsidRPr="00970972">
        <w:rPr>
          <w:b/>
        </w:rPr>
        <w:t>_s</w:t>
      </w:r>
      <w:proofErr w:type="spellEnd"/>
      <w:r w:rsidRPr="00970972">
        <w:rPr>
          <w:b/>
        </w:rPr>
        <w:t>)</w:t>
      </w:r>
      <w:r>
        <w:rPr>
          <w:b/>
        </w:rPr>
        <w:t xml:space="preserve"> </w:t>
      </w:r>
      <w:r>
        <w:t xml:space="preserve">– </w:t>
      </w:r>
      <w:r w:rsidRPr="00D072D5">
        <w:t xml:space="preserve">The node service provides a </w:t>
      </w:r>
      <w:proofErr w:type="spellStart"/>
      <w:r w:rsidRPr="00D072D5">
        <w:t>RESTful</w:t>
      </w:r>
      <w:proofErr w:type="spellEnd"/>
      <w:r w:rsidRPr="00D072D5">
        <w:t xml:space="preserve"> interface to external clients.  All content requests are initially sent to a known node service.  This is essentially the external interface to a given content network.  A content network generally contains many distinct nodes as well.</w:t>
      </w:r>
    </w:p>
    <w:p w14:paraId="253174BA" w14:textId="77777777" w:rsidR="00FE5BAF" w:rsidRPr="00D072D5" w:rsidRDefault="00FE5BAF" w:rsidP="00FE5BAF">
      <w:pPr>
        <w:pStyle w:val="ListParagraph"/>
      </w:pPr>
      <w:r>
        <w:rPr>
          <w:b/>
        </w:rPr>
        <w:t>Router Service (</w:t>
      </w:r>
      <w:proofErr w:type="spellStart"/>
      <w:r>
        <w:rPr>
          <w:b/>
        </w:rPr>
        <w:t>router</w:t>
      </w:r>
      <w:r w:rsidRPr="00970972">
        <w:rPr>
          <w:b/>
        </w:rPr>
        <w:t>_s</w:t>
      </w:r>
      <w:proofErr w:type="spellEnd"/>
      <w:r w:rsidRPr="00970972">
        <w:rPr>
          <w:b/>
        </w:rPr>
        <w:t>)</w:t>
      </w:r>
      <w:r>
        <w:t xml:space="preserve"> – </w:t>
      </w:r>
      <w:r w:rsidRPr="00D072D5">
        <w:t>The router service is essentially a customized HTTP router that dispatches content requests and responses through a hierarchical content network in accordance with established policies and the current environmental context.</w:t>
      </w:r>
    </w:p>
    <w:p w14:paraId="5BF369DE" w14:textId="692E55D3" w:rsidR="00D072D5" w:rsidRDefault="00FE5BAF" w:rsidP="00D072D5">
      <w:pPr>
        <w:pStyle w:val="ListParagraph"/>
      </w:pPr>
      <w:r>
        <w:rPr>
          <w:b/>
        </w:rPr>
        <w:t>Dispatch Service (</w:t>
      </w:r>
      <w:proofErr w:type="spellStart"/>
      <w:r>
        <w:rPr>
          <w:b/>
        </w:rPr>
        <w:t>dispatch</w:t>
      </w:r>
      <w:r w:rsidRPr="00970972">
        <w:rPr>
          <w:b/>
        </w:rPr>
        <w:t>_s</w:t>
      </w:r>
      <w:proofErr w:type="spellEnd"/>
      <w:r w:rsidRPr="00970972">
        <w:rPr>
          <w:b/>
        </w:rPr>
        <w:t>)</w:t>
      </w:r>
      <w:r>
        <w:t xml:space="preserve"> – </w:t>
      </w:r>
      <w:r w:rsidRPr="00D072D5">
        <w:t>This service dispatches information requests to known nodes based on known policies and conte</w:t>
      </w:r>
      <w:r>
        <w:t>xt.</w:t>
      </w:r>
    </w:p>
    <w:p w14:paraId="24316402" w14:textId="5A2C84C5" w:rsidR="00D072D5" w:rsidRDefault="00E128E9" w:rsidP="00D072D5">
      <w:r>
        <w:rPr>
          <w:noProof/>
        </w:rPr>
        <w:drawing>
          <wp:inline distT="0" distB="0" distL="0" distR="0" wp14:anchorId="78EE671C" wp14:editId="661F61E7">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8">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27004D65" w14:textId="5422F718" w:rsidR="00FE5BAF" w:rsidRPr="00D072D5" w:rsidRDefault="00FE5BAF" w:rsidP="00FE5BAF">
      <w:pPr>
        <w:jc w:val="center"/>
      </w:pPr>
      <w:r>
        <w:rPr>
          <w:lang w:val="id-ID"/>
        </w:rPr>
        <w:t>Figure 8</w:t>
      </w:r>
      <w:r w:rsidRPr="003D5B84">
        <w:rPr>
          <w:lang w:val="id-ID"/>
        </w:rPr>
        <w:t xml:space="preserve">. </w:t>
      </w:r>
      <w:r>
        <w:t>Hierarchical Node and Router Structure</w:t>
      </w:r>
    </w:p>
    <w:p w14:paraId="2CFEDF0C" w14:textId="77777777" w:rsidR="00D072D5" w:rsidRPr="00D072D5" w:rsidRDefault="00D072D5" w:rsidP="00D072D5"/>
    <w:p w14:paraId="78697259" w14:textId="77777777" w:rsidR="00D072D5" w:rsidRPr="00D072D5" w:rsidRDefault="00D072D5" w:rsidP="00D072D5">
      <w:r w:rsidRPr="00D072D5">
        <w:t>The domain layer components include:</w:t>
      </w:r>
    </w:p>
    <w:p w14:paraId="0054C3AF" w14:textId="77777777" w:rsidR="00D072D5" w:rsidRPr="00D072D5" w:rsidRDefault="00D072D5" w:rsidP="00D072D5"/>
    <w:p w14:paraId="154C1CB9" w14:textId="0DFE28C6" w:rsidR="00D072D5" w:rsidRPr="00D072D5" w:rsidRDefault="00FE5BAF" w:rsidP="00970972">
      <w:pPr>
        <w:pStyle w:val="ListParagraph"/>
      </w:pPr>
      <w:r>
        <w:rPr>
          <w:b/>
        </w:rPr>
        <w:t>Context Manager (</w:t>
      </w:r>
      <w:proofErr w:type="spellStart"/>
      <w:r>
        <w:rPr>
          <w:b/>
        </w:rPr>
        <w:t>ctx</w:t>
      </w:r>
      <w:r w:rsidR="00970972">
        <w:rPr>
          <w:b/>
        </w:rPr>
        <w:t>_mgr</w:t>
      </w:r>
      <w:proofErr w:type="spellEnd"/>
      <w:r w:rsidR="00970972">
        <w:rPr>
          <w:b/>
        </w:rPr>
        <w:t>)</w:t>
      </w:r>
      <w:r w:rsidR="00D072D5" w:rsidRPr="00970972">
        <w:rPr>
          <w:b/>
        </w:rPr>
        <w:t xml:space="preserve"> </w:t>
      </w:r>
      <w:r w:rsidR="00970972">
        <w:t xml:space="preserve">– </w:t>
      </w:r>
      <w:r w:rsidR="00D072D5" w:rsidRPr="00D072D5">
        <w:t>The context manager client service calls into the context manager service to retrieve the most current contextual information with respect to the content network, attached clients, users, and devices.</w:t>
      </w:r>
    </w:p>
    <w:p w14:paraId="23F6A712" w14:textId="2458EACF" w:rsidR="00D072D5" w:rsidRPr="00D072D5" w:rsidRDefault="00D072D5" w:rsidP="00970972">
      <w:pPr>
        <w:pStyle w:val="ListParagraph"/>
      </w:pPr>
      <w:r w:rsidRPr="00970972">
        <w:rPr>
          <w:b/>
        </w:rPr>
        <w:t>Node (node)</w:t>
      </w:r>
      <w:r w:rsidR="00970972">
        <w:t xml:space="preserve"> – </w:t>
      </w:r>
      <w:r w:rsidRPr="00D072D5">
        <w:t>The node component contains all logic needed to process and respond to information requests.  Nodes manage requests, responses, context evaluation, and usage management mechanism application.</w:t>
      </w:r>
    </w:p>
    <w:p w14:paraId="48742A6A" w14:textId="0234DFB2" w:rsidR="00D072D5" w:rsidRPr="00D072D5" w:rsidRDefault="00D072D5" w:rsidP="00970972">
      <w:pPr>
        <w:pStyle w:val="ListParagraph"/>
      </w:pPr>
      <w:r w:rsidRPr="00970972">
        <w:rPr>
          <w:b/>
        </w:rPr>
        <w:t>Usage Management Mechanism (umm)</w:t>
      </w:r>
      <w:r w:rsidR="00970972">
        <w:t xml:space="preserve"> – </w:t>
      </w:r>
      <w:r w:rsidRPr="00D072D5">
        <w:t>The usage management mechanism will apply rules grouped into policies against a known context to determine the acceptability of an intended action.  It will indicate whether or not that action can proceed.  It can also make changes to a proposed action so that the alternative action can be executed.</w:t>
      </w:r>
    </w:p>
    <w:p w14:paraId="2B8C0C49" w14:textId="417650A2" w:rsidR="00D072D5" w:rsidRPr="00D072D5" w:rsidRDefault="00D072D5" w:rsidP="00970972">
      <w:pPr>
        <w:pStyle w:val="ListParagraph"/>
      </w:pPr>
      <w:r w:rsidRPr="00970972">
        <w:rPr>
          <w:b/>
        </w:rPr>
        <w:t>Router (router)</w:t>
      </w:r>
      <w:r w:rsidR="00970972">
        <w:t xml:space="preserve"> – </w:t>
      </w:r>
      <w:r w:rsidRPr="00D072D5">
        <w:t>Router domain components manage the distribution of information requests and responses, applying managing information dispersal throughout a content network in accordance with context and policy.</w:t>
      </w:r>
    </w:p>
    <w:p w14:paraId="6BAAB29E" w14:textId="53A4C610" w:rsidR="00970972" w:rsidRPr="00D072D5" w:rsidRDefault="00D072D5" w:rsidP="00D072D5">
      <w:pPr>
        <w:pStyle w:val="ListParagraph"/>
      </w:pPr>
      <w:r w:rsidRPr="00970972">
        <w:rPr>
          <w:b/>
        </w:rPr>
        <w:t>Dispatcher (dispatch)</w:t>
      </w:r>
      <w:r w:rsidR="00970972">
        <w:t xml:space="preserve"> – </w:t>
      </w:r>
      <w:r w:rsidRPr="00D072D5">
        <w:t>Dispatchers send requests to known routers or nodes</w:t>
      </w:r>
      <w:r w:rsidR="00970972">
        <w:t xml:space="preserve"> in the larger context network.</w:t>
      </w:r>
      <w:bookmarkStart w:id="0" w:name="_GoBack"/>
      <w:bookmarkEnd w:id="0"/>
    </w:p>
    <w:p w14:paraId="40F30D99" w14:textId="77777777" w:rsidR="00C00609" w:rsidRDefault="00D072D5" w:rsidP="00C00609">
      <w:pPr>
        <w:ind w:firstLine="720"/>
      </w:pPr>
      <w:r w:rsidRPr="00D072D5">
        <w:t>Finally, the sole infrastructure component</w:t>
      </w:r>
      <w:r w:rsidR="00970972">
        <w:t xml:space="preserve"> is the </w:t>
      </w:r>
      <w:r w:rsidRPr="00970972">
        <w:rPr>
          <w:b/>
        </w:rPr>
        <w:t>Informati</w:t>
      </w:r>
      <w:r w:rsidR="00970972" w:rsidRPr="00970972">
        <w:rPr>
          <w:b/>
        </w:rPr>
        <w:t>on and Policy Repository (repo).</w:t>
      </w:r>
      <w:r w:rsidR="00970972">
        <w:t xml:space="preserve">  U</w:t>
      </w:r>
      <w:r w:rsidRPr="00D072D5">
        <w:t>nique to nodes, information and policy repositories contain specific network content, organized by key, and associated policies.</w:t>
      </w:r>
    </w:p>
    <w:p w14:paraId="5540C7D9" w14:textId="77777777" w:rsidR="00C00609" w:rsidRDefault="00D072D5" w:rsidP="00C00609">
      <w:pPr>
        <w:ind w:firstLine="720"/>
      </w:pPr>
      <w:r w:rsidRPr="00D072D5">
        <w:t>We use the same components to assemble non-hierarchical networks, in which nodes have both content and policy storage as well as request response and dispatching responsibilities.  Also note that context management and usage management components are shared between all types of content networks as well as all types of component systems within those networks.  Non-hierarchical nodes and hierarchical routers and nodes all need these kinds of services.</w:t>
      </w:r>
    </w:p>
    <w:p w14:paraId="2FE76A2F" w14:textId="77777777" w:rsidR="00C00609" w:rsidRDefault="00D072D5" w:rsidP="00C00609">
      <w:pPr>
        <w:ind w:firstLine="720"/>
      </w:pPr>
      <w:r w:rsidRPr="00D072D5">
        <w:t xml:space="preserve">This system </w:t>
      </w:r>
      <w:r w:rsidR="00C00609">
        <w:t>uses</w:t>
      </w:r>
      <w:r w:rsidRPr="00D072D5">
        <w:t xml:space="preserve"> attribute based mechanisms for usage management.  The policies defined over content must therefore consist of rules that address usage over an ontology of possible user attributes of concern.  We are specifically interested in a user's primary attributes: mission affiliation, clearance levels (both sensitivity and category), organization, and computational environment (consisting of both device and operating system).  We also make decisions with respect to usage based on a secondary attribute, need-to-use.</w:t>
      </w:r>
    </w:p>
    <w:p w14:paraId="5563006F" w14:textId="77777777" w:rsidR="00C00609" w:rsidRDefault="00D072D5" w:rsidP="00C00609">
      <w:pPr>
        <w:ind w:firstLine="720"/>
      </w:pPr>
      <w:r w:rsidRPr="00D072D5">
        <w:t>Sets differ from orderings in the above table as sets denote membership with no associated value.  Orderings on the other hand have distinct values increasing from left to right in the listed enumerations.  For example, a user can be affiliated with a specific mission in Domain A, ei</w:t>
      </w:r>
      <w:r w:rsidR="00C00609">
        <w:t xml:space="preserve">ther </w:t>
      </w:r>
      <w:proofErr w:type="spellStart"/>
      <w:r w:rsidR="00C00609">
        <w:t>tropic_thunder</w:t>
      </w:r>
      <w:proofErr w:type="spellEnd"/>
      <w:r w:rsidR="00C00609">
        <w:t xml:space="preserve"> or </w:t>
      </w:r>
      <w:proofErr w:type="spellStart"/>
      <w:r w:rsidR="00C00609">
        <w:t>gallant</w:t>
      </w:r>
      <w:r w:rsidRPr="00D072D5">
        <w:t>_entry</w:t>
      </w:r>
      <w:proofErr w:type="spellEnd"/>
      <w:r w:rsidRPr="00D072D5">
        <w:t>, or both.  That user is also associated with a sensitivity value, either unclassified, secret, or top</w:t>
      </w:r>
      <w:r w:rsidR="00C00609">
        <w:t xml:space="preserve"> </w:t>
      </w:r>
      <w:r w:rsidRPr="00D072D5">
        <w:t>secret, where top</w:t>
      </w:r>
      <w:r w:rsidR="00C00609">
        <w:t xml:space="preserve"> </w:t>
      </w:r>
      <w:r w:rsidRPr="00D072D5">
        <w:t>secret is the most sensitive and unclassified the least.</w:t>
      </w:r>
      <w:r w:rsidR="00C00609">
        <w:t xml:space="preserve">  </w:t>
      </w:r>
      <w:r w:rsidRPr="00D072D5">
        <w:t xml:space="preserve">Need-to-use decisions are based on the current context in tandem with mission and organizational affiliation.  We use </w:t>
      </w:r>
      <w:proofErr w:type="gramStart"/>
      <w:r w:rsidRPr="00D072D5">
        <w:t>attribute based</w:t>
      </w:r>
      <w:proofErr w:type="gramEnd"/>
      <w:r w:rsidRPr="00D072D5">
        <w:t xml:space="preserve"> control in these scenarios, in which we make access decisions based on the attributes of a requesting user rather than defined roles.</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5262EC5F" w14:textId="77777777" w:rsidR="00C00609" w:rsidRDefault="00D072D5" w:rsidP="00C00609">
      <w:pPr>
        <w:ind w:firstLine="720"/>
      </w:pPr>
      <w:r w:rsidRPr="00D072D5">
        <w:t xml:space="preserve">Policies are evaluated either via direct set membership or via membership in a category in an ordering.  Content can be affiliated with multiple sets with regard to set-oriented attributes.  Likewise, users can belong to multiple sets as well.  Both content and users will be associated with a single value from an ordering element, as that value is inclusive of lower values as well.  For example, a user can be </w:t>
      </w:r>
      <w:r w:rsidR="00C00609">
        <w:t xml:space="preserve">affiliated with both the </w:t>
      </w:r>
      <w:proofErr w:type="spellStart"/>
      <w:r w:rsidR="00C00609">
        <w:t>tropic_thunder</w:t>
      </w:r>
      <w:proofErr w:type="spellEnd"/>
      <w:r w:rsidR="00C00609">
        <w:t xml:space="preserve"> and </w:t>
      </w:r>
      <w:proofErr w:type="spellStart"/>
      <w:r w:rsidR="00C00609">
        <w:t>gallant</w:t>
      </w:r>
      <w:r w:rsidRPr="00D072D5">
        <w:t>_entry</w:t>
      </w:r>
      <w:proofErr w:type="spellEnd"/>
      <w:r w:rsidRPr="00D072D5">
        <w:t xml:space="preserve"> missions, but only one of the clearance values of </w:t>
      </w:r>
      <w:proofErr w:type="spellStart"/>
      <w:r w:rsidRPr="00D072D5">
        <w:t>uncleared</w:t>
      </w:r>
      <w:proofErr w:type="spellEnd"/>
      <w:r w:rsidRPr="00D072D5">
        <w:t xml:space="preserve">, secret, or top secret.  In the case of clearance values, secret subsumes </w:t>
      </w:r>
      <w:proofErr w:type="spellStart"/>
      <w:r w:rsidRPr="00D072D5">
        <w:t>uncleared</w:t>
      </w:r>
      <w:proofErr w:type="spellEnd"/>
      <w:r w:rsidRPr="00D072D5">
        <w:t>, so a user with a secret attribute set would be able to access any unclassified material.</w:t>
      </w:r>
    </w:p>
    <w:p w14:paraId="11FBCD04" w14:textId="3812CE01" w:rsidR="00D072D5" w:rsidRPr="00D072D5" w:rsidRDefault="00D072D5" w:rsidP="00C00609">
      <w:pPr>
        <w:ind w:firstLine="720"/>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 alternative that allows us to focus our time and effort on the goals of this work rather than implementation of a large standard.</w:t>
      </w:r>
    </w:p>
    <w:p w14:paraId="60F82605" w14:textId="4475DFDE" w:rsidR="00D072D5" w:rsidRPr="00D072D5" w:rsidRDefault="00D072D5" w:rsidP="00D072D5"/>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FA7315" w:rsidRPr="00FA7315" w14:paraId="1E2AC641" w14:textId="77777777" w:rsidTr="00FA7315">
        <w:tc>
          <w:tcPr>
            <w:tcW w:w="9004" w:type="dxa"/>
          </w:tcPr>
          <w:p w14:paraId="7DB38E2F" w14:textId="77777777" w:rsidR="00FA7315" w:rsidRPr="00FA7315" w:rsidRDefault="00FA7315" w:rsidP="007550AE">
            <w:pPr>
              <w:rPr>
                <w:rFonts w:ascii="Arial Unicode MS" w:eastAsia="Arial Unicode MS" w:hAnsi="Arial Unicode MS" w:cs="Arial Unicode MS"/>
                <w:b/>
                <w:sz w:val="18"/>
                <w:szCs w:val="18"/>
              </w:rPr>
            </w:pPr>
          </w:p>
          <w:p w14:paraId="6E67C62E" w14:textId="77777777" w:rsidR="00FA7315" w:rsidRPr="00FA7315" w:rsidRDefault="00FA7315" w:rsidP="007550AE">
            <w:pPr>
              <w:rPr>
                <w:rFonts w:ascii="Arial Unicode MS" w:eastAsia="Arial Unicode MS" w:hAnsi="Arial Unicode MS" w:cs="Arial Unicode MS"/>
                <w:b/>
                <w:sz w:val="18"/>
                <w:szCs w:val="18"/>
              </w:rPr>
            </w:pPr>
            <w:proofErr w:type="spellStart"/>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_set</w:t>
            </w:r>
            <w:proofErr w:type="spellEnd"/>
            <w:r w:rsidRPr="00FA7315">
              <w:rPr>
                <w:rFonts w:ascii="Arial Unicode MS" w:eastAsia="Arial Unicode MS" w:hAnsi="Arial Unicode MS" w:cs="Arial Unicode MS"/>
                <w:b/>
                <w:sz w:val="18"/>
                <w:szCs w:val="18"/>
              </w:rPr>
              <w:t xml:space="preserve"> {</w:t>
            </w:r>
          </w:p>
        </w:tc>
      </w:tr>
      <w:tr w:rsidR="00FA7315" w:rsidRPr="00FA7315" w14:paraId="454AC0D2" w14:textId="77777777" w:rsidTr="00FA7315">
        <w:tc>
          <w:tcPr>
            <w:tcW w:w="9004" w:type="dxa"/>
          </w:tcPr>
          <w:p w14:paraId="6A0462AF"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(:p1) {</w:t>
            </w:r>
          </w:p>
        </w:tc>
      </w:tr>
      <w:tr w:rsidR="00FA7315" w:rsidRPr="00FA7315" w14:paraId="64D118C8" w14:textId="77777777" w:rsidTr="00FA7315">
        <w:tc>
          <w:tcPr>
            <w:tcW w:w="9004" w:type="dxa"/>
          </w:tcPr>
          <w:p w14:paraId="5FD40BAF"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match</w:t>
            </w:r>
            <w:proofErr w:type="gramEnd"/>
            <w:r w:rsidRPr="00FA7315">
              <w:rPr>
                <w:rFonts w:ascii="Arial Unicode MS" w:eastAsia="Arial Unicode MS" w:hAnsi="Arial Unicode MS" w:cs="Arial Unicode MS"/>
                <w:b/>
                <w:sz w:val="18"/>
                <w:szCs w:val="18"/>
              </w:rPr>
              <w:t xml:space="preserve"> :all</w:t>
            </w:r>
          </w:p>
        </w:tc>
      </w:tr>
      <w:tr w:rsidR="00FA7315" w:rsidRPr="00FA7315" w14:paraId="450B6CCF" w14:textId="77777777" w:rsidTr="00FA7315">
        <w:tc>
          <w:tcPr>
            <w:tcW w:w="9004" w:type="dxa"/>
          </w:tcPr>
          <w:p w14:paraId="44B0933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w:t>
            </w:r>
            <w:proofErr w:type="spellStart"/>
            <w:r w:rsidRPr="00FA7315">
              <w:rPr>
                <w:rFonts w:ascii="Arial Unicode MS" w:eastAsia="Arial Unicode MS" w:hAnsi="Arial Unicode MS" w:cs="Arial Unicode MS"/>
                <w:b/>
                <w:sz w:val="18"/>
                <w:szCs w:val="18"/>
              </w:rPr>
              <w:t>mission_affiliation</w:t>
            </w:r>
            <w:proofErr w:type="spellEnd"/>
            <w:r w:rsidRPr="00FA7315">
              <w:rPr>
                <w:rFonts w:ascii="Arial Unicode MS" w:eastAsia="Arial Unicode MS" w:hAnsi="Arial Unicode MS" w:cs="Arial Unicode MS"/>
                <w:b/>
                <w:sz w:val="18"/>
                <w:szCs w:val="18"/>
              </w:rPr>
              <w:t>) { |x| x == :</w:t>
            </w:r>
            <w:proofErr w:type="spellStart"/>
            <w:r w:rsidRPr="00FA7315">
              <w:rPr>
                <w:rFonts w:ascii="Arial Unicode MS" w:eastAsia="Arial Unicode MS" w:hAnsi="Arial Unicode MS" w:cs="Arial Unicode MS"/>
                <w:b/>
                <w:sz w:val="18"/>
                <w:szCs w:val="18"/>
              </w:rPr>
              <w:t>tropic_thunder</w:t>
            </w:r>
            <w:proofErr w:type="spellEnd"/>
            <w:r w:rsidRPr="00FA7315">
              <w:rPr>
                <w:rFonts w:ascii="Arial Unicode MS" w:eastAsia="Arial Unicode MS" w:hAnsi="Arial Unicode MS" w:cs="Arial Unicode MS"/>
                <w:b/>
                <w:sz w:val="18"/>
                <w:szCs w:val="18"/>
              </w:rPr>
              <w:t xml:space="preserve"> }</w:t>
            </w:r>
          </w:p>
        </w:tc>
      </w:tr>
      <w:tr w:rsidR="00FA7315" w:rsidRPr="00FA7315" w14:paraId="33147F9A" w14:textId="77777777" w:rsidTr="00FA7315">
        <w:tc>
          <w:tcPr>
            <w:tcW w:w="9004" w:type="dxa"/>
          </w:tcPr>
          <w:p w14:paraId="625A08E7"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(:sensitivity) { |x| x == :</w:t>
            </w:r>
            <w:proofErr w:type="spellStart"/>
            <w:r w:rsidRPr="00FA7315">
              <w:rPr>
                <w:rFonts w:ascii="Arial Unicode MS" w:eastAsia="Arial Unicode MS" w:hAnsi="Arial Unicode MS" w:cs="Arial Unicode MS"/>
                <w:b/>
                <w:sz w:val="18"/>
                <w:szCs w:val="18"/>
              </w:rPr>
              <w:t>top_secret</w:t>
            </w:r>
            <w:proofErr w:type="spellEnd"/>
            <w:r w:rsidRPr="00FA7315">
              <w:rPr>
                <w:rFonts w:ascii="Arial Unicode MS" w:eastAsia="Arial Unicode MS" w:hAnsi="Arial Unicode MS" w:cs="Arial Unicode MS"/>
                <w:b/>
                <w:sz w:val="18"/>
                <w:szCs w:val="18"/>
              </w:rPr>
              <w:t xml:space="preserve"> }</w:t>
            </w:r>
          </w:p>
        </w:tc>
      </w:tr>
      <w:tr w:rsidR="00FA7315" w:rsidRPr="00FA7315" w14:paraId="4A29C1BA" w14:textId="77777777" w:rsidTr="00FA7315">
        <w:tc>
          <w:tcPr>
            <w:tcW w:w="9004" w:type="dxa"/>
          </w:tcPr>
          <w:p w14:paraId="3470103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
        </w:tc>
      </w:tr>
      <w:tr w:rsidR="00FA7315" w:rsidRPr="00FA7315" w14:paraId="10C315E8" w14:textId="77777777" w:rsidTr="00FA7315">
        <w:tc>
          <w:tcPr>
            <w:tcW w:w="9004" w:type="dxa"/>
          </w:tcPr>
          <w:p w14:paraId="3EF9D091" w14:textId="77777777" w:rsidR="00FA7315" w:rsidRPr="00FA7315" w:rsidRDefault="00FA7315" w:rsidP="007550AE">
            <w:pPr>
              <w:rPr>
                <w:rFonts w:ascii="Arial Unicode MS" w:eastAsia="Arial Unicode MS" w:hAnsi="Arial Unicode MS" w:cs="Arial Unicode MS"/>
                <w:b/>
                <w:sz w:val="18"/>
                <w:szCs w:val="18"/>
              </w:rPr>
            </w:pPr>
          </w:p>
        </w:tc>
      </w:tr>
      <w:tr w:rsidR="00FA7315" w:rsidRPr="00FA7315" w14:paraId="63DB03D5" w14:textId="77777777" w:rsidTr="00FA7315">
        <w:tc>
          <w:tcPr>
            <w:tcW w:w="9004" w:type="dxa"/>
          </w:tcPr>
          <w:p w14:paraId="272C26D8"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(:p2) {</w:t>
            </w:r>
          </w:p>
        </w:tc>
      </w:tr>
      <w:tr w:rsidR="00FA7315" w:rsidRPr="00FA7315" w14:paraId="79522D82" w14:textId="77777777" w:rsidTr="00FA7315">
        <w:tc>
          <w:tcPr>
            <w:tcW w:w="9004" w:type="dxa"/>
          </w:tcPr>
          <w:p w14:paraId="642EFAA3"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include</w:t>
            </w:r>
            <w:proofErr w:type="gramEnd"/>
            <w:r w:rsidRPr="00FA7315">
              <w:rPr>
                <w:rFonts w:ascii="Arial Unicode MS" w:eastAsia="Arial Unicode MS" w:hAnsi="Arial Unicode MS" w:cs="Arial Unicode MS"/>
                <w:b/>
                <w:sz w:val="18"/>
                <w:szCs w:val="18"/>
              </w:rPr>
              <w:t xml:space="preserve"> :p1</w:t>
            </w:r>
          </w:p>
        </w:tc>
      </w:tr>
      <w:tr w:rsidR="00FA7315" w:rsidRPr="00FA7315" w14:paraId="44527B18" w14:textId="77777777" w:rsidTr="00FA7315">
        <w:tc>
          <w:tcPr>
            <w:tcW w:w="9004" w:type="dxa"/>
          </w:tcPr>
          <w:p w14:paraId="60A8BC73"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match</w:t>
            </w:r>
            <w:proofErr w:type="gramEnd"/>
            <w:r w:rsidRPr="00FA7315">
              <w:rPr>
                <w:rFonts w:ascii="Arial Unicode MS" w:eastAsia="Arial Unicode MS" w:hAnsi="Arial Unicode MS" w:cs="Arial Unicode MS"/>
                <w:b/>
                <w:sz w:val="18"/>
                <w:szCs w:val="18"/>
              </w:rPr>
              <w:t xml:space="preserve"> :all</w:t>
            </w:r>
          </w:p>
        </w:tc>
      </w:tr>
      <w:tr w:rsidR="00FA7315" w:rsidRPr="00FA7315" w14:paraId="2CFB7AC1" w14:textId="77777777" w:rsidTr="00FA7315">
        <w:tc>
          <w:tcPr>
            <w:tcW w:w="9004" w:type="dxa"/>
          </w:tcPr>
          <w:p w14:paraId="2B49101A"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(:device) { |d| d == :workstation || d == :phone }</w:t>
            </w:r>
          </w:p>
        </w:tc>
      </w:tr>
      <w:tr w:rsidR="00FA7315" w:rsidRPr="00FA7315" w14:paraId="2D3A9C26" w14:textId="77777777" w:rsidTr="00FA7315">
        <w:tc>
          <w:tcPr>
            <w:tcW w:w="9004" w:type="dxa"/>
          </w:tcPr>
          <w:p w14:paraId="46A118A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
        </w:tc>
      </w:tr>
      <w:tr w:rsidR="00FA7315" w:rsidRPr="00FA7315" w14:paraId="5DD42530" w14:textId="77777777" w:rsidTr="00FA7315">
        <w:tc>
          <w:tcPr>
            <w:tcW w:w="9004" w:type="dxa"/>
          </w:tcPr>
          <w:p w14:paraId="3C853878" w14:textId="77777777" w:rsidR="00FA7315" w:rsidRPr="00FA7315" w:rsidRDefault="00FA7315" w:rsidP="007550AE">
            <w:pPr>
              <w:rPr>
                <w:rFonts w:ascii="Arial Unicode MS" w:eastAsia="Arial Unicode MS" w:hAnsi="Arial Unicode MS" w:cs="Arial Unicode MS"/>
                <w:b/>
                <w:sz w:val="18"/>
                <w:szCs w:val="18"/>
              </w:rPr>
            </w:pPr>
          </w:p>
        </w:tc>
      </w:tr>
      <w:tr w:rsidR="00FA7315" w:rsidRPr="00FA7315" w14:paraId="5586AC0D" w14:textId="77777777" w:rsidTr="00FA7315">
        <w:tc>
          <w:tcPr>
            <w:tcW w:w="9004" w:type="dxa"/>
          </w:tcPr>
          <w:p w14:paraId="2EA39B39"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(:p3) {</w:t>
            </w:r>
          </w:p>
        </w:tc>
      </w:tr>
      <w:tr w:rsidR="00FA7315" w:rsidRPr="00FA7315" w14:paraId="0D1884BC" w14:textId="77777777" w:rsidTr="00FA7315">
        <w:tc>
          <w:tcPr>
            <w:tcW w:w="9004" w:type="dxa"/>
          </w:tcPr>
          <w:p w14:paraId="2A836077"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include</w:t>
            </w:r>
            <w:proofErr w:type="gramEnd"/>
            <w:r w:rsidRPr="00FA7315">
              <w:rPr>
                <w:rFonts w:ascii="Arial Unicode MS" w:eastAsia="Arial Unicode MS" w:hAnsi="Arial Unicode MS" w:cs="Arial Unicode MS"/>
                <w:b/>
                <w:sz w:val="18"/>
                <w:szCs w:val="18"/>
              </w:rPr>
              <w:t xml:space="preserve"> :p1</w:t>
            </w:r>
          </w:p>
        </w:tc>
      </w:tr>
      <w:tr w:rsidR="00FA7315" w:rsidRPr="00FA7315" w14:paraId="66361718" w14:textId="77777777" w:rsidTr="00FA7315">
        <w:tc>
          <w:tcPr>
            <w:tcW w:w="9004" w:type="dxa"/>
          </w:tcPr>
          <w:p w14:paraId="00A8C91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match</w:t>
            </w:r>
            <w:proofErr w:type="gramEnd"/>
            <w:r w:rsidRPr="00FA7315">
              <w:rPr>
                <w:rFonts w:ascii="Arial Unicode MS" w:eastAsia="Arial Unicode MS" w:hAnsi="Arial Unicode MS" w:cs="Arial Unicode MS"/>
                <w:b/>
                <w:sz w:val="18"/>
                <w:szCs w:val="18"/>
              </w:rPr>
              <w:t xml:space="preserve"> :one</w:t>
            </w:r>
          </w:p>
        </w:tc>
      </w:tr>
      <w:tr w:rsidR="00FA7315" w:rsidRPr="00FA7315" w14:paraId="3B7D4CF0" w14:textId="77777777" w:rsidTr="00FA7315">
        <w:tc>
          <w:tcPr>
            <w:tcW w:w="9004" w:type="dxa"/>
          </w:tcPr>
          <w:p w14:paraId="4420DAF9"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(:category) { |c| c == :vermillion }</w:t>
            </w:r>
          </w:p>
        </w:tc>
      </w:tr>
      <w:tr w:rsidR="00FA7315" w:rsidRPr="00FA7315" w14:paraId="22B754F6" w14:textId="77777777" w:rsidTr="00FA7315">
        <w:tc>
          <w:tcPr>
            <w:tcW w:w="9004" w:type="dxa"/>
          </w:tcPr>
          <w:p w14:paraId="50FD5BCB"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(:organization} { |o| == :</w:t>
            </w:r>
            <w:proofErr w:type="spellStart"/>
            <w:r w:rsidRPr="00FA7315">
              <w:rPr>
                <w:rFonts w:ascii="Arial Unicode MS" w:eastAsia="Arial Unicode MS" w:hAnsi="Arial Unicode MS" w:cs="Arial Unicode MS"/>
                <w:b/>
                <w:sz w:val="18"/>
                <w:szCs w:val="18"/>
              </w:rPr>
              <w:t>oceania</w:t>
            </w:r>
            <w:proofErr w:type="spellEnd"/>
            <w:r w:rsidRPr="00FA7315">
              <w:rPr>
                <w:rFonts w:ascii="Arial Unicode MS" w:eastAsia="Arial Unicode MS" w:hAnsi="Arial Unicode MS" w:cs="Arial Unicode MS"/>
                <w:b/>
                <w:sz w:val="18"/>
                <w:szCs w:val="18"/>
              </w:rPr>
              <w:t xml:space="preserve"> }</w:t>
            </w:r>
          </w:p>
        </w:tc>
      </w:tr>
      <w:tr w:rsidR="00FA7315" w:rsidRPr="00FA7315" w14:paraId="2282C61A" w14:textId="77777777" w:rsidTr="00FA7315">
        <w:tc>
          <w:tcPr>
            <w:tcW w:w="9004" w:type="dxa"/>
          </w:tcPr>
          <w:p w14:paraId="6E432F84"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
        </w:tc>
      </w:tr>
      <w:tr w:rsidR="00FA7315" w:rsidRPr="00FA7315" w14:paraId="49F2ABBF" w14:textId="77777777" w:rsidTr="00FA7315">
        <w:tc>
          <w:tcPr>
            <w:tcW w:w="9004" w:type="dxa"/>
          </w:tcPr>
          <w:p w14:paraId="6C628C12"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w:t>
            </w:r>
          </w:p>
          <w:p w14:paraId="0DF6A3B2" w14:textId="77777777" w:rsidR="00FA7315" w:rsidRPr="00FA7315" w:rsidRDefault="00FA7315" w:rsidP="007550AE">
            <w:pPr>
              <w:rPr>
                <w:rFonts w:ascii="Arial Unicode MS" w:eastAsia="Arial Unicode MS" w:hAnsi="Arial Unicode MS" w:cs="Arial Unicode MS"/>
                <w:b/>
                <w:sz w:val="18"/>
                <w:szCs w:val="18"/>
              </w:rPr>
            </w:pPr>
          </w:p>
        </w:tc>
      </w:tr>
    </w:tbl>
    <w:p w14:paraId="1BA47711" w14:textId="77777777" w:rsidR="00FA7315" w:rsidRDefault="00FA7315" w:rsidP="00FA7315">
      <w:pPr>
        <w:jc w:val="center"/>
        <w:rPr>
          <w:lang w:val="id-ID"/>
        </w:rPr>
      </w:pPr>
    </w:p>
    <w:p w14:paraId="1DE445A1" w14:textId="3CE570DF" w:rsidR="00FA7315" w:rsidRPr="00FA7315" w:rsidRDefault="00FA7315" w:rsidP="00FA7315">
      <w:pPr>
        <w:jc w:val="center"/>
      </w:pPr>
      <w:r>
        <w:rPr>
          <w:lang w:val="id-ID"/>
        </w:rPr>
        <w:t>Listing 1</w:t>
      </w:r>
      <w:r w:rsidRPr="003D5B84">
        <w:rPr>
          <w:lang w:val="id-ID"/>
        </w:rPr>
        <w:t xml:space="preserve">. </w:t>
      </w:r>
      <w:r>
        <w:t>Sample Policy Domain Language</w:t>
      </w:r>
    </w:p>
    <w:p w14:paraId="7BC57B98" w14:textId="77777777" w:rsidR="00C00609" w:rsidRPr="00D072D5" w:rsidRDefault="00C00609" w:rsidP="00D072D5"/>
    <w:p w14:paraId="42F28276" w14:textId="6C83CA59" w:rsidR="004B3057" w:rsidRDefault="00D072D5" w:rsidP="004B3057">
      <w:pPr>
        <w:ind w:firstLine="720"/>
      </w:pPr>
      <w:r w:rsidRPr="00D072D5">
        <w:t xml:space="preserve">This is our simplified DSL supporting a subset of XACML elements.  In this example, we have a base policy, </w:t>
      </w:r>
      <w:proofErr w:type="gramStart"/>
      <w:r w:rsidRPr="00D072D5">
        <w:t>p1, that</w:t>
      </w:r>
      <w:proofErr w:type="gramEnd"/>
      <w:r w:rsidRPr="00D072D5">
        <w:t xml:space="preserve"> all other policies inherit.  That policy requires that all rules evaluate to true.  </w:t>
      </w:r>
      <w:proofErr w:type="gramStart"/>
      <w:r w:rsidRPr="00D072D5">
        <w:t>p2</w:t>
      </w:r>
      <w:proofErr w:type="gramEnd"/>
      <w:r w:rsidRPr="00D072D5">
        <w:t xml:space="preserve"> adds another rule based on devices, all of which must evaluate to true as well.  Finally, p3 adds two additional rules, only one of which must evaluate to true for the policy to be fulfilled.</w:t>
      </w:r>
    </w:p>
    <w:p w14:paraId="16F69E3D" w14:textId="77777777" w:rsidR="004B3057" w:rsidRPr="004B3057" w:rsidRDefault="004B3057" w:rsidP="004B3057">
      <w:pPr>
        <w:ind w:firstLine="720"/>
      </w:pPr>
    </w:p>
    <w:p w14:paraId="14EE199F" w14:textId="77777777" w:rsidR="0088233C" w:rsidRDefault="0088233C" w:rsidP="00904D6D">
      <w:pPr>
        <w:rPr>
          <w:b/>
          <w:bCs/>
        </w:rPr>
      </w:pPr>
    </w:p>
    <w:p w14:paraId="0D59974C" w14:textId="7465AD99" w:rsidR="00EE7C89" w:rsidRPr="00EE7C89" w:rsidRDefault="00F33C08" w:rsidP="00904D6D">
      <w:pPr>
        <w:rPr>
          <w:rStyle w:val="apple-style-span"/>
          <w:b/>
          <w:color w:val="000000"/>
          <w:lang w:val="pt-BR"/>
        </w:rPr>
      </w:pPr>
      <w:r w:rsidRPr="00EE7C89">
        <w:rPr>
          <w:rStyle w:val="apple-style-span"/>
          <w:b/>
          <w:color w:val="000000"/>
          <w:lang w:val="pt-BR"/>
        </w:rPr>
        <w:t>ACKNOWLEDGEMENTS</w:t>
      </w:r>
    </w:p>
    <w:p w14:paraId="410DEA5E" w14:textId="77777777" w:rsidR="00EE7C89" w:rsidRPr="00EE7C89" w:rsidRDefault="00EE7C89" w:rsidP="00EE7C89">
      <w:pPr>
        <w:ind w:firstLine="720"/>
        <w:jc w:val="both"/>
        <w:rPr>
          <w:b/>
          <w:bCs/>
        </w:rPr>
      </w:pPr>
      <w:r>
        <w:t>Xx xxx</w:t>
      </w:r>
    </w:p>
    <w:p w14:paraId="418EF072" w14:textId="77777777" w:rsidR="00361020" w:rsidRDefault="00361020" w:rsidP="00C35B8F">
      <w:pPr>
        <w:jc w:val="both"/>
        <w:rPr>
          <w:color w:val="000000"/>
          <w:sz w:val="18"/>
          <w:szCs w:val="18"/>
        </w:rPr>
      </w:pPr>
    </w:p>
    <w:sdt>
      <w:sdtPr>
        <w:rPr>
          <w:b w:val="0"/>
          <w:bCs w:val="0"/>
        </w:rPr>
        <w:id w:val="548348267"/>
        <w:docPartObj>
          <w:docPartGallery w:val="Bibliographies"/>
          <w:docPartUnique/>
        </w:docPartObj>
      </w:sdtPr>
      <w:sdtContent>
        <w:p w14:paraId="545B2ECD" w14:textId="3DAA84DC" w:rsidR="00361020" w:rsidRPr="00495DCB"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5C7F2DA4" w14:textId="77777777" w:rsidR="00495DCB" w:rsidRDefault="00361020" w:rsidP="00495DCB">
              <w:pPr>
                <w:pStyle w:val="Bibliography"/>
                <w:rPr>
                  <w:noProof/>
                  <w:vanish/>
                </w:rPr>
              </w:pPr>
              <w:r w:rsidRPr="00495DCB">
                <w:rPr>
                  <w:sz w:val="18"/>
                  <w:szCs w:val="18"/>
                </w:rPr>
                <w:fldChar w:fldCharType="begin"/>
              </w:r>
              <w:r w:rsidRPr="00495DCB">
                <w:rPr>
                  <w:sz w:val="18"/>
                  <w:szCs w:val="18"/>
                </w:rPr>
                <w:instrText xml:space="preserve"> BIBLIOGRAPHY </w:instrText>
              </w:r>
              <w:r w:rsidRPr="00495DCB">
                <w:rPr>
                  <w:sz w:val="18"/>
                  <w:szCs w:val="18"/>
                </w:rPr>
                <w:fldChar w:fldCharType="separate"/>
              </w:r>
              <w:r w:rsidR="00495DCB">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
                <w:gridCol w:w="8553"/>
              </w:tblGrid>
              <w:tr w:rsidR="00495DCB" w14:paraId="57E09704" w14:textId="77777777" w:rsidTr="00495DCB">
                <w:trPr>
                  <w:tblCellSpacing w:w="15" w:type="dxa"/>
                </w:trPr>
                <w:tc>
                  <w:tcPr>
                    <w:tcW w:w="0" w:type="auto"/>
                    <w:hideMark/>
                  </w:tcPr>
                  <w:p w14:paraId="1606D09C" w14:textId="77777777" w:rsidR="00495DCB" w:rsidRDefault="00495DCB">
                    <w:pPr>
                      <w:pStyle w:val="Bibliography"/>
                      <w:jc w:val="right"/>
                      <w:rPr>
                        <w:noProof/>
                      </w:rPr>
                    </w:pPr>
                    <w:r>
                      <w:rPr>
                        <w:noProof/>
                      </w:rPr>
                      <w:t>1.</w:t>
                    </w:r>
                  </w:p>
                </w:tc>
                <w:tc>
                  <w:tcPr>
                    <w:tcW w:w="0" w:type="auto"/>
                    <w:hideMark/>
                  </w:tcPr>
                  <w:p w14:paraId="1E7DB6F5" w14:textId="77777777" w:rsidR="00495DCB" w:rsidRDefault="00495DCB">
                    <w:pPr>
                      <w:pStyle w:val="Bibliography"/>
                      <w:rPr>
                        <w:noProof/>
                      </w:rPr>
                    </w:pPr>
                    <w:r>
                      <w:rPr>
                        <w:noProof/>
                      </w:rPr>
                      <w:t>Tallon PP. Understanding the dynamics of information management costs. Commun. ACM. 2010 May 1; 53(5): p. 121-125.</w:t>
                    </w:r>
                  </w:p>
                </w:tc>
              </w:tr>
              <w:tr w:rsidR="00495DCB" w14:paraId="3965C557" w14:textId="77777777" w:rsidTr="00495DCB">
                <w:trPr>
                  <w:tblCellSpacing w:w="15" w:type="dxa"/>
                </w:trPr>
                <w:tc>
                  <w:tcPr>
                    <w:tcW w:w="0" w:type="auto"/>
                    <w:hideMark/>
                  </w:tcPr>
                  <w:p w14:paraId="5E0E4F44" w14:textId="77777777" w:rsidR="00495DCB" w:rsidRDefault="00495DCB">
                    <w:pPr>
                      <w:pStyle w:val="Bibliography"/>
                      <w:jc w:val="right"/>
                      <w:rPr>
                        <w:noProof/>
                      </w:rPr>
                    </w:pPr>
                    <w:r>
                      <w:rPr>
                        <w:noProof/>
                      </w:rPr>
                      <w:t>2.</w:t>
                    </w:r>
                  </w:p>
                </w:tc>
                <w:tc>
                  <w:tcPr>
                    <w:tcW w:w="0" w:type="auto"/>
                    <w:hideMark/>
                  </w:tcPr>
                  <w:p w14:paraId="6603C33C" w14:textId="77777777" w:rsidR="00495DCB" w:rsidRDefault="00495DCB">
                    <w:pPr>
                      <w:pStyle w:val="Bibliography"/>
                      <w:rPr>
                        <w:noProof/>
                      </w:rPr>
                    </w:pPr>
                    <w:r>
                      <w:rPr>
                        <w:noProof/>
                      </w:rPr>
                      <w:t>U.S. Department of Defense. Trusted Network Interpretation Environments Guideline USA: U.S. Department of Defense; 1990.</w:t>
                    </w:r>
                  </w:p>
                </w:tc>
              </w:tr>
              <w:tr w:rsidR="00495DCB" w14:paraId="6144EA38" w14:textId="77777777" w:rsidTr="00495DCB">
                <w:trPr>
                  <w:tblCellSpacing w:w="15" w:type="dxa"/>
                </w:trPr>
                <w:tc>
                  <w:tcPr>
                    <w:tcW w:w="0" w:type="auto"/>
                    <w:hideMark/>
                  </w:tcPr>
                  <w:p w14:paraId="10506DB4" w14:textId="77777777" w:rsidR="00495DCB" w:rsidRDefault="00495DCB">
                    <w:pPr>
                      <w:pStyle w:val="Bibliography"/>
                      <w:jc w:val="right"/>
                      <w:rPr>
                        <w:noProof/>
                      </w:rPr>
                    </w:pPr>
                    <w:r>
                      <w:rPr>
                        <w:noProof/>
                      </w:rPr>
                      <w:t>3.</w:t>
                    </w:r>
                  </w:p>
                </w:tc>
                <w:tc>
                  <w:tcPr>
                    <w:tcW w:w="0" w:type="auto"/>
                    <w:hideMark/>
                  </w:tcPr>
                  <w:p w14:paraId="788D56B9" w14:textId="77777777" w:rsidR="00495DCB" w:rsidRDefault="00495DCB">
                    <w:pPr>
                      <w:pStyle w:val="Bibliography"/>
                      <w:rPr>
                        <w:noProof/>
                      </w:rPr>
                    </w:pPr>
                    <w:r>
                      <w:rPr>
                        <w:noProof/>
                      </w:rPr>
                      <w:t xml:space="preserve">U.S. Department of Defense. Chief Information Officer, U.S. Department of Defense. [Online].; 2007 [cited 2012 September 29. Available from: </w:t>
                    </w:r>
                    <w:hyperlink r:id="rId19" w:history="1">
                      <w:r>
                        <w:rPr>
                          <w:rStyle w:val="Hyperlink"/>
                          <w:noProof/>
                        </w:rPr>
                        <w:t>http://dodcio.defense.gov/Portals/0/Documents/InfoSharingStrategy.pdf</w:t>
                      </w:r>
                    </w:hyperlink>
                    <w:r>
                      <w:rPr>
                        <w:noProof/>
                      </w:rPr>
                      <w:t>.</w:t>
                    </w:r>
                  </w:p>
                </w:tc>
              </w:tr>
              <w:tr w:rsidR="00495DCB" w14:paraId="1F2A5EDB" w14:textId="77777777" w:rsidTr="00495DCB">
                <w:trPr>
                  <w:tblCellSpacing w:w="15" w:type="dxa"/>
                </w:trPr>
                <w:tc>
                  <w:tcPr>
                    <w:tcW w:w="0" w:type="auto"/>
                    <w:hideMark/>
                  </w:tcPr>
                  <w:p w14:paraId="2BDA5FA7" w14:textId="77777777" w:rsidR="00495DCB" w:rsidRDefault="00495DCB">
                    <w:pPr>
                      <w:pStyle w:val="Bibliography"/>
                      <w:jc w:val="right"/>
                      <w:rPr>
                        <w:noProof/>
                      </w:rPr>
                    </w:pPr>
                    <w:r>
                      <w:rPr>
                        <w:noProof/>
                      </w:rPr>
                      <w:t>4.</w:t>
                    </w:r>
                  </w:p>
                </w:tc>
                <w:tc>
                  <w:tcPr>
                    <w:tcW w:w="0" w:type="auto"/>
                    <w:hideMark/>
                  </w:tcPr>
                  <w:p w14:paraId="7394666D" w14:textId="77777777" w:rsidR="00495DCB" w:rsidRDefault="00495DCB">
                    <w:pPr>
                      <w:pStyle w:val="Bibliography"/>
                      <w:rPr>
                        <w:noProof/>
                      </w:rPr>
                    </w:pPr>
                    <w:r>
                      <w:rPr>
                        <w:noProof/>
                      </w:rPr>
                      <w:t xml:space="preserve">Hoover JN. Informationweek. [Online].; 2011 [cited 2012 September 29. Available from: </w:t>
                    </w:r>
                    <w:hyperlink r:id="rId20" w:history="1">
                      <w:r>
                        <w:rPr>
                          <w:rStyle w:val="Hyperlink"/>
                          <w:noProof/>
                        </w:rPr>
                        <w:t>http://www.informationweek.com/news/government/cloud-saas/229401646</w:t>
                      </w:r>
                    </w:hyperlink>
                    <w:r>
                      <w:rPr>
                        <w:noProof/>
                      </w:rPr>
                      <w:t>.</w:t>
                    </w:r>
                  </w:p>
                </w:tc>
              </w:tr>
              <w:tr w:rsidR="00495DCB" w14:paraId="028A131E" w14:textId="77777777" w:rsidTr="00495DCB">
                <w:trPr>
                  <w:tblCellSpacing w:w="15" w:type="dxa"/>
                </w:trPr>
                <w:tc>
                  <w:tcPr>
                    <w:tcW w:w="0" w:type="auto"/>
                    <w:hideMark/>
                  </w:tcPr>
                  <w:p w14:paraId="3785C9C1" w14:textId="77777777" w:rsidR="00495DCB" w:rsidRDefault="00495DCB">
                    <w:pPr>
                      <w:pStyle w:val="Bibliography"/>
                      <w:jc w:val="right"/>
                      <w:rPr>
                        <w:noProof/>
                      </w:rPr>
                    </w:pPr>
                    <w:r>
                      <w:rPr>
                        <w:noProof/>
                      </w:rPr>
                      <w:t>5.</w:t>
                    </w:r>
                  </w:p>
                </w:tc>
                <w:tc>
                  <w:tcPr>
                    <w:tcW w:w="0" w:type="auto"/>
                    <w:hideMark/>
                  </w:tcPr>
                  <w:p w14:paraId="2299D4EB" w14:textId="77777777" w:rsidR="00495DCB" w:rsidRDefault="00495DCB">
                    <w:pPr>
                      <w:pStyle w:val="Bibliography"/>
                      <w:rPr>
                        <w:noProof/>
                      </w:rPr>
                    </w:pPr>
                    <w:r>
                      <w:rPr>
                        <w:noProof/>
                      </w:rPr>
                      <w:t>Pearson S, Benameur A. Privacy, Security and Trust Issues Arising from Cloud Computing. In Cloud Computing Technology and Science (CloudCom), 2010 IEEE Second International Conference on; 2010. p. 693 -702.</w:t>
                    </w:r>
                  </w:p>
                </w:tc>
              </w:tr>
              <w:tr w:rsidR="00495DCB" w14:paraId="6A9B26F8" w14:textId="77777777" w:rsidTr="00495DCB">
                <w:trPr>
                  <w:tblCellSpacing w:w="15" w:type="dxa"/>
                </w:trPr>
                <w:tc>
                  <w:tcPr>
                    <w:tcW w:w="0" w:type="auto"/>
                    <w:hideMark/>
                  </w:tcPr>
                  <w:p w14:paraId="060C0DEA" w14:textId="77777777" w:rsidR="00495DCB" w:rsidRDefault="00495DCB">
                    <w:pPr>
                      <w:pStyle w:val="Bibliography"/>
                      <w:jc w:val="right"/>
                      <w:rPr>
                        <w:noProof/>
                      </w:rPr>
                    </w:pPr>
                    <w:r>
                      <w:rPr>
                        <w:noProof/>
                      </w:rPr>
                      <w:t>6.</w:t>
                    </w:r>
                  </w:p>
                </w:tc>
                <w:tc>
                  <w:tcPr>
                    <w:tcW w:w="0" w:type="auto"/>
                    <w:hideMark/>
                  </w:tcPr>
                  <w:p w14:paraId="177E7D57" w14:textId="77777777" w:rsidR="00495DCB" w:rsidRDefault="00495DCB">
                    <w:pPr>
                      <w:pStyle w:val="Bibliography"/>
                      <w:rPr>
                        <w:noProof/>
                      </w:rPr>
                    </w:pPr>
                    <w:r>
                      <w:rPr>
                        <w:noProof/>
                      </w:rPr>
                      <w:t xml:space="preserve">U.S. Air Force. SBIR/STTR Interactive Web Site. [Online].; 2011 [cited 2012 September 29. Available from: </w:t>
                    </w:r>
                    <w:hyperlink r:id="rId21" w:history="1">
                      <w:r>
                        <w:rPr>
                          <w:rStyle w:val="Hyperlink"/>
                          <w:noProof/>
                        </w:rPr>
                        <w:t>http://www.dodsbir.net/sitis/archives_display_topic.asp?Bookmark=41198</w:t>
                      </w:r>
                    </w:hyperlink>
                    <w:r>
                      <w:rPr>
                        <w:noProof/>
                      </w:rPr>
                      <w:t>.</w:t>
                    </w:r>
                  </w:p>
                </w:tc>
              </w:tr>
              <w:tr w:rsidR="00495DCB" w14:paraId="6538D796" w14:textId="77777777" w:rsidTr="00495DCB">
                <w:trPr>
                  <w:tblCellSpacing w:w="15" w:type="dxa"/>
                </w:trPr>
                <w:tc>
                  <w:tcPr>
                    <w:tcW w:w="0" w:type="auto"/>
                    <w:hideMark/>
                  </w:tcPr>
                  <w:p w14:paraId="5D32E7C6" w14:textId="77777777" w:rsidR="00495DCB" w:rsidRDefault="00495DCB">
                    <w:pPr>
                      <w:pStyle w:val="Bibliography"/>
                      <w:jc w:val="right"/>
                      <w:rPr>
                        <w:noProof/>
                      </w:rPr>
                    </w:pPr>
                    <w:r>
                      <w:rPr>
                        <w:noProof/>
                      </w:rPr>
                      <w:t>7.</w:t>
                    </w:r>
                  </w:p>
                </w:tc>
                <w:tc>
                  <w:tcPr>
                    <w:tcW w:w="0" w:type="auto"/>
                    <w:hideMark/>
                  </w:tcPr>
                  <w:p w14:paraId="04F279D7" w14:textId="77777777" w:rsidR="00495DCB" w:rsidRDefault="00495DCB">
                    <w:pPr>
                      <w:pStyle w:val="Bibliography"/>
                      <w:rPr>
                        <w:noProof/>
                      </w:rPr>
                    </w:pPr>
                    <w:r>
                      <w:rPr>
                        <w:noProof/>
                      </w:rPr>
                      <w:t>Koponen T, Chawla M, Chun BG, Ermolinskiy A, Kim KH, Shenker S, et al. A data-oriented (and beyond) network architecture. SIGCOMM Comput. Commun. Rev. 2007 October 1; 37(4): p. 181-192.</w:t>
                    </w:r>
                  </w:p>
                </w:tc>
              </w:tr>
              <w:tr w:rsidR="00495DCB" w14:paraId="4AC76E2E" w14:textId="77777777" w:rsidTr="00495DCB">
                <w:trPr>
                  <w:tblCellSpacing w:w="15" w:type="dxa"/>
                </w:trPr>
                <w:tc>
                  <w:tcPr>
                    <w:tcW w:w="0" w:type="auto"/>
                    <w:hideMark/>
                  </w:tcPr>
                  <w:p w14:paraId="50B39552" w14:textId="77777777" w:rsidR="00495DCB" w:rsidRDefault="00495DCB">
                    <w:pPr>
                      <w:pStyle w:val="Bibliography"/>
                      <w:jc w:val="right"/>
                      <w:rPr>
                        <w:noProof/>
                      </w:rPr>
                    </w:pPr>
                    <w:r>
                      <w:rPr>
                        <w:noProof/>
                      </w:rPr>
                      <w:t>8.</w:t>
                    </w:r>
                  </w:p>
                </w:tc>
                <w:tc>
                  <w:tcPr>
                    <w:tcW w:w="0" w:type="auto"/>
                    <w:hideMark/>
                  </w:tcPr>
                  <w:p w14:paraId="14743FFC" w14:textId="77777777" w:rsidR="00495DCB" w:rsidRDefault="00495DCB">
                    <w:pPr>
                      <w:pStyle w:val="Bibliography"/>
                      <w:rPr>
                        <w:noProof/>
                      </w:rPr>
                    </w:pPr>
                    <w:r>
                      <w:rPr>
                        <w:noProof/>
                      </w:rPr>
                      <w:t>Jacobson V, Smetters DK, Thornton JD, Plass MF, Briggs NH, Braynard RL. Networking Named Content. In Proceedings of the 5th international conference on Emerging networking experiments and technologies; 2009; New York, NY, USA: ACM. p. 1-12.</w:t>
                    </w:r>
                  </w:p>
                </w:tc>
              </w:tr>
              <w:tr w:rsidR="00495DCB" w14:paraId="7C88F442" w14:textId="77777777" w:rsidTr="00495DCB">
                <w:trPr>
                  <w:tblCellSpacing w:w="15" w:type="dxa"/>
                </w:trPr>
                <w:tc>
                  <w:tcPr>
                    <w:tcW w:w="0" w:type="auto"/>
                    <w:hideMark/>
                  </w:tcPr>
                  <w:p w14:paraId="5FDAA710" w14:textId="77777777" w:rsidR="00495DCB" w:rsidRDefault="00495DCB">
                    <w:pPr>
                      <w:pStyle w:val="Bibliography"/>
                      <w:jc w:val="right"/>
                      <w:rPr>
                        <w:noProof/>
                      </w:rPr>
                    </w:pPr>
                    <w:r>
                      <w:rPr>
                        <w:noProof/>
                      </w:rPr>
                      <w:t>9.</w:t>
                    </w:r>
                  </w:p>
                </w:tc>
                <w:tc>
                  <w:tcPr>
                    <w:tcW w:w="0" w:type="auto"/>
                    <w:hideMark/>
                  </w:tcPr>
                  <w:p w14:paraId="6247EE2C" w14:textId="77777777" w:rsidR="00495DCB" w:rsidRDefault="00495DCB">
                    <w:pPr>
                      <w:pStyle w:val="Bibliography"/>
                      <w:rPr>
                        <w:noProof/>
                      </w:rPr>
                    </w:pPr>
                    <w:r>
                      <w:rPr>
                        <w:noProof/>
                      </w:rPr>
                      <w:t>Ain Mea. D2.3 – Architecture Definition, Component Descriptions, and Requirements. Deliverable. Publish-Subscribe Internet Routing Paradigm; 209.</w:t>
                    </w:r>
                  </w:p>
                </w:tc>
              </w:tr>
              <w:tr w:rsidR="00495DCB" w14:paraId="545B9C61" w14:textId="77777777" w:rsidTr="00495DCB">
                <w:trPr>
                  <w:tblCellSpacing w:w="15" w:type="dxa"/>
                </w:trPr>
                <w:tc>
                  <w:tcPr>
                    <w:tcW w:w="0" w:type="auto"/>
                    <w:hideMark/>
                  </w:tcPr>
                  <w:p w14:paraId="2D0F85DC" w14:textId="77777777" w:rsidR="00495DCB" w:rsidRDefault="00495DCB">
                    <w:pPr>
                      <w:pStyle w:val="Bibliography"/>
                      <w:jc w:val="right"/>
                      <w:rPr>
                        <w:noProof/>
                      </w:rPr>
                    </w:pPr>
                    <w:r>
                      <w:rPr>
                        <w:noProof/>
                      </w:rPr>
                      <w:t>10.</w:t>
                    </w:r>
                  </w:p>
                </w:tc>
                <w:tc>
                  <w:tcPr>
                    <w:tcW w:w="0" w:type="auto"/>
                    <w:hideMark/>
                  </w:tcPr>
                  <w:p w14:paraId="478F0264" w14:textId="77777777" w:rsidR="00495DCB" w:rsidRDefault="00495DCB">
                    <w:pPr>
                      <w:pStyle w:val="Bibliography"/>
                      <w:rPr>
                        <w:noProof/>
                      </w:rPr>
                    </w:pPr>
                    <w:r>
                      <w:rPr>
                        <w:noProof/>
                      </w:rPr>
                      <w:t>Ghodsi A, Koponen T, Rajahalme J, Sarolahti P, Shenker S. Naming in Content-oriented Architectures. In Proceedings of the ACM SIGCOMM workshop on Information-centric networking; 2011; New York, NY, USA: ACM. p. 1-6.</w:t>
                    </w:r>
                  </w:p>
                </w:tc>
              </w:tr>
              <w:tr w:rsidR="00495DCB" w14:paraId="75A0B57D" w14:textId="77777777" w:rsidTr="00495DCB">
                <w:trPr>
                  <w:tblCellSpacing w:w="15" w:type="dxa"/>
                </w:trPr>
                <w:tc>
                  <w:tcPr>
                    <w:tcW w:w="0" w:type="auto"/>
                    <w:hideMark/>
                  </w:tcPr>
                  <w:p w14:paraId="598B1E36" w14:textId="77777777" w:rsidR="00495DCB" w:rsidRDefault="00495DCB">
                    <w:pPr>
                      <w:pStyle w:val="Bibliography"/>
                      <w:jc w:val="right"/>
                      <w:rPr>
                        <w:noProof/>
                      </w:rPr>
                    </w:pPr>
                    <w:r>
                      <w:rPr>
                        <w:noProof/>
                      </w:rPr>
                      <w:t>11.</w:t>
                    </w:r>
                  </w:p>
                </w:tc>
                <w:tc>
                  <w:tcPr>
                    <w:tcW w:w="0" w:type="auto"/>
                    <w:hideMark/>
                  </w:tcPr>
                  <w:p w14:paraId="4912E9D0" w14:textId="77777777" w:rsidR="00495DCB" w:rsidRDefault="00495DCB">
                    <w:pPr>
                      <w:pStyle w:val="Bibliography"/>
                      <w:rPr>
                        <w:noProof/>
                      </w:rPr>
                    </w:pPr>
                    <w:r>
                      <w:rPr>
                        <w:noProof/>
                      </w:rPr>
                      <w:t>U.S. Department of Defense. Department of Defense Global Information Grid Architectural Vision. Informational. U.S. Department of Defense; 2007.</w:t>
                    </w:r>
                  </w:p>
                </w:tc>
              </w:tr>
              <w:tr w:rsidR="00495DCB" w14:paraId="567A255D" w14:textId="77777777" w:rsidTr="00495DCB">
                <w:trPr>
                  <w:tblCellSpacing w:w="15" w:type="dxa"/>
                </w:trPr>
                <w:tc>
                  <w:tcPr>
                    <w:tcW w:w="0" w:type="auto"/>
                    <w:hideMark/>
                  </w:tcPr>
                  <w:p w14:paraId="315F6FF3" w14:textId="77777777" w:rsidR="00495DCB" w:rsidRDefault="00495DCB">
                    <w:pPr>
                      <w:pStyle w:val="Bibliography"/>
                      <w:jc w:val="right"/>
                      <w:rPr>
                        <w:noProof/>
                      </w:rPr>
                    </w:pPr>
                    <w:r>
                      <w:rPr>
                        <w:noProof/>
                      </w:rPr>
                      <w:t>12.</w:t>
                    </w:r>
                  </w:p>
                </w:tc>
                <w:tc>
                  <w:tcPr>
                    <w:tcW w:w="0" w:type="auto"/>
                    <w:hideMark/>
                  </w:tcPr>
                  <w:p w14:paraId="35569AB7" w14:textId="77777777" w:rsidR="00495DCB" w:rsidRDefault="00495DCB">
                    <w:pPr>
                      <w:pStyle w:val="Bibliography"/>
                      <w:rPr>
                        <w:noProof/>
                      </w:rPr>
                    </w:pPr>
                    <w:r>
                      <w:rPr>
                        <w:noProof/>
                      </w:rPr>
                      <w:t>U.S. National Security Agency. Distributed Service Oriented Architecture (SOA)- Compatible Cross Domain Service (DSCDS) DSCDS Overview. In Unified Cross Domain Management Office Conference; 2009.</w:t>
                    </w:r>
                  </w:p>
                </w:tc>
              </w:tr>
              <w:tr w:rsidR="00495DCB" w14:paraId="03BB21E8" w14:textId="77777777" w:rsidTr="00495DCB">
                <w:trPr>
                  <w:tblCellSpacing w:w="15" w:type="dxa"/>
                </w:trPr>
                <w:tc>
                  <w:tcPr>
                    <w:tcW w:w="0" w:type="auto"/>
                    <w:hideMark/>
                  </w:tcPr>
                  <w:p w14:paraId="26F8342F" w14:textId="77777777" w:rsidR="00495DCB" w:rsidRDefault="00495DCB">
                    <w:pPr>
                      <w:pStyle w:val="Bibliography"/>
                      <w:jc w:val="right"/>
                      <w:rPr>
                        <w:noProof/>
                      </w:rPr>
                    </w:pPr>
                    <w:r>
                      <w:rPr>
                        <w:noProof/>
                      </w:rPr>
                      <w:t>13.</w:t>
                    </w:r>
                  </w:p>
                </w:tc>
                <w:tc>
                  <w:tcPr>
                    <w:tcW w:w="0" w:type="auto"/>
                    <w:hideMark/>
                  </w:tcPr>
                  <w:p w14:paraId="1AF6A8EC" w14:textId="77777777" w:rsidR="00495DCB" w:rsidRDefault="00495DCB">
                    <w:pPr>
                      <w:pStyle w:val="Bibliography"/>
                      <w:rPr>
                        <w:noProof/>
                      </w:rPr>
                    </w:pPr>
                    <w:r>
                      <w:rPr>
                        <w:noProof/>
                      </w:rPr>
                      <w:t>Booz | Allen | Hamilton. Distributed Service Oriented Architecture (SOA) Compatible Cross Domain Service (DSCDS). In Unified Cross Domain Management Office Conference; 2009.</w:t>
                    </w:r>
                  </w:p>
                </w:tc>
              </w:tr>
              <w:tr w:rsidR="00495DCB" w14:paraId="629D412D" w14:textId="77777777" w:rsidTr="00495DCB">
                <w:trPr>
                  <w:tblCellSpacing w:w="15" w:type="dxa"/>
                </w:trPr>
                <w:tc>
                  <w:tcPr>
                    <w:tcW w:w="0" w:type="auto"/>
                    <w:hideMark/>
                  </w:tcPr>
                  <w:p w14:paraId="3D106F4A" w14:textId="77777777" w:rsidR="00495DCB" w:rsidRDefault="00495DCB">
                    <w:pPr>
                      <w:pStyle w:val="Bibliography"/>
                      <w:jc w:val="right"/>
                      <w:rPr>
                        <w:noProof/>
                      </w:rPr>
                    </w:pPr>
                    <w:r>
                      <w:rPr>
                        <w:noProof/>
                      </w:rPr>
                      <w:t>14.</w:t>
                    </w:r>
                  </w:p>
                </w:tc>
                <w:tc>
                  <w:tcPr>
                    <w:tcW w:w="0" w:type="auto"/>
                    <w:hideMark/>
                  </w:tcPr>
                  <w:p w14:paraId="3A8A3197" w14:textId="77777777" w:rsidR="00495DCB" w:rsidRDefault="00495DCB">
                    <w:pPr>
                      <w:pStyle w:val="Bibliography"/>
                      <w:rPr>
                        <w:noProof/>
                      </w:rPr>
                    </w:pPr>
                    <w:r>
                      <w:rPr>
                        <w:noProof/>
                      </w:rPr>
                      <w:t>Raytheon Corporation. Raytheon DSCDS Intro. In Unified Cross Domain Management Office Conference; 2009.</w:t>
                    </w:r>
                  </w:p>
                </w:tc>
              </w:tr>
              <w:tr w:rsidR="00495DCB" w14:paraId="7409706F" w14:textId="77777777" w:rsidTr="00495DCB">
                <w:trPr>
                  <w:tblCellSpacing w:w="15" w:type="dxa"/>
                </w:trPr>
                <w:tc>
                  <w:tcPr>
                    <w:tcW w:w="0" w:type="auto"/>
                    <w:hideMark/>
                  </w:tcPr>
                  <w:p w14:paraId="45DA3496" w14:textId="77777777" w:rsidR="00495DCB" w:rsidRDefault="00495DCB">
                    <w:pPr>
                      <w:pStyle w:val="Bibliography"/>
                      <w:jc w:val="right"/>
                      <w:rPr>
                        <w:noProof/>
                      </w:rPr>
                    </w:pPr>
                    <w:r>
                      <w:rPr>
                        <w:noProof/>
                      </w:rPr>
                      <w:t>15.</w:t>
                    </w:r>
                  </w:p>
                </w:tc>
                <w:tc>
                  <w:tcPr>
                    <w:tcW w:w="0" w:type="auto"/>
                    <w:hideMark/>
                  </w:tcPr>
                  <w:p w14:paraId="5F204524" w14:textId="77777777" w:rsidR="00495DCB" w:rsidRDefault="00495DCB">
                    <w:pPr>
                      <w:pStyle w:val="Bibliography"/>
                      <w:rPr>
                        <w:noProof/>
                      </w:rPr>
                    </w:pPr>
                    <w:r>
                      <w:rPr>
                        <w:noProof/>
                      </w:rPr>
                      <w:t>Ross R. Next Generation Risk Management. Unified Cross Domain Management Office. 2009.</w:t>
                    </w:r>
                  </w:p>
                </w:tc>
              </w:tr>
              <w:tr w:rsidR="00495DCB" w14:paraId="5ADC5B30" w14:textId="77777777" w:rsidTr="00495DCB">
                <w:trPr>
                  <w:tblCellSpacing w:w="15" w:type="dxa"/>
                </w:trPr>
                <w:tc>
                  <w:tcPr>
                    <w:tcW w:w="0" w:type="auto"/>
                    <w:hideMark/>
                  </w:tcPr>
                  <w:p w14:paraId="292B43EB" w14:textId="77777777" w:rsidR="00495DCB" w:rsidRDefault="00495DCB">
                    <w:pPr>
                      <w:pStyle w:val="Bibliography"/>
                      <w:jc w:val="right"/>
                      <w:rPr>
                        <w:noProof/>
                      </w:rPr>
                    </w:pPr>
                    <w:r>
                      <w:rPr>
                        <w:noProof/>
                      </w:rPr>
                      <w:t>16.</w:t>
                    </w:r>
                  </w:p>
                </w:tc>
                <w:tc>
                  <w:tcPr>
                    <w:tcW w:w="0" w:type="auto"/>
                    <w:hideMark/>
                  </w:tcPr>
                  <w:p w14:paraId="7BD94FEE" w14:textId="77777777" w:rsidR="00495DCB" w:rsidRDefault="00495DCB">
                    <w:pPr>
                      <w:pStyle w:val="Bibliography"/>
                      <w:rPr>
                        <w:noProof/>
                      </w:rPr>
                    </w:pPr>
                    <w:r>
                      <w:rPr>
                        <w:noProof/>
                      </w:rPr>
                      <w:t>Clark DD. The design philosophy of the DARPA Internet Protocols. SIGCOMM Comput. Commun. Rev. 1995 January 1; 25(1): p. 102-111.</w:t>
                    </w:r>
                  </w:p>
                </w:tc>
              </w:tr>
              <w:tr w:rsidR="00495DCB" w14:paraId="607C5D02" w14:textId="77777777" w:rsidTr="00495DCB">
                <w:trPr>
                  <w:tblCellSpacing w:w="15" w:type="dxa"/>
                </w:trPr>
                <w:tc>
                  <w:tcPr>
                    <w:tcW w:w="0" w:type="auto"/>
                    <w:hideMark/>
                  </w:tcPr>
                  <w:p w14:paraId="52A338D9" w14:textId="77777777" w:rsidR="00495DCB" w:rsidRDefault="00495DCB">
                    <w:pPr>
                      <w:pStyle w:val="Bibliography"/>
                      <w:jc w:val="right"/>
                      <w:rPr>
                        <w:noProof/>
                      </w:rPr>
                    </w:pPr>
                    <w:r>
                      <w:rPr>
                        <w:noProof/>
                      </w:rPr>
                      <w:t>17.</w:t>
                    </w:r>
                  </w:p>
                </w:tc>
                <w:tc>
                  <w:tcPr>
                    <w:tcW w:w="0" w:type="auto"/>
                    <w:hideMark/>
                  </w:tcPr>
                  <w:p w14:paraId="5AC8B2B3" w14:textId="77777777" w:rsidR="00495DCB" w:rsidRDefault="00495DCB">
                    <w:pPr>
                      <w:pStyle w:val="Bibliography"/>
                      <w:rPr>
                        <w:noProof/>
                      </w:rPr>
                    </w:pPr>
                    <w:r>
                      <w:rPr>
                        <w:noProof/>
                      </w:rPr>
                      <w:t>Blumenthal MS, Clark DD. Rethinking the design of the Internet: the end-to-end arguments vs. the brave new world. ACM Trans. Internet Technol. 2001 August 1; 1(1): p. 70-109.</w:t>
                    </w:r>
                  </w:p>
                </w:tc>
              </w:tr>
              <w:tr w:rsidR="00495DCB" w14:paraId="6BE40E90" w14:textId="77777777" w:rsidTr="00495DCB">
                <w:trPr>
                  <w:tblCellSpacing w:w="15" w:type="dxa"/>
                </w:trPr>
                <w:tc>
                  <w:tcPr>
                    <w:tcW w:w="0" w:type="auto"/>
                    <w:hideMark/>
                  </w:tcPr>
                  <w:p w14:paraId="1E0909B8" w14:textId="77777777" w:rsidR="00495DCB" w:rsidRDefault="00495DCB">
                    <w:pPr>
                      <w:pStyle w:val="Bibliography"/>
                      <w:jc w:val="right"/>
                      <w:rPr>
                        <w:noProof/>
                      </w:rPr>
                    </w:pPr>
                    <w:r>
                      <w:rPr>
                        <w:noProof/>
                      </w:rPr>
                      <w:t>18.</w:t>
                    </w:r>
                  </w:p>
                </w:tc>
                <w:tc>
                  <w:tcPr>
                    <w:tcW w:w="0" w:type="auto"/>
                    <w:hideMark/>
                  </w:tcPr>
                  <w:p w14:paraId="5BC69236" w14:textId="77777777" w:rsidR="00495DCB" w:rsidRDefault="00495DCB">
                    <w:pPr>
                      <w:pStyle w:val="Bibliography"/>
                      <w:rPr>
                        <w:noProof/>
                      </w:rPr>
                    </w:pPr>
                    <w:r>
                      <w:rPr>
                        <w:noProof/>
                      </w:rPr>
                      <w:t>Clark DD, Wroclawski J, Sollins KR, Braden R. Tussle in cyberspace: Defining Tomorrow's Internet. In SIGCOMM; 2002; Pittsburg, PA: ACM. p. 347-356.</w:t>
                    </w:r>
                  </w:p>
                </w:tc>
              </w:tr>
              <w:tr w:rsidR="00495DCB" w14:paraId="148A5077" w14:textId="77777777" w:rsidTr="00495DCB">
                <w:trPr>
                  <w:tblCellSpacing w:w="15" w:type="dxa"/>
                </w:trPr>
                <w:tc>
                  <w:tcPr>
                    <w:tcW w:w="0" w:type="auto"/>
                    <w:hideMark/>
                  </w:tcPr>
                  <w:p w14:paraId="270F8833" w14:textId="77777777" w:rsidR="00495DCB" w:rsidRDefault="00495DCB">
                    <w:pPr>
                      <w:pStyle w:val="Bibliography"/>
                      <w:jc w:val="right"/>
                      <w:rPr>
                        <w:noProof/>
                      </w:rPr>
                    </w:pPr>
                    <w:r>
                      <w:rPr>
                        <w:noProof/>
                      </w:rPr>
                      <w:t>19.</w:t>
                    </w:r>
                  </w:p>
                </w:tc>
                <w:tc>
                  <w:tcPr>
                    <w:tcW w:w="0" w:type="auto"/>
                    <w:hideMark/>
                  </w:tcPr>
                  <w:p w14:paraId="19E8D6EF" w14:textId="77777777" w:rsidR="00495DCB" w:rsidRDefault="00495DCB">
                    <w:pPr>
                      <w:pStyle w:val="Bibliography"/>
                      <w:rPr>
                        <w:noProof/>
                      </w:rPr>
                    </w:pPr>
                    <w:r>
                      <w:rPr>
                        <w:noProof/>
                      </w:rPr>
                      <w:t>Park J, Sandhu R. The UCON ABC Usage Control Model. ACM Trans. Inf. Syst. Secur. 2004; 7(1): p. 128-174.</w:t>
                    </w:r>
                  </w:p>
                </w:tc>
              </w:tr>
              <w:tr w:rsidR="00495DCB" w14:paraId="717AE56D" w14:textId="77777777" w:rsidTr="00495DCB">
                <w:trPr>
                  <w:tblCellSpacing w:w="15" w:type="dxa"/>
                </w:trPr>
                <w:tc>
                  <w:tcPr>
                    <w:tcW w:w="0" w:type="auto"/>
                    <w:hideMark/>
                  </w:tcPr>
                  <w:p w14:paraId="193D9D34" w14:textId="77777777" w:rsidR="00495DCB" w:rsidRDefault="00495DCB">
                    <w:pPr>
                      <w:pStyle w:val="Bibliography"/>
                      <w:jc w:val="right"/>
                      <w:rPr>
                        <w:noProof/>
                      </w:rPr>
                    </w:pPr>
                    <w:r>
                      <w:rPr>
                        <w:noProof/>
                      </w:rPr>
                      <w:t>20.</w:t>
                    </w:r>
                  </w:p>
                </w:tc>
                <w:tc>
                  <w:tcPr>
                    <w:tcW w:w="0" w:type="auto"/>
                    <w:hideMark/>
                  </w:tcPr>
                  <w:p w14:paraId="6BC4A1AA" w14:textId="77777777" w:rsidR="00495DCB" w:rsidRDefault="00495DCB">
                    <w:pPr>
                      <w:pStyle w:val="Bibliography"/>
                      <w:rPr>
                        <w:noProof/>
                      </w:rPr>
                    </w:pPr>
                    <w:r>
                      <w:rPr>
                        <w:noProof/>
                      </w:rPr>
                      <w:t>Jamkhedkar PA, Heileman GL, Lamb CC. An Interoperable Usage Management Framework. In Proceedings of the Tenth ACM Workshop on Digital Rights Management; 2010; Chicago.</w:t>
                    </w:r>
                  </w:p>
                </w:tc>
              </w:tr>
              <w:tr w:rsidR="00495DCB" w14:paraId="1DCE38B9" w14:textId="77777777" w:rsidTr="00495DCB">
                <w:trPr>
                  <w:tblCellSpacing w:w="15" w:type="dxa"/>
                </w:trPr>
                <w:tc>
                  <w:tcPr>
                    <w:tcW w:w="0" w:type="auto"/>
                    <w:hideMark/>
                  </w:tcPr>
                  <w:p w14:paraId="12C06B61" w14:textId="77777777" w:rsidR="00495DCB" w:rsidRDefault="00495DCB">
                    <w:pPr>
                      <w:pStyle w:val="Bibliography"/>
                      <w:jc w:val="right"/>
                      <w:rPr>
                        <w:noProof/>
                      </w:rPr>
                    </w:pPr>
                    <w:r>
                      <w:rPr>
                        <w:noProof/>
                      </w:rPr>
                      <w:t>21.</w:t>
                    </w:r>
                  </w:p>
                </w:tc>
                <w:tc>
                  <w:tcPr>
                    <w:tcW w:w="0" w:type="auto"/>
                    <w:hideMark/>
                  </w:tcPr>
                  <w:p w14:paraId="7AE4278D" w14:textId="77777777" w:rsidR="00495DCB" w:rsidRDefault="00495DCB">
                    <w:pPr>
                      <w:pStyle w:val="Bibliography"/>
                      <w:rPr>
                        <w:noProof/>
                      </w:rPr>
                    </w:pPr>
                    <w:r>
                      <w:rPr>
                        <w:noProof/>
                      </w:rPr>
                      <w:t>Jamkhedkar PA, Heileman GL, Martinez-Ortiz I. The Problem with Rights Expression Languages. In Proceedings of the Sixth ACM Workshop on Digital Rights Management; 2006; Alexandria, VA. p. 59-67.</w:t>
                    </w:r>
                  </w:p>
                </w:tc>
              </w:tr>
              <w:tr w:rsidR="00495DCB" w14:paraId="4D5A7C67" w14:textId="77777777" w:rsidTr="00495DCB">
                <w:trPr>
                  <w:tblCellSpacing w:w="15" w:type="dxa"/>
                </w:trPr>
                <w:tc>
                  <w:tcPr>
                    <w:tcW w:w="0" w:type="auto"/>
                    <w:hideMark/>
                  </w:tcPr>
                  <w:p w14:paraId="0B62C549" w14:textId="77777777" w:rsidR="00495DCB" w:rsidRDefault="00495DCB">
                    <w:pPr>
                      <w:pStyle w:val="Bibliography"/>
                      <w:jc w:val="right"/>
                      <w:rPr>
                        <w:noProof/>
                      </w:rPr>
                    </w:pPr>
                    <w:r>
                      <w:rPr>
                        <w:noProof/>
                      </w:rPr>
                      <w:t>22.</w:t>
                    </w:r>
                  </w:p>
                </w:tc>
                <w:tc>
                  <w:tcPr>
                    <w:tcW w:w="0" w:type="auto"/>
                    <w:hideMark/>
                  </w:tcPr>
                  <w:p w14:paraId="67373E36" w14:textId="77777777" w:rsidR="00495DCB" w:rsidRDefault="00495DCB">
                    <w:pPr>
                      <w:pStyle w:val="Bibliography"/>
                      <w:rPr>
                        <w:noProof/>
                      </w:rPr>
                    </w:pPr>
                    <w:r>
                      <w:rPr>
                        <w:noProof/>
                      </w:rPr>
                      <w:t>Jamkhedkar PA, Heileman GL. The Role of Architecture in DRM Vendor Economics. In Satish D. Digital Rights Management: An Introduction.: ICFAI University Press; 2009.</w:t>
                    </w:r>
                  </w:p>
                </w:tc>
              </w:tr>
              <w:tr w:rsidR="00495DCB" w14:paraId="5160A644" w14:textId="77777777" w:rsidTr="00495DCB">
                <w:trPr>
                  <w:tblCellSpacing w:w="15" w:type="dxa"/>
                </w:trPr>
                <w:tc>
                  <w:tcPr>
                    <w:tcW w:w="0" w:type="auto"/>
                    <w:hideMark/>
                  </w:tcPr>
                  <w:p w14:paraId="23634CA4" w14:textId="77777777" w:rsidR="00495DCB" w:rsidRDefault="00495DCB">
                    <w:pPr>
                      <w:pStyle w:val="Bibliography"/>
                      <w:jc w:val="right"/>
                      <w:rPr>
                        <w:noProof/>
                      </w:rPr>
                    </w:pPr>
                    <w:r>
                      <w:rPr>
                        <w:noProof/>
                      </w:rPr>
                      <w:t>23.</w:t>
                    </w:r>
                  </w:p>
                </w:tc>
                <w:tc>
                  <w:tcPr>
                    <w:tcW w:w="0" w:type="auto"/>
                    <w:hideMark/>
                  </w:tcPr>
                  <w:p w14:paraId="33800586" w14:textId="77777777" w:rsidR="00495DCB" w:rsidRDefault="00495DCB">
                    <w:pPr>
                      <w:pStyle w:val="Bibliography"/>
                      <w:rPr>
                        <w:noProof/>
                      </w:rPr>
                    </w:pPr>
                    <w:r>
                      <w:rPr>
                        <w:noProof/>
                      </w:rPr>
                      <w:t>Jamkhedkar PA, Heileman GL. DRM as a Layered System. In Proceedings of the Fourth ACM Workshop on Digital Rights Management; 2004; Washington, DC, USA: ACM. p. 11-21.</w:t>
                    </w:r>
                  </w:p>
                </w:tc>
              </w:tr>
              <w:tr w:rsidR="00495DCB" w14:paraId="41DA4CDE" w14:textId="77777777" w:rsidTr="00495DCB">
                <w:trPr>
                  <w:tblCellSpacing w:w="15" w:type="dxa"/>
                </w:trPr>
                <w:tc>
                  <w:tcPr>
                    <w:tcW w:w="0" w:type="auto"/>
                    <w:hideMark/>
                  </w:tcPr>
                  <w:p w14:paraId="03D76E93" w14:textId="77777777" w:rsidR="00495DCB" w:rsidRDefault="00495DCB">
                    <w:pPr>
                      <w:pStyle w:val="Bibliography"/>
                      <w:jc w:val="right"/>
                      <w:rPr>
                        <w:noProof/>
                      </w:rPr>
                    </w:pPr>
                    <w:r>
                      <w:rPr>
                        <w:noProof/>
                      </w:rPr>
                      <w:t>24.</w:t>
                    </w:r>
                  </w:p>
                </w:tc>
                <w:tc>
                  <w:tcPr>
                    <w:tcW w:w="0" w:type="auto"/>
                    <w:hideMark/>
                  </w:tcPr>
                  <w:p w14:paraId="7AB9B825" w14:textId="77777777" w:rsidR="00495DCB" w:rsidRDefault="00495DCB">
                    <w:pPr>
                      <w:pStyle w:val="Bibliography"/>
                      <w:rPr>
                        <w:noProof/>
                      </w:rPr>
                    </w:pPr>
                    <w:r>
                      <w:rPr>
                        <w:noProof/>
                      </w:rPr>
                      <w:t>Heileman GL, Jamkhedkar PA. DRM Interoperability Analysis from the Perspective of a Layered Framework. In Proceedings of the Fifth ACM Workshop on Digital Rights Management; 2005; Alexandria, VA, USA: ACM. p. 17-26.</w:t>
                    </w:r>
                  </w:p>
                </w:tc>
              </w:tr>
              <w:tr w:rsidR="00495DCB" w14:paraId="1DF0423A" w14:textId="77777777" w:rsidTr="00495DCB">
                <w:trPr>
                  <w:tblCellSpacing w:w="15" w:type="dxa"/>
                </w:trPr>
                <w:tc>
                  <w:tcPr>
                    <w:tcW w:w="0" w:type="auto"/>
                    <w:hideMark/>
                  </w:tcPr>
                  <w:p w14:paraId="6EC3AA00" w14:textId="77777777" w:rsidR="00495DCB" w:rsidRDefault="00495DCB">
                    <w:pPr>
                      <w:pStyle w:val="Bibliography"/>
                      <w:jc w:val="right"/>
                      <w:rPr>
                        <w:noProof/>
                      </w:rPr>
                    </w:pPr>
                    <w:r>
                      <w:rPr>
                        <w:noProof/>
                      </w:rPr>
                      <w:t>25.</w:t>
                    </w:r>
                  </w:p>
                </w:tc>
                <w:tc>
                  <w:tcPr>
                    <w:tcW w:w="0" w:type="auto"/>
                    <w:hideMark/>
                  </w:tcPr>
                  <w:p w14:paraId="635DBB88" w14:textId="77777777" w:rsidR="00495DCB" w:rsidRDefault="00495DCB">
                    <w:pPr>
                      <w:pStyle w:val="Bibliography"/>
                      <w:rPr>
                        <w:noProof/>
                      </w:rPr>
                    </w:pPr>
                    <w:r>
                      <w:rPr>
                        <w:noProof/>
                      </w:rPr>
                      <w:t>Koenen RH, Lacy J, MacKay M, Mitchell S. The Long March to Interoperable Digital Rights Management. Proceedings of the IEEE. 2004: p. 883-897.</w:t>
                    </w:r>
                  </w:p>
                </w:tc>
              </w:tr>
              <w:tr w:rsidR="00495DCB" w14:paraId="723087B7" w14:textId="77777777" w:rsidTr="00495DCB">
                <w:trPr>
                  <w:tblCellSpacing w:w="15" w:type="dxa"/>
                </w:trPr>
                <w:tc>
                  <w:tcPr>
                    <w:tcW w:w="0" w:type="auto"/>
                    <w:hideMark/>
                  </w:tcPr>
                  <w:p w14:paraId="25295B2D" w14:textId="77777777" w:rsidR="00495DCB" w:rsidRDefault="00495DCB">
                    <w:pPr>
                      <w:pStyle w:val="Bibliography"/>
                      <w:jc w:val="right"/>
                      <w:rPr>
                        <w:noProof/>
                      </w:rPr>
                    </w:pPr>
                    <w:r>
                      <w:rPr>
                        <w:noProof/>
                      </w:rPr>
                      <w:t>26.</w:t>
                    </w:r>
                  </w:p>
                </w:tc>
                <w:tc>
                  <w:tcPr>
                    <w:tcW w:w="0" w:type="auto"/>
                    <w:hideMark/>
                  </w:tcPr>
                  <w:p w14:paraId="3E9B985A" w14:textId="77777777" w:rsidR="00495DCB" w:rsidRDefault="00495DCB">
                    <w:pPr>
                      <w:pStyle w:val="Bibliography"/>
                      <w:rPr>
                        <w:noProof/>
                      </w:rPr>
                    </w:pPr>
                    <w:r>
                      <w:rPr>
                        <w:noProof/>
                      </w:rPr>
                      <w:t xml:space="preserve">Coral Consortium. Coral Consortium Whitepaper. [Online].: Coral Consortium; 2006. Available from: </w:t>
                    </w:r>
                    <w:hyperlink r:id="rId22" w:history="1">
                      <w:r>
                        <w:rPr>
                          <w:rStyle w:val="Hyperlink"/>
                          <w:noProof/>
                        </w:rPr>
                        <w:t>http://www.coral-interop.org/main/news/Coral.whitepaper.pdf</w:t>
                      </w:r>
                    </w:hyperlink>
                    <w:r>
                      <w:rPr>
                        <w:noProof/>
                      </w:rPr>
                      <w:t>.</w:t>
                    </w:r>
                  </w:p>
                </w:tc>
              </w:tr>
              <w:tr w:rsidR="00495DCB" w14:paraId="3B4869B2" w14:textId="77777777" w:rsidTr="00495DCB">
                <w:trPr>
                  <w:tblCellSpacing w:w="15" w:type="dxa"/>
                </w:trPr>
                <w:tc>
                  <w:tcPr>
                    <w:tcW w:w="0" w:type="auto"/>
                    <w:hideMark/>
                  </w:tcPr>
                  <w:p w14:paraId="4AD35B36" w14:textId="77777777" w:rsidR="00495DCB" w:rsidRDefault="00495DCB">
                    <w:pPr>
                      <w:pStyle w:val="Bibliography"/>
                      <w:jc w:val="right"/>
                      <w:rPr>
                        <w:noProof/>
                      </w:rPr>
                    </w:pPr>
                    <w:r>
                      <w:rPr>
                        <w:noProof/>
                      </w:rPr>
                      <w:t>27.</w:t>
                    </w:r>
                  </w:p>
                </w:tc>
                <w:tc>
                  <w:tcPr>
                    <w:tcW w:w="0" w:type="auto"/>
                    <w:hideMark/>
                  </w:tcPr>
                  <w:p w14:paraId="295EF777" w14:textId="77777777" w:rsidR="00495DCB" w:rsidRDefault="00495DCB">
                    <w:pPr>
                      <w:pStyle w:val="Bibliography"/>
                      <w:rPr>
                        <w:noProof/>
                      </w:rPr>
                    </w:pPr>
                    <w:r>
                      <w:rPr>
                        <w:noProof/>
                      </w:rPr>
                      <w:t xml:space="preserve">Marlin. Marlin Architecture Overview. [Online].; 2006. Available from: </w:t>
                    </w:r>
                    <w:hyperlink r:id="rId23" w:history="1">
                      <w:r>
                        <w:rPr>
                          <w:rStyle w:val="Hyperlink"/>
                          <w:noProof/>
                        </w:rPr>
                        <w:t>http://www.marlin-community.com</w:t>
                      </w:r>
                    </w:hyperlink>
                    <w:r>
                      <w:rPr>
                        <w:noProof/>
                      </w:rPr>
                      <w:t>.</w:t>
                    </w:r>
                  </w:p>
                </w:tc>
              </w:tr>
              <w:tr w:rsidR="00495DCB" w14:paraId="45CDCCF0" w14:textId="77777777" w:rsidTr="00495DCB">
                <w:trPr>
                  <w:tblCellSpacing w:w="15" w:type="dxa"/>
                </w:trPr>
                <w:tc>
                  <w:tcPr>
                    <w:tcW w:w="0" w:type="auto"/>
                    <w:hideMark/>
                  </w:tcPr>
                  <w:p w14:paraId="640BA6DB" w14:textId="77777777" w:rsidR="00495DCB" w:rsidRDefault="00495DCB">
                    <w:pPr>
                      <w:pStyle w:val="Bibliography"/>
                      <w:jc w:val="right"/>
                      <w:rPr>
                        <w:noProof/>
                      </w:rPr>
                    </w:pPr>
                    <w:r>
                      <w:rPr>
                        <w:noProof/>
                      </w:rPr>
                      <w:t>28.</w:t>
                    </w:r>
                  </w:p>
                </w:tc>
                <w:tc>
                  <w:tcPr>
                    <w:tcW w:w="0" w:type="auto"/>
                    <w:hideMark/>
                  </w:tcPr>
                  <w:p w14:paraId="2E0D0D8E" w14:textId="77777777" w:rsidR="00495DCB" w:rsidRDefault="00495DCB">
                    <w:pPr>
                      <w:pStyle w:val="Bibliography"/>
                      <w:rPr>
                        <w:noProof/>
                      </w:rPr>
                    </w:pPr>
                    <w:r>
                      <w:rPr>
                        <w:noProof/>
                      </w:rPr>
                      <w:t>Perez GM, Clemente FJG, Skarmeta AFG. Building and Managing Policy-Based Secure Overlay Networks. In Parallel, Distributed and Network-Based Processing, 2008. PDP 2008. 16th Euromicro Conference on; 2008. p. 597-603.</w:t>
                    </w:r>
                  </w:p>
                </w:tc>
              </w:tr>
              <w:tr w:rsidR="00495DCB" w14:paraId="5806433B" w14:textId="77777777" w:rsidTr="00495DCB">
                <w:trPr>
                  <w:tblCellSpacing w:w="15" w:type="dxa"/>
                </w:trPr>
                <w:tc>
                  <w:tcPr>
                    <w:tcW w:w="0" w:type="auto"/>
                    <w:hideMark/>
                  </w:tcPr>
                  <w:p w14:paraId="033BF08D" w14:textId="77777777" w:rsidR="00495DCB" w:rsidRDefault="00495DCB">
                    <w:pPr>
                      <w:pStyle w:val="Bibliography"/>
                      <w:jc w:val="right"/>
                      <w:rPr>
                        <w:noProof/>
                      </w:rPr>
                    </w:pPr>
                    <w:r>
                      <w:rPr>
                        <w:noProof/>
                      </w:rPr>
                      <w:t>29.</w:t>
                    </w:r>
                  </w:p>
                </w:tc>
                <w:tc>
                  <w:tcPr>
                    <w:tcW w:w="0" w:type="auto"/>
                    <w:hideMark/>
                  </w:tcPr>
                  <w:p w14:paraId="2D881123" w14:textId="77777777" w:rsidR="00495DCB" w:rsidRDefault="00495DCB">
                    <w:pPr>
                      <w:pStyle w:val="Bibliography"/>
                      <w:rPr>
                        <w:noProof/>
                      </w:rPr>
                    </w:pPr>
                    <w:r>
                      <w:rPr>
                        <w:noProof/>
                      </w:rPr>
                      <w:t xml:space="preserve">Openflow. Openflow - Enabling Innovation in Your Network. [Online].; 2011 [cited 2012 June 1. Available from: </w:t>
                    </w:r>
                    <w:hyperlink r:id="rId24" w:history="1">
                      <w:r>
                        <w:rPr>
                          <w:rStyle w:val="Hyperlink"/>
                          <w:noProof/>
                        </w:rPr>
                        <w:t>http://www.openflow.org</w:t>
                      </w:r>
                    </w:hyperlink>
                    <w:r>
                      <w:rPr>
                        <w:noProof/>
                      </w:rPr>
                      <w:t>.</w:t>
                    </w:r>
                  </w:p>
                </w:tc>
              </w:tr>
              <w:tr w:rsidR="00495DCB" w14:paraId="48E0CD86" w14:textId="77777777" w:rsidTr="00495DCB">
                <w:trPr>
                  <w:tblCellSpacing w:w="15" w:type="dxa"/>
                </w:trPr>
                <w:tc>
                  <w:tcPr>
                    <w:tcW w:w="0" w:type="auto"/>
                    <w:hideMark/>
                  </w:tcPr>
                  <w:p w14:paraId="034E2546" w14:textId="77777777" w:rsidR="00495DCB" w:rsidRDefault="00495DCB">
                    <w:pPr>
                      <w:pStyle w:val="Bibliography"/>
                      <w:jc w:val="right"/>
                      <w:rPr>
                        <w:noProof/>
                      </w:rPr>
                    </w:pPr>
                    <w:r>
                      <w:rPr>
                        <w:noProof/>
                      </w:rPr>
                      <w:t>30.</w:t>
                    </w:r>
                  </w:p>
                </w:tc>
                <w:tc>
                  <w:tcPr>
                    <w:tcW w:w="0" w:type="auto"/>
                    <w:hideMark/>
                  </w:tcPr>
                  <w:p w14:paraId="67F8A50D" w14:textId="77777777" w:rsidR="00495DCB" w:rsidRDefault="00495DCB">
                    <w:pPr>
                      <w:pStyle w:val="Bibliography"/>
                      <w:rPr>
                        <w:noProof/>
                      </w:rPr>
                    </w:pPr>
                    <w:r>
                      <w:rPr>
                        <w:noProof/>
                      </w:rPr>
                      <w:t xml:space="preserve">JBoss. JBoss ESB. [Online].; 2011 [cited 2012 January 1. Available from: </w:t>
                    </w:r>
                    <w:hyperlink r:id="rId25" w:history="1">
                      <w:r>
                        <w:rPr>
                          <w:rStyle w:val="Hyperlink"/>
                          <w:noProof/>
                        </w:rPr>
                        <w:t>http://www.jboss.org/jbossesb</w:t>
                      </w:r>
                    </w:hyperlink>
                    <w:r>
                      <w:rPr>
                        <w:noProof/>
                      </w:rPr>
                      <w:t>.</w:t>
                    </w:r>
                  </w:p>
                </w:tc>
              </w:tr>
            </w:tbl>
            <w:p w14:paraId="73396A70" w14:textId="77777777" w:rsidR="00495DCB" w:rsidRDefault="00495DCB" w:rsidP="00495DCB">
              <w:pPr>
                <w:pStyle w:val="Bibliography"/>
                <w:rPr>
                  <w:rFonts w:eastAsiaTheme="minorEastAsia"/>
                  <w:noProof/>
                  <w:vanish/>
                </w:rPr>
              </w:pPr>
              <w:r>
                <w:rPr>
                  <w:noProof/>
                  <w:vanish/>
                </w:rPr>
                <w:t>x</w:t>
              </w:r>
            </w:p>
            <w:p w14:paraId="29AD5474" w14:textId="02EAC27E" w:rsidR="00DC341B" w:rsidRPr="00361020" w:rsidRDefault="00361020" w:rsidP="00495DCB">
              <w:r w:rsidRPr="00495DCB">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77777777" w:rsidR="00231A19" w:rsidRDefault="00F33C08" w:rsidP="00231A19">
      <w:pPr>
        <w:rPr>
          <w:b/>
          <w:bCs/>
        </w:rPr>
      </w:pPr>
      <w:r>
        <w:rPr>
          <w:rStyle w:val="apple-style-span"/>
          <w:b/>
          <w:color w:val="000000"/>
          <w:lang w:val="pt-BR"/>
        </w:rPr>
        <w:t xml:space="preserve">BIBLIOGRAPHY OF AUTHORS </w:t>
      </w:r>
      <w:r>
        <w:rPr>
          <w:b/>
          <w:bCs/>
        </w:rPr>
        <w:t>(10 PT)</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226"/>
      </w:tblGrid>
      <w:tr w:rsidR="00231A19" w14:paraId="41ADCB26" w14:textId="77777777" w:rsidTr="00F33C08">
        <w:tc>
          <w:tcPr>
            <w:tcW w:w="1813" w:type="dxa"/>
          </w:tcPr>
          <w:p w14:paraId="5E52A318" w14:textId="77777777" w:rsidR="00231A19" w:rsidRPr="00231A19" w:rsidRDefault="00231A19" w:rsidP="00A47AD5">
            <w:pPr>
              <w:rPr>
                <w:color w:val="000000"/>
                <w:lang w:val="pt-BR"/>
              </w:rPr>
            </w:pPr>
          </w:p>
          <w:p w14:paraId="2347C18A" w14:textId="77777777" w:rsidR="00231A19" w:rsidRPr="00231A19" w:rsidRDefault="00231A19" w:rsidP="00A47AD5">
            <w:pPr>
              <w:jc w:val="center"/>
              <w:rPr>
                <w:color w:val="000000"/>
                <w:lang w:val="pt-BR"/>
              </w:rPr>
            </w:pPr>
            <w:proofErr w:type="spellStart"/>
            <w:r w:rsidRPr="00231A19">
              <w:rPr>
                <w:color w:val="000000"/>
                <w:lang w:val="pt-BR"/>
              </w:rPr>
              <w:t>First</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
          <w:p w14:paraId="12D8923E" w14:textId="77777777" w:rsidR="00231A19" w:rsidRPr="00231A19" w:rsidRDefault="00231A19" w:rsidP="00A47AD5">
            <w:pPr>
              <w:jc w:val="center"/>
              <w:rPr>
                <w:color w:val="000000"/>
                <w:lang w:val="pt-BR"/>
              </w:rPr>
            </w:pPr>
            <w:proofErr w:type="spellStart"/>
            <w:r w:rsidRPr="00231A19">
              <w:rPr>
                <w:color w:val="000000"/>
                <w:lang w:val="pt-BR"/>
              </w:rPr>
              <w:t>Photo</w:t>
            </w:r>
            <w:proofErr w:type="spellEnd"/>
            <w:r w:rsidRPr="00231A19">
              <w:rPr>
                <w:color w:val="000000"/>
                <w:lang w:val="pt-BR"/>
              </w:rPr>
              <w:t xml:space="preserve"> (3x4cm)</w:t>
            </w:r>
          </w:p>
          <w:p w14:paraId="196F1677" w14:textId="77777777" w:rsidR="00231A19" w:rsidRPr="00231A19" w:rsidRDefault="00231A19" w:rsidP="00A47AD5">
            <w:pPr>
              <w:jc w:val="center"/>
              <w:rPr>
                <w:color w:val="000000"/>
                <w:lang w:val="pt-BR"/>
              </w:rPr>
            </w:pPr>
          </w:p>
        </w:tc>
        <w:tc>
          <w:tcPr>
            <w:tcW w:w="7226" w:type="dxa"/>
          </w:tcPr>
          <w:p w14:paraId="55BD80B6"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1FFA9C5" w14:textId="77777777" w:rsidR="00231A19" w:rsidRPr="00231A19" w:rsidRDefault="00231A19" w:rsidP="00A47AD5">
            <w:pPr>
              <w:rPr>
                <w:color w:val="000000"/>
                <w:lang w:val="pt-BR"/>
              </w:rPr>
            </w:pPr>
          </w:p>
          <w:p w14:paraId="2820DABC" w14:textId="77777777" w:rsidR="00231A19" w:rsidRPr="00231A19" w:rsidRDefault="00231A19" w:rsidP="00A47AD5">
            <w:pPr>
              <w:rPr>
                <w:color w:val="000000"/>
                <w:lang w:val="pt-BR"/>
              </w:rPr>
            </w:pPr>
          </w:p>
          <w:p w14:paraId="0F7434EB" w14:textId="77777777" w:rsidR="00231A19" w:rsidRPr="00231A19" w:rsidRDefault="00231A19" w:rsidP="00A47AD5">
            <w:pPr>
              <w:rPr>
                <w:color w:val="000000"/>
                <w:lang w:val="pt-BR"/>
              </w:rPr>
            </w:pPr>
          </w:p>
          <w:p w14:paraId="781ECDF2" w14:textId="77777777" w:rsidR="00231A19" w:rsidRDefault="00231A19" w:rsidP="00A47AD5">
            <w:pPr>
              <w:rPr>
                <w:color w:val="000000"/>
                <w:lang w:val="pt-BR"/>
              </w:rPr>
            </w:pPr>
          </w:p>
          <w:p w14:paraId="50CFAE0E" w14:textId="77777777" w:rsidR="00A47AD5" w:rsidRDefault="00A47AD5" w:rsidP="00A47AD5">
            <w:pPr>
              <w:rPr>
                <w:color w:val="000000"/>
                <w:lang w:val="pt-BR"/>
              </w:rPr>
            </w:pPr>
          </w:p>
          <w:p w14:paraId="4A5533B7" w14:textId="77777777" w:rsidR="00A47AD5" w:rsidRPr="00231A19" w:rsidRDefault="00A47AD5" w:rsidP="00A47AD5">
            <w:pPr>
              <w:rPr>
                <w:color w:val="000000"/>
                <w:lang w:val="pt-BR"/>
              </w:rPr>
            </w:pPr>
          </w:p>
        </w:tc>
      </w:tr>
      <w:tr w:rsidR="00A47AD5" w14:paraId="19EB3853" w14:textId="77777777" w:rsidTr="00F33C08">
        <w:tc>
          <w:tcPr>
            <w:tcW w:w="1813" w:type="dxa"/>
          </w:tcPr>
          <w:p w14:paraId="43573836" w14:textId="77777777" w:rsidR="00A47AD5" w:rsidRPr="00231A19" w:rsidRDefault="00A47AD5" w:rsidP="00A47AD5">
            <w:pPr>
              <w:rPr>
                <w:color w:val="000000"/>
                <w:lang w:val="pt-BR"/>
              </w:rPr>
            </w:pPr>
          </w:p>
        </w:tc>
        <w:tc>
          <w:tcPr>
            <w:tcW w:w="7226" w:type="dxa"/>
          </w:tcPr>
          <w:p w14:paraId="04144D6E" w14:textId="77777777" w:rsidR="00A47AD5" w:rsidRPr="00231A19" w:rsidRDefault="00A47AD5" w:rsidP="00A47AD5">
            <w:pPr>
              <w:jc w:val="both"/>
              <w:rPr>
                <w:color w:val="000000"/>
                <w:sz w:val="18"/>
                <w:szCs w:val="18"/>
              </w:rPr>
            </w:pPr>
          </w:p>
        </w:tc>
      </w:tr>
      <w:tr w:rsidR="00231A19" w14:paraId="5EA9DDAC" w14:textId="77777777" w:rsidTr="00F33C08">
        <w:tc>
          <w:tcPr>
            <w:tcW w:w="1813" w:type="dxa"/>
          </w:tcPr>
          <w:p w14:paraId="6FDC86F1" w14:textId="77777777" w:rsidR="00231A19" w:rsidRPr="00231A19" w:rsidRDefault="00231A19" w:rsidP="00A47AD5">
            <w:pPr>
              <w:rPr>
                <w:color w:val="000000"/>
                <w:lang w:val="pt-BR"/>
              </w:rPr>
            </w:pPr>
          </w:p>
          <w:p w14:paraId="7A31ADA1" w14:textId="77777777" w:rsidR="00231A19" w:rsidRPr="00231A19" w:rsidRDefault="00231A19" w:rsidP="00A47AD5">
            <w:pPr>
              <w:jc w:val="center"/>
              <w:rPr>
                <w:color w:val="000000"/>
                <w:lang w:val="pt-BR"/>
              </w:rPr>
            </w:pPr>
            <w:proofErr w:type="spellStart"/>
            <w:r w:rsidRPr="00231A19">
              <w:rPr>
                <w:color w:val="000000"/>
                <w:lang w:val="pt-BR"/>
              </w:rPr>
              <w:t>Second</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roofErr w:type="spellStart"/>
            <w:r w:rsidRPr="00231A19">
              <w:rPr>
                <w:color w:val="000000"/>
                <w:lang w:val="pt-BR"/>
              </w:rPr>
              <w:t>photo</w:t>
            </w:r>
            <w:proofErr w:type="spellEnd"/>
            <w:r w:rsidRPr="00231A19">
              <w:rPr>
                <w:color w:val="000000"/>
                <w:lang w:val="pt-BR"/>
              </w:rPr>
              <w:t>(3x4cm)</w:t>
            </w:r>
          </w:p>
          <w:p w14:paraId="5EDEF0D9" w14:textId="77777777" w:rsidR="00231A19" w:rsidRPr="00231A19" w:rsidRDefault="00231A19" w:rsidP="00A47AD5">
            <w:pPr>
              <w:jc w:val="center"/>
              <w:rPr>
                <w:color w:val="000000"/>
                <w:lang w:val="pt-BR"/>
              </w:rPr>
            </w:pPr>
          </w:p>
          <w:p w14:paraId="29CA9C4F" w14:textId="77777777" w:rsidR="00231A19" w:rsidRPr="00231A19" w:rsidRDefault="00231A19" w:rsidP="00A47AD5">
            <w:pPr>
              <w:jc w:val="center"/>
              <w:rPr>
                <w:color w:val="000000"/>
                <w:lang w:val="pt-BR"/>
              </w:rPr>
            </w:pPr>
          </w:p>
        </w:tc>
        <w:tc>
          <w:tcPr>
            <w:tcW w:w="7226" w:type="dxa"/>
          </w:tcPr>
          <w:p w14:paraId="5CDB569E"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596D605" w14:textId="77777777" w:rsidR="00F33C08" w:rsidRPr="00231A19" w:rsidRDefault="00F33C08" w:rsidP="00A47AD5">
            <w:pPr>
              <w:rPr>
                <w:color w:val="000000"/>
                <w:lang w:val="pt-BR"/>
              </w:rPr>
            </w:pPr>
          </w:p>
          <w:p w14:paraId="669D69DC" w14:textId="77777777" w:rsidR="00F33C08" w:rsidRPr="00231A19" w:rsidRDefault="00F33C08" w:rsidP="00A47AD5">
            <w:pPr>
              <w:rPr>
                <w:color w:val="000000"/>
                <w:lang w:val="pt-BR"/>
              </w:rPr>
            </w:pPr>
          </w:p>
          <w:p w14:paraId="3FF31A47" w14:textId="77777777" w:rsidR="00F33C08" w:rsidRDefault="00F33C08" w:rsidP="00A47AD5">
            <w:pPr>
              <w:rPr>
                <w:color w:val="000000"/>
                <w:lang w:val="pt-BR"/>
              </w:rPr>
            </w:pPr>
          </w:p>
          <w:p w14:paraId="6C43EB35" w14:textId="77777777" w:rsidR="00A47AD5" w:rsidRPr="00231A19" w:rsidRDefault="00A47AD5" w:rsidP="00A47AD5">
            <w:pPr>
              <w:rPr>
                <w:color w:val="000000"/>
                <w:lang w:val="pt-BR"/>
              </w:rPr>
            </w:pPr>
          </w:p>
          <w:p w14:paraId="04A35328" w14:textId="77777777" w:rsidR="00231A19" w:rsidRDefault="00231A19" w:rsidP="00A47AD5">
            <w:pPr>
              <w:rPr>
                <w:color w:val="000000"/>
                <w:lang w:val="pt-BR"/>
              </w:rPr>
            </w:pPr>
          </w:p>
          <w:p w14:paraId="08B9E599" w14:textId="77777777" w:rsidR="00A47AD5" w:rsidRPr="00231A19" w:rsidRDefault="00A47AD5" w:rsidP="00A47AD5">
            <w:pPr>
              <w:rPr>
                <w:color w:val="000000"/>
                <w:lang w:val="pt-BR"/>
              </w:rPr>
            </w:pPr>
          </w:p>
        </w:tc>
      </w:tr>
      <w:tr w:rsidR="00A47AD5" w14:paraId="312B9D53" w14:textId="77777777" w:rsidTr="00F33C08">
        <w:tc>
          <w:tcPr>
            <w:tcW w:w="1813" w:type="dxa"/>
          </w:tcPr>
          <w:p w14:paraId="35A9E714" w14:textId="77777777" w:rsidR="00A47AD5" w:rsidRPr="00231A19" w:rsidRDefault="00A47AD5" w:rsidP="00A47AD5">
            <w:pPr>
              <w:rPr>
                <w:color w:val="000000"/>
                <w:lang w:val="pt-BR"/>
              </w:rPr>
            </w:pPr>
          </w:p>
        </w:tc>
        <w:tc>
          <w:tcPr>
            <w:tcW w:w="7226" w:type="dxa"/>
          </w:tcPr>
          <w:p w14:paraId="5212AAB4" w14:textId="77777777" w:rsidR="00A47AD5" w:rsidRPr="00231A19" w:rsidRDefault="00A47AD5" w:rsidP="00A47AD5">
            <w:pPr>
              <w:jc w:val="both"/>
              <w:rPr>
                <w:color w:val="000000"/>
                <w:sz w:val="18"/>
                <w:szCs w:val="18"/>
              </w:rPr>
            </w:pPr>
          </w:p>
        </w:tc>
      </w:tr>
      <w:tr w:rsidR="00231A19" w14:paraId="137F4E8E" w14:textId="77777777" w:rsidTr="00F33C08">
        <w:tc>
          <w:tcPr>
            <w:tcW w:w="1813" w:type="dxa"/>
          </w:tcPr>
          <w:p w14:paraId="713F3C23" w14:textId="77777777" w:rsidR="00231A19" w:rsidRPr="00231A19" w:rsidRDefault="00231A19" w:rsidP="00A47AD5">
            <w:pPr>
              <w:rPr>
                <w:color w:val="000000"/>
                <w:lang w:val="pt-BR"/>
              </w:rPr>
            </w:pPr>
          </w:p>
          <w:p w14:paraId="21F2F364" w14:textId="77777777" w:rsidR="00231A19" w:rsidRPr="00231A19" w:rsidRDefault="00231A19" w:rsidP="00A47AD5">
            <w:pPr>
              <w:jc w:val="center"/>
              <w:rPr>
                <w:color w:val="000000"/>
                <w:lang w:val="pt-BR"/>
              </w:rPr>
            </w:pPr>
            <w:proofErr w:type="spellStart"/>
            <w:r w:rsidRPr="00231A19">
              <w:rPr>
                <w:color w:val="000000"/>
                <w:lang w:val="pt-BR"/>
              </w:rPr>
              <w:t>Thirth</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roofErr w:type="spellStart"/>
            <w:r w:rsidRPr="00231A19">
              <w:rPr>
                <w:color w:val="000000"/>
                <w:lang w:val="pt-BR"/>
              </w:rPr>
              <w:t>photo</w:t>
            </w:r>
            <w:proofErr w:type="spellEnd"/>
            <w:r w:rsidRPr="00231A19">
              <w:rPr>
                <w:color w:val="000000"/>
                <w:lang w:val="pt-BR"/>
              </w:rPr>
              <w:t>(3x4cm)</w:t>
            </w:r>
          </w:p>
          <w:p w14:paraId="007013BB" w14:textId="77777777" w:rsidR="00231A19" w:rsidRPr="00231A19" w:rsidRDefault="00231A19" w:rsidP="00A47AD5">
            <w:pPr>
              <w:jc w:val="center"/>
              <w:rPr>
                <w:color w:val="000000"/>
                <w:lang w:val="pt-BR"/>
              </w:rPr>
            </w:pPr>
          </w:p>
          <w:p w14:paraId="66B19C96" w14:textId="77777777" w:rsidR="00231A19" w:rsidRPr="00231A19" w:rsidRDefault="00231A19" w:rsidP="00A47AD5">
            <w:pPr>
              <w:jc w:val="center"/>
              <w:rPr>
                <w:color w:val="000000"/>
                <w:lang w:val="pt-BR"/>
              </w:rPr>
            </w:pPr>
          </w:p>
        </w:tc>
        <w:tc>
          <w:tcPr>
            <w:tcW w:w="7226" w:type="dxa"/>
          </w:tcPr>
          <w:p w14:paraId="46D1146A"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5E08F75B" w14:textId="77777777" w:rsidR="00F33C08" w:rsidRPr="00231A19" w:rsidRDefault="00F33C08" w:rsidP="00A47AD5">
            <w:pPr>
              <w:rPr>
                <w:color w:val="000000"/>
                <w:lang w:val="pt-BR"/>
              </w:rPr>
            </w:pPr>
          </w:p>
          <w:p w14:paraId="19063787" w14:textId="77777777" w:rsidR="00F33C08" w:rsidRDefault="00F33C08" w:rsidP="00A47AD5">
            <w:pPr>
              <w:rPr>
                <w:color w:val="000000"/>
                <w:lang w:val="pt-BR"/>
              </w:rPr>
            </w:pPr>
          </w:p>
          <w:p w14:paraId="1E8CE4E0" w14:textId="77777777" w:rsidR="00A47AD5" w:rsidRDefault="00A47AD5" w:rsidP="00A47AD5">
            <w:pPr>
              <w:rPr>
                <w:color w:val="000000"/>
                <w:lang w:val="pt-BR"/>
              </w:rPr>
            </w:pPr>
          </w:p>
          <w:p w14:paraId="1E352D02" w14:textId="77777777" w:rsidR="00A47AD5" w:rsidRPr="00231A19" w:rsidRDefault="00A47AD5" w:rsidP="00A47AD5">
            <w:pPr>
              <w:rPr>
                <w:color w:val="000000"/>
                <w:lang w:val="pt-BR"/>
              </w:rPr>
            </w:pPr>
          </w:p>
          <w:p w14:paraId="790C7213" w14:textId="77777777" w:rsidR="00F33C08" w:rsidRPr="00231A19" w:rsidRDefault="00F33C08" w:rsidP="00A47AD5">
            <w:pPr>
              <w:rPr>
                <w:color w:val="000000"/>
                <w:lang w:val="pt-BR"/>
              </w:rPr>
            </w:pPr>
          </w:p>
          <w:p w14:paraId="6D8146A0" w14:textId="77777777" w:rsidR="00231A19" w:rsidRPr="00231A19" w:rsidRDefault="00231A19" w:rsidP="00A47AD5">
            <w:pPr>
              <w:rPr>
                <w:color w:val="000000"/>
                <w:lang w:val="pt-BR"/>
              </w:rPr>
            </w:pPr>
          </w:p>
        </w:tc>
      </w:tr>
    </w:tbl>
    <w:p w14:paraId="15F55CC1" w14:textId="77777777" w:rsidR="00231A19" w:rsidRDefault="00231A19" w:rsidP="00231A19">
      <w:pPr>
        <w:jc w:val="both"/>
        <w:rPr>
          <w:color w:val="000000"/>
          <w:sz w:val="18"/>
          <w:szCs w:val="18"/>
        </w:rPr>
      </w:pPr>
    </w:p>
    <w:sectPr w:rsidR="00231A19" w:rsidSect="00957C11">
      <w:headerReference w:type="even" r:id="rId26"/>
      <w:headerReference w:type="default" r:id="rId27"/>
      <w:footerReference w:type="even" r:id="rId28"/>
      <w:footerReference w:type="default" r:id="rId29"/>
      <w:headerReference w:type="first" r:id="rId30"/>
      <w:footerReference w:type="first" r:id="rId31"/>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6D3B76" w:rsidRDefault="006D3B76">
      <w:r>
        <w:separator/>
      </w:r>
    </w:p>
  </w:endnote>
  <w:endnote w:type="continuationSeparator" w:id="0">
    <w:p w14:paraId="5D8E4D48" w14:textId="77777777" w:rsidR="006D3B76" w:rsidRDefault="006D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EEA91A1" w:rsidR="006D3B76" w:rsidRPr="003D5B84" w:rsidRDefault="006D3B76"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proofErr w:type="gramStart"/>
    <w:r w:rsidRPr="003D5B84">
      <w:t>IJECE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67E4AB0A" w:rsidR="006D3B76" w:rsidRPr="00C07BEF" w:rsidRDefault="006D3B76" w:rsidP="0094367D">
    <w:pPr>
      <w:pStyle w:val="Footer"/>
      <w:pBdr>
        <w:top w:val="single" w:sz="4" w:space="1" w:color="auto"/>
      </w:pBdr>
      <w:jc w:val="right"/>
      <w:rPr>
        <w:i/>
      </w:rPr>
    </w:pPr>
    <w:r>
      <w:rPr>
        <w:i/>
      </w:rPr>
      <w:t xml:space="preserve">Content-centric Information Protection in the Cloud </w:t>
    </w:r>
    <w:r w:rsidRPr="00C07BEF">
      <w:rPr>
        <w:i/>
      </w:rPr>
      <w:t xml:space="preserve"> (First Author)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6D3B76" w:rsidRPr="003D5B84" w:rsidRDefault="006D3B76"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6D3B76" w:rsidRDefault="006D3B76">
      <w:r>
        <w:separator/>
      </w:r>
    </w:p>
  </w:footnote>
  <w:footnote w:type="continuationSeparator" w:id="0">
    <w:p w14:paraId="753C35D2" w14:textId="77777777" w:rsidR="006D3B76" w:rsidRDefault="006D3B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6D3B76" w:rsidRPr="003D5B84" w:rsidRDefault="006D3B76"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5F7C4A">
      <w:rPr>
        <w:rStyle w:val="PageNumber"/>
        <w:noProof/>
      </w:rPr>
      <w:t>42</w:t>
    </w:r>
    <w:r w:rsidRPr="003D5B84">
      <w:rPr>
        <w:rStyle w:val="PageNumber"/>
      </w:rPr>
      <w:fldChar w:fldCharType="end"/>
    </w:r>
  </w:p>
  <w:p w14:paraId="22F2DAFE" w14:textId="77777777" w:rsidR="006D3B76" w:rsidRPr="003D5B84" w:rsidRDefault="006D3B76"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6D3B76" w:rsidRPr="003D5B84" w:rsidRDefault="006D3B76"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5F7C4A">
      <w:rPr>
        <w:rStyle w:val="PageNumber"/>
        <w:noProof/>
      </w:rPr>
      <w:t>41</w:t>
    </w:r>
    <w:r w:rsidRPr="003D5B84">
      <w:rPr>
        <w:rStyle w:val="PageNumber"/>
      </w:rPr>
      <w:fldChar w:fldCharType="end"/>
    </w:r>
  </w:p>
  <w:p w14:paraId="6C3C49D3" w14:textId="77777777" w:rsidR="006D3B76" w:rsidRPr="003D5B84" w:rsidRDefault="006D3B76"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6D3B76" w:rsidRPr="003D5B84" w:rsidRDefault="006D3B76"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6D3B76" w:rsidRPr="003D5B84" w:rsidRDefault="006D3B76"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6D3B76" w:rsidRPr="003D5B84" w:rsidRDefault="006D3B76"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6D3B76" w:rsidRPr="003D5B84" w:rsidRDefault="006D3B76"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495DCB">
      <w:rPr>
        <w:rStyle w:val="PageNumber"/>
        <w:noProof/>
      </w:rPr>
      <w:t>31</w:t>
    </w:r>
    <w:r w:rsidRPr="003D5B84">
      <w:rPr>
        <w:rStyle w:val="PageNumber"/>
      </w:rPr>
      <w:fldChar w:fldCharType="end"/>
    </w:r>
  </w:p>
  <w:p w14:paraId="0B093F16" w14:textId="77777777" w:rsidR="006D3B76" w:rsidRPr="003D5B84" w:rsidRDefault="006D3B76"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3FD3"/>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55F9"/>
    <w:rsid w:val="000E708C"/>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D61"/>
    <w:rsid w:val="00221FB3"/>
    <w:rsid w:val="00224456"/>
    <w:rsid w:val="00225BEA"/>
    <w:rsid w:val="00230440"/>
    <w:rsid w:val="00230AAB"/>
    <w:rsid w:val="00231A19"/>
    <w:rsid w:val="00232081"/>
    <w:rsid w:val="00232B82"/>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7011"/>
    <w:rsid w:val="00420D64"/>
    <w:rsid w:val="00424E85"/>
    <w:rsid w:val="00425BE9"/>
    <w:rsid w:val="00427072"/>
    <w:rsid w:val="0043585C"/>
    <w:rsid w:val="00441F35"/>
    <w:rsid w:val="00443205"/>
    <w:rsid w:val="004439D2"/>
    <w:rsid w:val="004503E9"/>
    <w:rsid w:val="00453463"/>
    <w:rsid w:val="00454116"/>
    <w:rsid w:val="004550E4"/>
    <w:rsid w:val="004637E8"/>
    <w:rsid w:val="00467368"/>
    <w:rsid w:val="004674CD"/>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67FEE"/>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2EBE"/>
    <w:rsid w:val="006549EF"/>
    <w:rsid w:val="00655C14"/>
    <w:rsid w:val="00656420"/>
    <w:rsid w:val="00662070"/>
    <w:rsid w:val="0066237A"/>
    <w:rsid w:val="006628A9"/>
    <w:rsid w:val="006642BF"/>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0B1"/>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7E76"/>
    <w:rsid w:val="00A80090"/>
    <w:rsid w:val="00A83139"/>
    <w:rsid w:val="00A85A64"/>
    <w:rsid w:val="00A93118"/>
    <w:rsid w:val="00AA3EC5"/>
    <w:rsid w:val="00AA48F5"/>
    <w:rsid w:val="00AA4B39"/>
    <w:rsid w:val="00AA4C05"/>
    <w:rsid w:val="00AA512B"/>
    <w:rsid w:val="00AA608B"/>
    <w:rsid w:val="00AA77C0"/>
    <w:rsid w:val="00AB1CD7"/>
    <w:rsid w:val="00AB1F5C"/>
    <w:rsid w:val="00AB4311"/>
    <w:rsid w:val="00AB49DA"/>
    <w:rsid w:val="00AB59A7"/>
    <w:rsid w:val="00AB68F7"/>
    <w:rsid w:val="00AC077B"/>
    <w:rsid w:val="00AC0C82"/>
    <w:rsid w:val="00AC1F08"/>
    <w:rsid w:val="00AC60ED"/>
    <w:rsid w:val="00AD564C"/>
    <w:rsid w:val="00AD7639"/>
    <w:rsid w:val="00AE0CBF"/>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6A80"/>
    <w:rsid w:val="00CB7178"/>
    <w:rsid w:val="00CC1960"/>
    <w:rsid w:val="00CD01FA"/>
    <w:rsid w:val="00CE1CF3"/>
    <w:rsid w:val="00CE70F3"/>
    <w:rsid w:val="00CE7659"/>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851"/>
    <w:rsid w:val="00DA3C3C"/>
    <w:rsid w:val="00DB05EC"/>
    <w:rsid w:val="00DB166E"/>
    <w:rsid w:val="00DB3D8C"/>
    <w:rsid w:val="00DB43B8"/>
    <w:rsid w:val="00DB7457"/>
    <w:rsid w:val="00DB7BD1"/>
    <w:rsid w:val="00DB7C8A"/>
    <w:rsid w:val="00DC2DC5"/>
    <w:rsid w:val="00DC341B"/>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tionweek.com/news/government/cloud-saas/229401646" TargetMode="External"/><Relationship Id="rId21" Type="http://schemas.openxmlformats.org/officeDocument/2006/relationships/hyperlink" Target="http://www.dodsbir.net/sitis/archives_display_topic.asp?Bookmark=41198" TargetMode="External"/><Relationship Id="rId22" Type="http://schemas.openxmlformats.org/officeDocument/2006/relationships/hyperlink" Target="http://www.coral-interop.org/main/news/Coral.whitepaper.pdf" TargetMode="External"/><Relationship Id="rId23" Type="http://schemas.openxmlformats.org/officeDocument/2006/relationships/hyperlink" Target="http://www.marlin-community.com" TargetMode="External"/><Relationship Id="rId24" Type="http://schemas.openxmlformats.org/officeDocument/2006/relationships/hyperlink" Target="http://www.openflow.org" TargetMode="External"/><Relationship Id="rId25" Type="http://schemas.openxmlformats.org/officeDocument/2006/relationships/hyperlink" Target="http://www.jboss.org/jbossesb"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dodcio.defense.gov/Portals/0/Documents/InfoSharingStrate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A1F93FFC-1F0F-294E-9DB3-DCA9C85B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6980</Words>
  <Characters>39786</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55</cp:revision>
  <cp:lastPrinted>2012-09-30T15:32:00Z</cp:lastPrinted>
  <dcterms:created xsi:type="dcterms:W3CDTF">2012-09-29T14:41:00Z</dcterms:created>
  <dcterms:modified xsi:type="dcterms:W3CDTF">2012-09-30T19:03:00Z</dcterms:modified>
</cp:coreProperties>
</file>