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64ED4CDE" w:rsidR="00941203" w:rsidRPr="00957C11" w:rsidRDefault="009429AE" w:rsidP="006C1538">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xml:space="preserve">, discuss the shortcomings of current designs, and propose a novel taxonomy of network-enabled usage control architectures that can solve sensitive information transmission problems.  We then close with a description of our information-centric overlay network </w:t>
            </w:r>
            <w:r w:rsidR="00A83139">
              <w:rPr>
                <w:iCs/>
                <w:color w:val="000000"/>
                <w:sz w:val="18"/>
                <w:szCs w:val="18"/>
              </w:rPr>
              <w:t>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35F15604" w:rsidR="003D5C01" w:rsidRPr="003D5C01" w:rsidRDefault="003D5C01" w:rsidP="00B65B1C">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sdt>
        <w:sdtPr>
          <w:id w:val="1942491572"/>
          <w:citation/>
        </w:sdtPr>
        <w:sdtContent>
          <w:r w:rsidR="006D3B76">
            <w:fldChar w:fldCharType="begin"/>
          </w:r>
          <w:r w:rsidR="006D3B76">
            <w:instrText xml:space="preserve"> CITATION Tal10 \l 1033 </w:instrText>
          </w:r>
          <w:r w:rsidR="006D3B76">
            <w:fldChar w:fldCharType="separate"/>
          </w:r>
          <w:r w:rsidR="00495DCB">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B65B1C">
            <w:fldChar w:fldCharType="begin"/>
          </w:r>
          <w:r w:rsidR="00B65B1C">
            <w:instrText xml:space="preserve"> CITATION USD90 \l 1033 </w:instrText>
          </w:r>
          <w:r w:rsidR="00B65B1C">
            <w:fldChar w:fldCharType="separate"/>
          </w:r>
          <w:r w:rsidR="00B65B1C">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65547CF6" w:rsidR="003D5C01" w:rsidRPr="003D5C01" w:rsidRDefault="003D5C01" w:rsidP="00CB7178">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495DCB">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495DCB">
            <w:rPr>
              <w:noProof/>
            </w:rPr>
            <w:t>(4)</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Content>
          <w:r w:rsidR="00DA3851">
            <w:fldChar w:fldCharType="begin"/>
          </w:r>
          <w:r w:rsidR="00DA3851">
            <w:instrText xml:space="preserve"> CITATION Pea10 \l 1033 </w:instrText>
          </w:r>
          <w:r w:rsidR="00DA3851">
            <w:fldChar w:fldCharType="separate"/>
          </w:r>
          <w:r w:rsidR="00495DCB">
            <w:rPr>
              <w:noProof/>
            </w:rPr>
            <w:t>(5)</w:t>
          </w:r>
          <w:r w:rsidR="00DA3851">
            <w:fldChar w:fldCharType="end"/>
          </w:r>
        </w:sdtContent>
      </w:sdt>
      <w:r w:rsidR="00DA3851">
        <w:t>.</w:t>
      </w:r>
    </w:p>
    <w:p w14:paraId="51466D61" w14:textId="7433F2A3"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495DCB">
            <w:rPr>
              <w:noProof/>
            </w:rPr>
            <w:t>(6)</w:t>
          </w:r>
          <w:r w:rsidR="00CB6A80">
            <w:fldChar w:fldCharType="end"/>
          </w:r>
        </w:sdtContent>
      </w:sdt>
      <w:r w:rsidR="00116881">
        <w:t xml:space="preserve">.  Within this paper, after reviewing the current state of the art in secure systems, we describe specifically how information can be </w:t>
      </w:r>
      <w:r w:rsidR="00116881">
        <w:lastRenderedPageBreak/>
        <w:t>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495DCB">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495DCB">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495DCB">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495DCB">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0E213ED7" w:rsidR="00DF00CC" w:rsidRDefault="00F02B87" w:rsidP="00AE0CBF">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495DCB">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495DCB">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495DCB">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495DCB">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these system</w:t>
      </w:r>
      <w:r w:rsidR="004B3057">
        <w:t>s</w:t>
      </w:r>
      <w:r w:rsidR="003D5C01" w:rsidRPr="003D5C01">
        <w:t>, in most cases, human intervention is still required to adequately review data prior to passing into lower security domains.</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495DCB">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07C01D84"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495DCB">
            <w:rPr>
              <w:noProof/>
            </w:rPr>
            <w:t xml:space="preserve"> (12)</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41C2F5E" w14:textId="06DD5CA2"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495DCB">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lastRenderedPageBreak/>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0A5A41D" w14:textId="5085DEDF" w:rsidR="003D5C01" w:rsidRPr="003D5C01" w:rsidRDefault="003D5C01" w:rsidP="00B65B1C">
      <w:pPr>
        <w:ind w:firstLine="720"/>
        <w:jc w:val="both"/>
      </w:pPr>
      <w:r w:rsidRPr="003D5C01">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495DCB">
            <w:rPr>
              <w:noProof/>
            </w:rPr>
            <w:t xml:space="preserve"> (14)</w:t>
          </w:r>
          <w:r w:rsidR="009A51D7">
            <w:fldChar w:fldCharType="end"/>
          </w:r>
        </w:sdtContent>
      </w:sdt>
      <w:r w:rsidR="009A51D7">
        <w:t>.</w:t>
      </w:r>
    </w:p>
    <w:p w14:paraId="6E6438E4" w14:textId="02F6E31F" w:rsidR="003D5C01" w:rsidRPr="003D5C01" w:rsidRDefault="003D5C01" w:rsidP="00AE0CBF">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495DCB">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32481A0C" w:rsidR="003D5C01" w:rsidRDefault="003D5C01" w:rsidP="00AE0CBF">
      <w:pPr>
        <w:ind w:firstLine="720"/>
        <w:jc w:val="both"/>
      </w:pPr>
      <w:r w:rsidRPr="003D5C01">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r w:rsidR="00AE0CBF">
        <w:t xml:space="preserve">  </w:t>
      </w:r>
      <w:r w:rsidRPr="003D5C01">
        <w:t xml:space="preserve">While not as </w:t>
      </w:r>
      <w:r w:rsidRPr="003D5C01">
        <w:lastRenderedPageBreak/>
        <w:t xml:space="preserve">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734EFA6A"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495DCB">
            <w:rPr>
              <w:noProof/>
            </w:rPr>
            <w:t xml:space="preserve"> (15)</w:t>
          </w:r>
          <w:r w:rsidR="00507112">
            <w:fldChar w:fldCharType="end"/>
          </w:r>
        </w:sdtContent>
      </w:sdt>
      <w:r w:rsidR="00CD01FA">
        <w:t>.</w:t>
      </w:r>
    </w:p>
    <w:p w14:paraId="44555F92" w14:textId="1850D846" w:rsidR="00F02B87" w:rsidRDefault="00E610ED" w:rsidP="00F02B87">
      <w:pPr>
        <w:ind w:firstLine="720"/>
        <w:jc w:val="both"/>
      </w:pPr>
      <w:r w:rsidRPr="00E610ED">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495DCB">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495DCB">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495DCB">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495DCB">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495DCB">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495DCB">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495DCB">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495DCB">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495DCB">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495DCB">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495DCB">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495DCB">
            <w:rPr>
              <w:noProof/>
            </w:rPr>
            <w:t>(27)</w:t>
          </w:r>
          <w:r w:rsidR="00532668">
            <w:fldChar w:fldCharType="end"/>
          </w:r>
        </w:sdtContent>
      </w:sdt>
      <w:r w:rsidR="00532668">
        <w:t xml:space="preserve"> </w:t>
      </w:r>
      <w:r w:rsidRPr="00E610ED">
        <w:t>towards the devel</w:t>
      </w:r>
      <w:r w:rsidR="009E1F75">
        <w:t>opment of supporting frameworks.</w:t>
      </w:r>
    </w:p>
    <w:p w14:paraId="2E46F12F" w14:textId="3A91FB93"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r w:rsidR="006C5AB0" w:rsidRPr="00E610ED">
        <w:t>domains that</w:t>
      </w:r>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495DCB">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363D07EC" w:rsidR="00C369C2" w:rsidRDefault="008920D7" w:rsidP="005D7B3B">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64AADCA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proofErr w:type="gramStart"/>
      <w:r w:rsidR="007F3036" w:rsidRPr="00F77566">
        <w:rPr>
          <w:bCs/>
        </w:rPr>
        <w:t xml:space="preserve">That said however, many of the supporting infrastructural services, like identification management or </w:t>
      </w:r>
      <w:r w:rsidR="007F3036">
        <w:rPr>
          <w:bCs/>
        </w:rPr>
        <w:t>logging and tracing systems, are</w:t>
      </w:r>
      <w:proofErr w:type="gramEnd"/>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48512E09" w14:textId="5230A091" w:rsidR="005E1871" w:rsidRDefault="005E1871" w:rsidP="005E1871">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Pr>
          <w:bCs/>
        </w:rPr>
        <w:t xml:space="preserve">rmation for example </w:t>
      </w:r>
      <w:r w:rsidRPr="00F77566">
        <w:rPr>
          <w:bCs/>
        </w:rPr>
        <w:t xml:space="preserve">is </w:t>
      </w:r>
      <w:r>
        <w:rPr>
          <w:bCs/>
        </w:rPr>
        <w:t>commonly stored in compartments</w:t>
      </w:r>
      <w:r w:rsidRPr="00F77566">
        <w:rPr>
          <w:bCs/>
        </w:rPr>
        <w:t xml:space="preserve"> which are </w:t>
      </w:r>
      <w:r>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Pr>
          <w:bCs/>
        </w:rPr>
        <w:t>nts that should not be combined.</w:t>
      </w:r>
    </w:p>
    <w:p w14:paraId="64AC4A12" w14:textId="5ABEEF09"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234CE07F" w:rsidR="00C40930" w:rsidRDefault="008920D7" w:rsidP="00C40930">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C40930">
        <w:rPr>
          <w:bCs/>
        </w:rPr>
        <w:t xml:space="preserve">data artifact in a data package.  </w:t>
      </w:r>
      <w:r w:rsidR="00C40930"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C40930">
        <w:rPr>
          <w:bCs/>
        </w:rPr>
        <w:t>tion transfer decisions as well.</w:t>
      </w:r>
    </w:p>
    <w:p w14:paraId="457368F2" w14:textId="77777777" w:rsidR="00C40930" w:rsidRPr="00F77566" w:rsidRDefault="00C40930" w:rsidP="00C40930">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495DCB">
            <w:rPr>
              <w:bCs/>
              <w:noProof/>
            </w:rPr>
            <w:t xml:space="preserve"> </w:t>
          </w:r>
          <w:r w:rsidR="00495DCB">
            <w:rPr>
              <w:noProof/>
            </w:rPr>
            <w:t>(29)</w:t>
          </w:r>
          <w:r>
            <w:rPr>
              <w:bCs/>
            </w:rPr>
            <w:fldChar w:fldCharType="end"/>
          </w:r>
        </w:sdtContent>
      </w:sdt>
      <w:r w:rsidRPr="00F77566">
        <w:rPr>
          <w:bCs/>
        </w:rPr>
        <w:t>.</w:t>
      </w:r>
    </w:p>
    <w:p w14:paraId="778DD69D" w14:textId="77777777" w:rsidR="00C40930" w:rsidRDefault="00C40930" w:rsidP="00C40930">
      <w:pPr>
        <w:ind w:firstLine="720"/>
        <w:jc w:val="both"/>
        <w:rPr>
          <w:bCs/>
        </w:rPr>
      </w:pP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19C22C6" w:rsidR="00F77566" w:rsidRDefault="00C40930" w:rsidP="00C40930">
      <w:pPr>
        <w:ind w:firstLine="720"/>
        <w:jc w:val="both"/>
        <w:rPr>
          <w:bCs/>
        </w:rPr>
      </w:pPr>
      <w:r w:rsidRPr="00F77566">
        <w:rPr>
          <w:bCs/>
        </w:rPr>
        <w:t xml:space="preserve">Policy evaluation in this model has begun to penetrate into the routing elements of the specific domain networks. </w:t>
      </w: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495DCB">
            <w:rPr>
              <w:bCs/>
              <w:noProof/>
            </w:rPr>
            <w:t xml:space="preserve"> </w:t>
          </w:r>
          <w:r w:rsidR="00495DCB">
            <w:rPr>
              <w:noProof/>
            </w:rPr>
            <w:t>(30)</w:t>
          </w:r>
          <w:r>
            <w:rPr>
              <w:bCs/>
            </w:rPr>
            <w:fldChar w:fldCharType="end"/>
          </w:r>
        </w:sdtContent>
      </w:sdt>
      <w:r>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Pr>
          <w:bCs/>
        </w:rPr>
        <w:t>equire this kind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419EFBC" w:rsidR="00F77566" w:rsidRDefault="008920D7" w:rsidP="00754B33">
      <w:pPr>
        <w:ind w:firstLine="720"/>
        <w:jc w:val="both"/>
        <w:rPr>
          <w:bCs/>
        </w:rPr>
      </w:pPr>
      <w:r w:rsidRPr="00F77566">
        <w:rPr>
          <w:bCs/>
        </w:rPr>
        <w:lastRenderedPageBreak/>
        <w:t>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1D1264BD" w:rsidR="00D072D5" w:rsidRDefault="00D072D5" w:rsidP="003C727A">
      <w:pPr>
        <w:ind w:firstLine="720"/>
        <w:jc w:val="both"/>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Pr="00D072D5">
        <w:t>initial configuration information as well as logging and auditing.  We have implemented this infrastructure using Amazon's Simple Storage Service (S3)</w:t>
      </w:r>
      <w:proofErr w:type="gramStart"/>
      <w:r w:rsidRPr="00D072D5">
        <w:t>,</w:t>
      </w:r>
      <w:proofErr w:type="gramEnd"/>
      <w:r w:rsidRPr="00D072D5">
        <w:t xml:space="preserve"> accessible from both Rackspace and Amazon hosted virtual machines.</w:t>
      </w:r>
    </w:p>
    <w:p w14:paraId="24D78D96" w14:textId="77777777" w:rsidR="00B65B1C" w:rsidRDefault="00B65B1C" w:rsidP="00B65B1C">
      <w:pPr>
        <w:jc w:val="both"/>
      </w:pPr>
      <w:r>
        <w:rPr>
          <w:noProof/>
        </w:rPr>
        <w:drawing>
          <wp:inline distT="0" distB="0" distL="0" distR="0" wp14:anchorId="780B8F91" wp14:editId="6E8FA063">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7C5F88AF" w14:textId="77777777" w:rsidR="00B65B1C" w:rsidRDefault="00B65B1C" w:rsidP="00B65B1C">
      <w:pPr>
        <w:jc w:val="center"/>
      </w:pPr>
      <w:r>
        <w:rPr>
          <w:lang w:val="id-ID"/>
        </w:rPr>
        <w:t>Figure 7</w:t>
      </w:r>
      <w:r w:rsidRPr="003D5B84">
        <w:rPr>
          <w:lang w:val="id-ID"/>
        </w:rPr>
        <w:t xml:space="preserve">. </w:t>
      </w:r>
      <w:r>
        <w:t>Hierarchical Node and Router Structure</w:t>
      </w:r>
    </w:p>
    <w:p w14:paraId="38BC24AB" w14:textId="77777777" w:rsidR="00B65B1C" w:rsidRDefault="00B65B1C" w:rsidP="00B65B1C">
      <w:pPr>
        <w:jc w:val="both"/>
      </w:pPr>
    </w:p>
    <w:p w14:paraId="5C468E4A" w14:textId="62E14C11" w:rsidR="00D072D5" w:rsidRPr="00D072D5" w:rsidRDefault="00D072D5" w:rsidP="00452001">
      <w:pPr>
        <w:ind w:firstLine="720"/>
        <w:jc w:val="both"/>
      </w:pPr>
      <w:r w:rsidRPr="00D072D5">
        <w:lastRenderedPageBreak/>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w:t>
      </w:r>
      <w:r w:rsidR="00470B0B" w:rsidRPr="00D072D5">
        <w:t>Any authorized participant can download these documents</w:t>
      </w:r>
      <w:r w:rsidRPr="00D072D5">
        <w:t xml:space="preserve">, where </w:t>
      </w:r>
      <w:r w:rsidR="00470B0B" w:rsidRPr="00D072D5">
        <w:t>authorization</w:t>
      </w:r>
      <w:r w:rsidRPr="00D072D5">
        <w:t xml:space="preserve"> state is proven by </w:t>
      </w:r>
      <w:r w:rsidR="00470B0B">
        <w:t>possession</w:t>
      </w:r>
      <w:r w:rsidRPr="00D072D5">
        <w:t xml:space="preserve"> of a secret key.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 xml:space="preserve">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502A61A" w14:textId="759A3170" w:rsidR="00EF12DA" w:rsidRDefault="00D072D5" w:rsidP="00572C4B">
      <w:pPr>
        <w:ind w:firstLine="720"/>
        <w:jc w:val="both"/>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2A0082AD" w14:textId="77777777" w:rsidR="000D015E" w:rsidRDefault="000D015E" w:rsidP="000D015E">
      <w:pPr>
        <w:ind w:left="720"/>
        <w:jc w:val="both"/>
        <w:rPr>
          <w:b/>
        </w:rPr>
      </w:pPr>
      <w:r>
        <w:rPr>
          <w:noProof/>
        </w:rPr>
        <w:drawing>
          <wp:inline distT="0" distB="0" distL="0" distR="0" wp14:anchorId="0E0A7F44" wp14:editId="43C103BB">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A1E63C" w14:textId="77777777" w:rsidR="000D015E" w:rsidRDefault="000D015E" w:rsidP="000D015E">
      <w:pPr>
        <w:jc w:val="center"/>
      </w:pPr>
      <w:r w:rsidRPr="005B4D11">
        <w:t>F</w:t>
      </w:r>
      <w:r>
        <w:t>igure 8</w:t>
      </w:r>
      <w:r w:rsidRPr="005B4D11">
        <w:t>. Amazon Timing Results</w:t>
      </w:r>
    </w:p>
    <w:p w14:paraId="6A0DAF07" w14:textId="77777777" w:rsidR="000D015E" w:rsidRDefault="000D015E" w:rsidP="000D015E">
      <w:pPr>
        <w:jc w:val="both"/>
      </w:pP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3C727A">
      <w:pPr>
        <w:ind w:firstLine="720"/>
        <w:jc w:val="both"/>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lastRenderedPageBreak/>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440CE15D" w14:textId="655F9E66" w:rsidR="007D5669" w:rsidRDefault="00452001" w:rsidP="003C727A">
      <w:pPr>
        <w:ind w:firstLine="720"/>
        <w:jc w:val="both"/>
      </w:pPr>
      <w:r>
        <w:t>The</w:t>
      </w:r>
      <w:r w:rsidR="007D5669" w:rsidRPr="00D072D5">
        <w:t xml:space="preserve"> functional flow is built around responding to content queries with information of appropriate sensitivity for a given qu</w:t>
      </w:r>
      <w:r w:rsidR="007D5669">
        <w:t>ery context, as shown in Figure</w:t>
      </w:r>
      <w:r w:rsidR="007D5669" w:rsidRPr="00D072D5">
        <w:t xml:space="preserve"> </w:t>
      </w:r>
      <w:r w:rsidR="007D5669">
        <w:t xml:space="preserve">8.  </w:t>
      </w:r>
      <w:r w:rsidR="007D5669" w:rsidRPr="00D072D5">
        <w:t xml:space="preserve">In general, </w:t>
      </w:r>
      <w:r w:rsidR="00AB404F">
        <w:t>applications accessing the content network</w:t>
      </w:r>
      <w:r w:rsidR="007D5669"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0D4F0D78" w:rsidR="00C00609" w:rsidRDefault="007F3036" w:rsidP="003C727A">
      <w:pPr>
        <w:ind w:firstLine="720"/>
        <w:jc w:val="both"/>
      </w:pPr>
      <w:r>
        <w:t>Figure 7</w:t>
      </w:r>
      <w:r w:rsidR="00C00609">
        <w:t xml:space="preserve">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00C00609" w:rsidRPr="00D072D5">
        <w:t>responses</w:t>
      </w:r>
      <w:r w:rsidR="00FE5BAF" w:rsidRPr="00D072D5">
        <w:t xml:space="preserve"> (in the case of a node) that are managed according to the current environmental context.</w:t>
      </w:r>
    </w:p>
    <w:p w14:paraId="669F4E9E" w14:textId="77777777" w:rsidR="000D015E" w:rsidRDefault="000D015E" w:rsidP="000D015E">
      <w:pPr>
        <w:ind w:firstLine="720"/>
        <w:jc w:val="both"/>
      </w:pPr>
      <w:r>
        <w:rPr>
          <w:noProof/>
        </w:rPr>
        <w:drawing>
          <wp:inline distT="0" distB="0" distL="0" distR="0" wp14:anchorId="46A1ACBA" wp14:editId="436C337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97E7BB" w14:textId="77777777" w:rsidR="000D015E" w:rsidRDefault="000D015E" w:rsidP="000D015E">
      <w:pPr>
        <w:jc w:val="center"/>
      </w:pPr>
      <w:r>
        <w:t>Figure 9. Rackspace Timing Results</w:t>
      </w:r>
    </w:p>
    <w:p w14:paraId="1DABE5E5" w14:textId="77777777" w:rsidR="000D015E" w:rsidRDefault="000D015E" w:rsidP="000D015E">
      <w:pPr>
        <w:jc w:val="both"/>
      </w:pPr>
    </w:p>
    <w:p w14:paraId="25E89B07" w14:textId="6EC1F74D" w:rsidR="00EF12DA" w:rsidRDefault="00FE5BAF" w:rsidP="00452001">
      <w:pPr>
        <w:ind w:firstLine="720"/>
        <w:jc w:val="both"/>
      </w:pPr>
      <w:r w:rsidRPr="00D072D5">
        <w:t xml:space="preserve">The primary components in the router and node systems' application layer are small adapters intended to translate between HTTP protocols </w:t>
      </w:r>
      <w:r w:rsidR="006C5AB0">
        <w:t xml:space="preserve">and domain components.  </w:t>
      </w:r>
      <w:proofErr w:type="gramStart"/>
      <w:r w:rsidR="006C5AB0">
        <w:t>They  include</w:t>
      </w:r>
      <w:proofErr w:type="gramEnd"/>
      <w:r w:rsidR="006C5AB0">
        <w:t xml:space="preserve"> the Context Manager Service (</w:t>
      </w:r>
      <w:proofErr w:type="spellStart"/>
      <w:r w:rsidR="006C5AB0">
        <w:t>ctx_mgr_s</w:t>
      </w:r>
      <w:proofErr w:type="spellEnd"/>
      <w:r w:rsidR="006C5AB0">
        <w:t>),  the Node Service (</w:t>
      </w:r>
      <w:proofErr w:type="spellStart"/>
      <w:r w:rsidR="006C5AB0">
        <w:t>node_s</w:t>
      </w:r>
      <w:proofErr w:type="spellEnd"/>
      <w:r w:rsidR="006C5AB0">
        <w:t>), Router Service (</w:t>
      </w:r>
      <w:proofErr w:type="spellStart"/>
      <w:r w:rsidR="006C5AB0">
        <w:t>router_s</w:t>
      </w:r>
      <w:proofErr w:type="spellEnd"/>
      <w:r w:rsidR="006C5AB0">
        <w:t>), and Dispatch Service (</w:t>
      </w:r>
      <w:proofErr w:type="spellStart"/>
      <w:r w:rsidR="006C5AB0">
        <w:t>dispatch_S</w:t>
      </w:r>
      <w:proofErr w:type="spellEnd"/>
      <w:r w:rsidR="006C5AB0">
        <w:t xml:space="preserve">).  They use specific domain </w:t>
      </w:r>
      <w:r w:rsidR="00452001">
        <w:t>components.</w:t>
      </w:r>
      <w:r w:rsidR="00B65B1C">
        <w:t xml:space="preserve">  The </w:t>
      </w:r>
      <w:r w:rsidRPr="00B65B1C">
        <w:t>Context Manager (</w:t>
      </w:r>
      <w:proofErr w:type="spellStart"/>
      <w:r w:rsidRPr="00B65B1C">
        <w:t>ctx</w:t>
      </w:r>
      <w:r w:rsidR="00970972" w:rsidRPr="00B65B1C">
        <w:t>_mgr</w:t>
      </w:r>
      <w:proofErr w:type="spellEnd"/>
      <w:r w:rsidR="00970972" w:rsidRPr="00B65B1C">
        <w:t>)</w:t>
      </w:r>
      <w:r w:rsidR="00D072D5" w:rsidRPr="00B65B1C">
        <w:rPr>
          <w:b/>
        </w:rPr>
        <w:t xml:space="preserve"> </w:t>
      </w:r>
      <w:r w:rsidR="00B65B1C">
        <w:t>r</w:t>
      </w:r>
      <w:r w:rsidR="00682668">
        <w:t xml:space="preserve">etrieves </w:t>
      </w:r>
      <w:r w:rsidR="00D072D5" w:rsidRPr="00D072D5">
        <w:t xml:space="preserve">the most current contextual information </w:t>
      </w:r>
      <w:r w:rsidR="00682668">
        <w:t>about the network</w:t>
      </w:r>
      <w:r w:rsidR="00B65B1C">
        <w:t xml:space="preserve">.  A </w:t>
      </w:r>
      <w:r w:rsidR="00D072D5" w:rsidRPr="00B65B1C">
        <w:t>Node (node)</w:t>
      </w:r>
      <w:r w:rsidR="00970972" w:rsidRPr="00B65B1C">
        <w:t xml:space="preserve"> </w:t>
      </w:r>
      <w:r w:rsidR="00452001">
        <w:t>p</w:t>
      </w:r>
      <w:r w:rsidR="00682668">
        <w:t>rocesses and responds to content requests</w:t>
      </w:r>
      <w:r w:rsidR="00B65B1C">
        <w:t xml:space="preserve">.  The </w:t>
      </w:r>
      <w:r w:rsidR="00D072D5" w:rsidRPr="00B65B1C">
        <w:t>Usage Management Mechanism (umm)</w:t>
      </w:r>
      <w:r w:rsidR="00B65B1C">
        <w:t xml:space="preserve"> m</w:t>
      </w:r>
      <w:r w:rsidR="00682668">
        <w:t>akes usage decisions over content</w:t>
      </w:r>
      <w:r w:rsidR="00B65B1C">
        <w:t>.</w:t>
      </w:r>
      <w:r w:rsidR="00452001">
        <w:t xml:space="preserve"> A </w:t>
      </w:r>
      <w:r w:rsidR="00D072D5" w:rsidRPr="00452001">
        <w:t>Router (router)</w:t>
      </w:r>
      <w:r w:rsidR="00452001">
        <w:t xml:space="preserve"> r</w:t>
      </w:r>
      <w:r w:rsidR="00682668">
        <w:t>outes content requests through the network</w:t>
      </w:r>
      <w:r w:rsidR="00452001">
        <w:t xml:space="preserve">, and a </w:t>
      </w:r>
      <w:r w:rsidR="00452001" w:rsidRPr="00452001">
        <w:t>d</w:t>
      </w:r>
      <w:r w:rsidR="00D072D5" w:rsidRPr="00452001">
        <w:t>ispatcher (dispatch)</w:t>
      </w:r>
      <w:r w:rsidR="00452001">
        <w:t xml:space="preserve"> d</w:t>
      </w:r>
      <w:r w:rsidR="00682668">
        <w:t>ispatches requests to known components</w:t>
      </w:r>
      <w:r w:rsidR="00452001">
        <w:t>.  T</w:t>
      </w:r>
      <w:r w:rsidR="00D072D5" w:rsidRPr="00D072D5">
        <w:t>he sole infrastructure component</w:t>
      </w:r>
      <w:r w:rsidR="00970972">
        <w:t xml:space="preserve"> is the </w:t>
      </w:r>
      <w:r w:rsidR="00D072D5" w:rsidRPr="002649C0">
        <w:t>Informati</w:t>
      </w:r>
      <w:r w:rsidR="00970972" w:rsidRPr="002649C0">
        <w:t>on and Policy Repository (repo).</w:t>
      </w:r>
      <w:r w:rsidR="00970972">
        <w:t xml:space="preserve">  U</w:t>
      </w:r>
      <w:r w:rsidR="00D072D5" w:rsidRPr="00D072D5">
        <w:t>nique to nodes, information and policy repositories contain specific network content, organized by key, and associated policies.</w:t>
      </w:r>
    </w:p>
    <w:p w14:paraId="0CFCF640" w14:textId="4432C072" w:rsidR="00452001" w:rsidRPr="005B4D11" w:rsidRDefault="00D072D5" w:rsidP="000D015E">
      <w:pPr>
        <w:ind w:firstLine="720"/>
        <w:jc w:val="both"/>
      </w:pPr>
      <w:r w:rsidRPr="00D072D5">
        <w:t xml:space="preserve">This system </w:t>
      </w:r>
      <w:r w:rsidR="00C00609">
        <w:t>uses</w:t>
      </w:r>
      <w:r w:rsidRPr="00D072D5">
        <w:t xml:space="preserve"> attribute based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w:t>
      </w:r>
      <w:r w:rsidR="000D015E">
        <w:t>ystem).</w:t>
      </w:r>
    </w:p>
    <w:p w14:paraId="5563006F" w14:textId="61B6C8D9" w:rsidR="00C00609" w:rsidRDefault="00D072D5" w:rsidP="003C727A">
      <w:pPr>
        <w:ind w:firstLine="720"/>
        <w:jc w:val="both"/>
      </w:pPr>
      <w:r w:rsidRPr="00D072D5">
        <w:t xml:space="preserve">Sets differ from orderings as sets denote membership with no associated value.  Orderings on the other hand have distinct values increasing from left to right in the listed enumerations.  For example, a user can be affiliated with a </w:t>
      </w:r>
      <w:r w:rsidR="000E7F53">
        <w:t xml:space="preserve">hypothetically </w:t>
      </w:r>
      <w:r w:rsidRPr="00D072D5">
        <w:t>specific mission in Domain A, ei</w:t>
      </w:r>
      <w:r w:rsidR="00C00609">
        <w:t xml:space="preserve">ther </w:t>
      </w:r>
      <w:proofErr w:type="spellStart"/>
      <w:r w:rsidR="00C00609">
        <w:t>tropic_thunder</w:t>
      </w:r>
      <w:proofErr w:type="spellEnd"/>
      <w:r w:rsidR="00C00609">
        <w:t xml:space="preserve"> or </w:t>
      </w:r>
      <w:proofErr w:type="spellStart"/>
      <w:r w:rsidR="00C00609">
        <w:t>gallant</w:t>
      </w:r>
      <w:r w:rsidRPr="00D072D5">
        <w:t>_entry</w:t>
      </w:r>
      <w:proofErr w:type="spellEnd"/>
      <w:r w:rsidRPr="00D072D5">
        <w:t>, or both.  That user is also associated with a sensitivity value, either unclassified, secret, or top</w:t>
      </w:r>
      <w:r w:rsidR="00C00609">
        <w:t xml:space="preserve"> </w:t>
      </w:r>
      <w:r w:rsidRPr="00D072D5">
        <w:t>secret, where top</w:t>
      </w:r>
      <w:r w:rsidR="00C00609">
        <w:t xml:space="preserve"> </w:t>
      </w:r>
      <w:r w:rsidRPr="00D072D5">
        <w:t>secret is the most sensitive and unclassified the least</w:t>
      </w:r>
      <w:r w:rsidR="000E4A6D">
        <w:t>, where top secret dominates all other classifications</w:t>
      </w:r>
      <w:r w:rsidRPr="00D072D5">
        <w:t>.</w:t>
      </w:r>
      <w:r w:rsidR="00C00609">
        <w:t xml:space="preserve">  </w:t>
      </w:r>
      <w:r w:rsidRPr="00D072D5">
        <w:t xml:space="preserve">Need-to-use decisions are based on the current context in tandem with mission and organizational affiliation.  </w:t>
      </w:r>
      <w:r w:rsidRPr="00D072D5">
        <w:lastRenderedPageBreak/>
        <w:t xml:space="preserve">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B8DE5D" w14:textId="45E212ED" w:rsidR="0051083D" w:rsidRDefault="00D072D5" w:rsidP="00452001">
      <w:pPr>
        <w:ind w:firstLine="720"/>
        <w:jc w:val="both"/>
      </w:pPr>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element, as that value is inclusive of lower values as well.  For example, a user can be </w:t>
      </w:r>
      <w:r w:rsidR="00C00609">
        <w:t xml:space="preserve">affiliated with both the </w:t>
      </w:r>
      <w:proofErr w:type="spellStart"/>
      <w:r w:rsidR="00C00609">
        <w:t>tropic_thunder</w:t>
      </w:r>
      <w:proofErr w:type="spellEnd"/>
      <w:r w:rsidR="00C00609">
        <w:t xml:space="preserve"> and </w:t>
      </w:r>
      <w:proofErr w:type="spellStart"/>
      <w:r w:rsidR="00C00609">
        <w:t>gallant</w:t>
      </w:r>
      <w:r w:rsidRPr="00D072D5">
        <w:t>_entry</w:t>
      </w:r>
      <w:proofErr w:type="spellEnd"/>
      <w:r w:rsidRPr="00D072D5">
        <w:t xml:space="preserve">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7BC57B98" w14:textId="101F901E" w:rsidR="00C00609" w:rsidRPr="00D072D5"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7A632072" w14:textId="77777777" w:rsidR="00CE7BCF" w:rsidRDefault="00CE7BCF"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544FDCCA" w14:textId="5474BE0D" w:rsidR="005B4D11" w:rsidRDefault="00F92C55" w:rsidP="000D015E">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312FDEA8" w14:textId="77777777" w:rsidR="000D015E" w:rsidRDefault="000D015E" w:rsidP="000D015E">
      <w:pPr>
        <w:ind w:firstLine="720"/>
        <w:jc w:val="both"/>
      </w:pPr>
      <w:r>
        <w:rPr>
          <w:noProof/>
        </w:rPr>
        <w:drawing>
          <wp:inline distT="0" distB="0" distL="0" distR="0" wp14:anchorId="308C64A8" wp14:editId="14FE4824">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7D9366" w14:textId="77777777" w:rsidR="000D015E" w:rsidRDefault="000D015E" w:rsidP="000D015E">
      <w:pPr>
        <w:jc w:val="center"/>
      </w:pPr>
      <w:r>
        <w:t>Figure 10. Comcast Timing Results</w:t>
      </w:r>
    </w:p>
    <w:p w14:paraId="2E84A161" w14:textId="77777777" w:rsidR="000D015E" w:rsidRDefault="000D015E" w:rsidP="000D015E">
      <w:pPr>
        <w:jc w:val="both"/>
      </w:pPr>
      <w:bookmarkStart w:id="0" w:name="_GoBack"/>
      <w:bookmarkEnd w:id="0"/>
    </w:p>
    <w:p w14:paraId="135C37DF" w14:textId="5D3B4877" w:rsidR="00CE7BCF" w:rsidRDefault="00F92C55" w:rsidP="003C727A">
      <w:pPr>
        <w:ind w:firstLine="720"/>
        <w:jc w:val="both"/>
      </w:pPr>
      <w:r>
        <w:t>We used three distinct strategies for information transmittal and evaluate their impacts on information confidentiality, integrity, and availability.  We measure</w:t>
      </w:r>
      <w:r w:rsidR="00D30163">
        <w:t>d</w:t>
      </w:r>
      <w:r>
        <w:t xml:space="preserve"> confidentiality via the control used to protect information.  Removi</w:t>
      </w:r>
      <w:r w:rsidR="00D30163">
        <w:t>ng information entirely provided</w:t>
      </w:r>
      <w:r>
        <w:t xml:space="preserve"> the highest measure of </w:t>
      </w:r>
      <w:proofErr w:type="gramStart"/>
      <w:r>
        <w:t>protection,</w:t>
      </w:r>
      <w:proofErr w:type="gramEnd"/>
      <w:r>
        <w:t xml:space="preserve"> but is akin to unplugging a computer to improve its cyber-security posture.   Routing information through a more secure channel is the next approach, as is sensitive information protection via strong encryption.  We use 256-bit AES-CBC encryption</w:t>
      </w:r>
      <w:r w:rsidR="00CB24A2">
        <w:t xml:space="preserve"> </w:t>
      </w:r>
      <w:r w:rsidR="00D30163">
        <w:t xml:space="preserve">scheme </w:t>
      </w:r>
      <w:r w:rsidR="00CB24A2">
        <w:t>in our current work</w:t>
      </w:r>
      <w:r>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w:t>
      </w:r>
      <w:r w:rsidR="00D30163">
        <w:lastRenderedPageBreak/>
        <w:t>performance impacts.  We also ran a control simulation that did not incorporat</w:t>
      </w:r>
      <w:r w:rsidR="00AA1228">
        <w:t>e any usage management</w:t>
      </w:r>
      <w:r w:rsidR="00D30163">
        <w:t xml:space="preserve"> to provide a performance baseline.</w:t>
      </w:r>
    </w:p>
    <w:p w14:paraId="526C8F16" w14:textId="03ECCD17" w:rsidR="005B4D11" w:rsidRDefault="002213DC" w:rsidP="000D015E">
      <w:pPr>
        <w:ind w:firstLine="720"/>
        <w:jc w:val="both"/>
      </w:pPr>
      <w:r>
        <w:t>In order to develop a stronger perspective on the network performance, we measure delivery times from three separate nodes.   One node is hosted in Comcast’s infrastructure (an large local Internet Service Provider), one at Amazon, and another at Rackspace.  The tested network has four levels.  The first level has a single router node.  The next level has two routers, both connected to the router in the first level.</w:t>
      </w:r>
      <w:r w:rsidR="0026452E">
        <w:t xml:space="preserve">  The third level contains four routers, two attached to each of the routers at the level just above.  Finally, the fourth level contains nodes, distributed so that two level three routers have three nodes, one router has two nodes, and the last router has four nodes.  We query the network from five different locations.  We query the node that contains the content requested directly (the home node).  We then query a node under the same router as the content node (the peer node).  Next, we query a node under a different router, but connected to th</w:t>
      </w:r>
      <w:r w:rsidR="007C135B">
        <w:t>e same second level router (the</w:t>
      </w:r>
      <w:r w:rsidR="0026452E">
        <w:t xml:space="preserve"> neighbor node).  Finally, we query two nodes on the other side of the network (the distant (1) and (2) nodes).</w:t>
      </w:r>
      <w:r w:rsidR="00C960D4">
        <w:t xml:space="preserve">  </w:t>
      </w:r>
      <w:r w:rsidR="000C2954">
        <w:t xml:space="preserve">We query each </w:t>
      </w:r>
      <w:r w:rsidR="00C960D4">
        <w:t>node 50 times in each simulation</w:t>
      </w:r>
      <w:r w:rsidR="006E7587">
        <w:t>, for a total of 250 queries per simulation</w:t>
      </w:r>
      <w:r w:rsidR="00C960D4">
        <w:t>.</w:t>
      </w:r>
    </w:p>
    <w:p w14:paraId="497B6CAB" w14:textId="40BB08AD" w:rsidR="00D979EA" w:rsidRDefault="00D979EA" w:rsidP="00C960D4">
      <w:pPr>
        <w:ind w:firstLine="720"/>
        <w:jc w:val="both"/>
      </w:pPr>
      <w:r>
        <w:t xml:space="preserve">Our results show that, from a performance perspective, the encryption approach fares the worst, but only slightly, and certainly not in all cases.  Furthermore, network effects have a much larger impact on performance than information protection approach as well.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p>
    <w:p w14:paraId="418EF072" w14:textId="77777777" w:rsidR="00361020" w:rsidRDefault="00361020" w:rsidP="00C35B8F">
      <w:pPr>
        <w:jc w:val="both"/>
        <w:rPr>
          <w:color w:val="000000"/>
          <w:sz w:val="18"/>
          <w:szCs w:val="18"/>
        </w:rPr>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5C7F2DA4" w14:textId="77777777" w:rsidR="00495DCB" w:rsidRPr="000E7F53" w:rsidRDefault="00361020" w:rsidP="00495DCB">
              <w:pPr>
                <w:pStyle w:val="Bibliography"/>
                <w:rPr>
                  <w:noProof/>
                  <w:vanish/>
                  <w:sz w:val="18"/>
                  <w:szCs w:val="18"/>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495DCB" w:rsidRPr="000E7F53">
                <w:rPr>
                  <w:noProof/>
                  <w:vanish/>
                  <w:sz w:val="18"/>
                  <w:szCs w:val="18"/>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495DCB" w:rsidRPr="000E7F53" w14:paraId="57E09704" w14:textId="77777777" w:rsidTr="00495DCB">
                <w:trPr>
                  <w:tblCellSpacing w:w="15" w:type="dxa"/>
                </w:trPr>
                <w:tc>
                  <w:tcPr>
                    <w:tcW w:w="0" w:type="auto"/>
                    <w:hideMark/>
                  </w:tcPr>
                  <w:p w14:paraId="1606D09C" w14:textId="77777777" w:rsidR="00495DCB" w:rsidRPr="00572C4B" w:rsidRDefault="00495DCB">
                    <w:pPr>
                      <w:pStyle w:val="Bibliography"/>
                      <w:jc w:val="right"/>
                      <w:rPr>
                        <w:noProof/>
                        <w:sz w:val="18"/>
                        <w:szCs w:val="18"/>
                      </w:rPr>
                    </w:pPr>
                    <w:r w:rsidRPr="00572C4B">
                      <w:rPr>
                        <w:noProof/>
                        <w:sz w:val="18"/>
                        <w:szCs w:val="18"/>
                      </w:rPr>
                      <w:t>1.</w:t>
                    </w:r>
                  </w:p>
                </w:tc>
                <w:tc>
                  <w:tcPr>
                    <w:tcW w:w="0" w:type="auto"/>
                    <w:hideMark/>
                  </w:tcPr>
                  <w:p w14:paraId="1E7DB6F5" w14:textId="77777777" w:rsidR="00495DCB" w:rsidRPr="00572C4B" w:rsidRDefault="00495DCB">
                    <w:pPr>
                      <w:pStyle w:val="Bibliography"/>
                      <w:rPr>
                        <w:noProof/>
                        <w:sz w:val="18"/>
                        <w:szCs w:val="18"/>
                      </w:rPr>
                    </w:pPr>
                    <w:r w:rsidRPr="00572C4B">
                      <w:rPr>
                        <w:noProof/>
                        <w:sz w:val="18"/>
                        <w:szCs w:val="18"/>
                      </w:rPr>
                      <w:t>Tallon PP. Understanding the dynamics of information management costs. Commun. ACM. 2010 May 1; 53(5): p. 121-125.</w:t>
                    </w:r>
                  </w:p>
                </w:tc>
              </w:tr>
              <w:tr w:rsidR="00495DCB" w:rsidRPr="000E7F53" w14:paraId="3965C557" w14:textId="77777777" w:rsidTr="00495DCB">
                <w:trPr>
                  <w:tblCellSpacing w:w="15" w:type="dxa"/>
                </w:trPr>
                <w:tc>
                  <w:tcPr>
                    <w:tcW w:w="0" w:type="auto"/>
                    <w:hideMark/>
                  </w:tcPr>
                  <w:p w14:paraId="5E0E4F44" w14:textId="77777777" w:rsidR="00495DCB" w:rsidRPr="00572C4B" w:rsidRDefault="00495DCB">
                    <w:pPr>
                      <w:pStyle w:val="Bibliography"/>
                      <w:jc w:val="right"/>
                      <w:rPr>
                        <w:noProof/>
                        <w:sz w:val="18"/>
                        <w:szCs w:val="18"/>
                      </w:rPr>
                    </w:pPr>
                    <w:r w:rsidRPr="00572C4B">
                      <w:rPr>
                        <w:noProof/>
                        <w:sz w:val="18"/>
                        <w:szCs w:val="18"/>
                      </w:rPr>
                      <w:t>2.</w:t>
                    </w:r>
                  </w:p>
                </w:tc>
                <w:tc>
                  <w:tcPr>
                    <w:tcW w:w="0" w:type="auto"/>
                    <w:hideMark/>
                  </w:tcPr>
                  <w:p w14:paraId="6603C33C" w14:textId="77777777" w:rsidR="00495DCB" w:rsidRPr="00572C4B" w:rsidRDefault="00495DCB">
                    <w:pPr>
                      <w:pStyle w:val="Bibliography"/>
                      <w:rPr>
                        <w:noProof/>
                        <w:sz w:val="18"/>
                        <w:szCs w:val="18"/>
                      </w:rPr>
                    </w:pPr>
                    <w:r w:rsidRPr="00572C4B">
                      <w:rPr>
                        <w:noProof/>
                        <w:sz w:val="18"/>
                        <w:szCs w:val="18"/>
                      </w:rPr>
                      <w:t>U.S. Department of Defense. Trusted Network Interpretation Environments Guideline USA: U.S. Department of Defense; 1990.</w:t>
                    </w:r>
                  </w:p>
                </w:tc>
              </w:tr>
              <w:tr w:rsidR="00495DCB" w:rsidRPr="000E7F53" w14:paraId="6144EA38" w14:textId="77777777" w:rsidTr="00495DCB">
                <w:trPr>
                  <w:tblCellSpacing w:w="15" w:type="dxa"/>
                </w:trPr>
                <w:tc>
                  <w:tcPr>
                    <w:tcW w:w="0" w:type="auto"/>
                    <w:hideMark/>
                  </w:tcPr>
                  <w:p w14:paraId="10506DB4" w14:textId="77777777" w:rsidR="00495DCB" w:rsidRPr="00572C4B" w:rsidRDefault="00495DCB">
                    <w:pPr>
                      <w:pStyle w:val="Bibliography"/>
                      <w:jc w:val="right"/>
                      <w:rPr>
                        <w:noProof/>
                        <w:sz w:val="18"/>
                        <w:szCs w:val="18"/>
                      </w:rPr>
                    </w:pPr>
                    <w:r w:rsidRPr="00572C4B">
                      <w:rPr>
                        <w:noProof/>
                        <w:sz w:val="18"/>
                        <w:szCs w:val="18"/>
                      </w:rPr>
                      <w:t>3.</w:t>
                    </w:r>
                  </w:p>
                </w:tc>
                <w:tc>
                  <w:tcPr>
                    <w:tcW w:w="0" w:type="auto"/>
                    <w:hideMark/>
                  </w:tcPr>
                  <w:p w14:paraId="788D56B9" w14:textId="77777777" w:rsidR="00495DCB" w:rsidRPr="00572C4B" w:rsidRDefault="00495DCB">
                    <w:pPr>
                      <w:pStyle w:val="Bibliography"/>
                      <w:rPr>
                        <w:noProof/>
                        <w:sz w:val="18"/>
                        <w:szCs w:val="18"/>
                      </w:rPr>
                    </w:pPr>
                    <w:r w:rsidRPr="00572C4B">
                      <w:rPr>
                        <w:noProof/>
                        <w:sz w:val="18"/>
                        <w:szCs w:val="18"/>
                      </w:rPr>
                      <w:t xml:space="preserve">U.S. Department of Defense. Chief Information Officer, U.S. Department of Defense. [Online].; 2007 [cited 2012 September 29. Available from: </w:t>
                    </w:r>
                    <w:hyperlink r:id="rId21" w:history="1">
                      <w:r w:rsidRPr="00572C4B">
                        <w:rPr>
                          <w:rStyle w:val="Hyperlink"/>
                          <w:noProof/>
                          <w:sz w:val="18"/>
                          <w:szCs w:val="18"/>
                        </w:rPr>
                        <w:t>http://dodcio.defense.gov/Portals/0/Documents/InfoSharingStrategy.pdf</w:t>
                      </w:r>
                    </w:hyperlink>
                    <w:r w:rsidRPr="00572C4B">
                      <w:rPr>
                        <w:noProof/>
                        <w:sz w:val="18"/>
                        <w:szCs w:val="18"/>
                      </w:rPr>
                      <w:t>.</w:t>
                    </w:r>
                  </w:p>
                </w:tc>
              </w:tr>
              <w:tr w:rsidR="00495DCB" w:rsidRPr="000E7F53" w14:paraId="1F2A5EDB" w14:textId="77777777" w:rsidTr="00495DCB">
                <w:trPr>
                  <w:tblCellSpacing w:w="15" w:type="dxa"/>
                </w:trPr>
                <w:tc>
                  <w:tcPr>
                    <w:tcW w:w="0" w:type="auto"/>
                    <w:hideMark/>
                  </w:tcPr>
                  <w:p w14:paraId="2BDA5FA7" w14:textId="77777777" w:rsidR="00495DCB" w:rsidRPr="00572C4B" w:rsidRDefault="00495DCB">
                    <w:pPr>
                      <w:pStyle w:val="Bibliography"/>
                      <w:jc w:val="right"/>
                      <w:rPr>
                        <w:noProof/>
                        <w:sz w:val="18"/>
                        <w:szCs w:val="18"/>
                      </w:rPr>
                    </w:pPr>
                    <w:r w:rsidRPr="00572C4B">
                      <w:rPr>
                        <w:noProof/>
                        <w:sz w:val="18"/>
                        <w:szCs w:val="18"/>
                      </w:rPr>
                      <w:t>4.</w:t>
                    </w:r>
                  </w:p>
                </w:tc>
                <w:tc>
                  <w:tcPr>
                    <w:tcW w:w="0" w:type="auto"/>
                    <w:hideMark/>
                  </w:tcPr>
                  <w:p w14:paraId="7394666D" w14:textId="77777777" w:rsidR="00495DCB" w:rsidRPr="00572C4B" w:rsidRDefault="00495DCB">
                    <w:pPr>
                      <w:pStyle w:val="Bibliography"/>
                      <w:rPr>
                        <w:noProof/>
                        <w:sz w:val="18"/>
                        <w:szCs w:val="18"/>
                      </w:rPr>
                    </w:pPr>
                    <w:r w:rsidRPr="00572C4B">
                      <w:rPr>
                        <w:noProof/>
                        <w:sz w:val="18"/>
                        <w:szCs w:val="18"/>
                      </w:rPr>
                      <w:t xml:space="preserve">Hoover JN. Informationweek. [Online].; 2011 [cited 2012 September 29. Available from: </w:t>
                    </w:r>
                    <w:hyperlink r:id="rId22" w:history="1">
                      <w:r w:rsidRPr="00572C4B">
                        <w:rPr>
                          <w:rStyle w:val="Hyperlink"/>
                          <w:noProof/>
                          <w:sz w:val="18"/>
                          <w:szCs w:val="18"/>
                        </w:rPr>
                        <w:t>http://www.informationweek.com/news/government/cloud-saas/229401646</w:t>
                      </w:r>
                    </w:hyperlink>
                    <w:r w:rsidRPr="00572C4B">
                      <w:rPr>
                        <w:noProof/>
                        <w:sz w:val="18"/>
                        <w:szCs w:val="18"/>
                      </w:rPr>
                      <w:t>.</w:t>
                    </w:r>
                  </w:p>
                </w:tc>
              </w:tr>
              <w:tr w:rsidR="00495DCB" w:rsidRPr="000E7F53" w14:paraId="028A131E" w14:textId="77777777" w:rsidTr="00495DCB">
                <w:trPr>
                  <w:tblCellSpacing w:w="15" w:type="dxa"/>
                </w:trPr>
                <w:tc>
                  <w:tcPr>
                    <w:tcW w:w="0" w:type="auto"/>
                    <w:hideMark/>
                  </w:tcPr>
                  <w:p w14:paraId="3785C9C1" w14:textId="77777777" w:rsidR="00495DCB" w:rsidRPr="00572C4B" w:rsidRDefault="00495DCB">
                    <w:pPr>
                      <w:pStyle w:val="Bibliography"/>
                      <w:jc w:val="right"/>
                      <w:rPr>
                        <w:noProof/>
                        <w:sz w:val="18"/>
                        <w:szCs w:val="18"/>
                      </w:rPr>
                    </w:pPr>
                    <w:r w:rsidRPr="00572C4B">
                      <w:rPr>
                        <w:noProof/>
                        <w:sz w:val="18"/>
                        <w:szCs w:val="18"/>
                      </w:rPr>
                      <w:t>5.</w:t>
                    </w:r>
                  </w:p>
                </w:tc>
                <w:tc>
                  <w:tcPr>
                    <w:tcW w:w="0" w:type="auto"/>
                    <w:hideMark/>
                  </w:tcPr>
                  <w:p w14:paraId="2299D4EB" w14:textId="77777777" w:rsidR="00495DCB" w:rsidRPr="00572C4B" w:rsidRDefault="00495DCB">
                    <w:pPr>
                      <w:pStyle w:val="Bibliography"/>
                      <w:rPr>
                        <w:noProof/>
                        <w:sz w:val="18"/>
                        <w:szCs w:val="18"/>
                      </w:rPr>
                    </w:pPr>
                    <w:r w:rsidRPr="00572C4B">
                      <w:rPr>
                        <w:noProof/>
                        <w:sz w:val="18"/>
                        <w:szCs w:val="18"/>
                      </w:rPr>
                      <w:t>Pearson S, Benameur A. Privacy, Security and Trust Issues Arising from Cloud Computing. In Cloud Computing Technology and Science (CloudCom), 2010 IEEE Second International Conference on; 2010. p. 693 -702.</w:t>
                    </w:r>
                  </w:p>
                </w:tc>
              </w:tr>
              <w:tr w:rsidR="00495DCB" w:rsidRPr="000E7F53" w14:paraId="6A9B26F8" w14:textId="77777777" w:rsidTr="00495DCB">
                <w:trPr>
                  <w:tblCellSpacing w:w="15" w:type="dxa"/>
                </w:trPr>
                <w:tc>
                  <w:tcPr>
                    <w:tcW w:w="0" w:type="auto"/>
                    <w:hideMark/>
                  </w:tcPr>
                  <w:p w14:paraId="060C0DEA" w14:textId="77777777" w:rsidR="00495DCB" w:rsidRPr="00572C4B" w:rsidRDefault="00495DCB">
                    <w:pPr>
                      <w:pStyle w:val="Bibliography"/>
                      <w:jc w:val="right"/>
                      <w:rPr>
                        <w:noProof/>
                        <w:sz w:val="18"/>
                        <w:szCs w:val="18"/>
                      </w:rPr>
                    </w:pPr>
                    <w:r w:rsidRPr="00572C4B">
                      <w:rPr>
                        <w:noProof/>
                        <w:sz w:val="18"/>
                        <w:szCs w:val="18"/>
                      </w:rPr>
                      <w:t>6.</w:t>
                    </w:r>
                  </w:p>
                </w:tc>
                <w:tc>
                  <w:tcPr>
                    <w:tcW w:w="0" w:type="auto"/>
                    <w:hideMark/>
                  </w:tcPr>
                  <w:p w14:paraId="177E7D57" w14:textId="77777777" w:rsidR="00495DCB" w:rsidRPr="00572C4B" w:rsidRDefault="00495DCB">
                    <w:pPr>
                      <w:pStyle w:val="Bibliography"/>
                      <w:rPr>
                        <w:noProof/>
                        <w:sz w:val="18"/>
                        <w:szCs w:val="18"/>
                      </w:rPr>
                    </w:pPr>
                    <w:r w:rsidRPr="00572C4B">
                      <w:rPr>
                        <w:noProof/>
                        <w:sz w:val="18"/>
                        <w:szCs w:val="18"/>
                      </w:rPr>
                      <w:t xml:space="preserve">U.S. Air Force. SBIR/STTR Interactive Web Site. [Online].; 2011 [cited 2012 September 29. Available from: </w:t>
                    </w:r>
                    <w:hyperlink r:id="rId23" w:history="1">
                      <w:r w:rsidRPr="00572C4B">
                        <w:rPr>
                          <w:rStyle w:val="Hyperlink"/>
                          <w:noProof/>
                          <w:sz w:val="18"/>
                          <w:szCs w:val="18"/>
                        </w:rPr>
                        <w:t>http://www.dodsbir.net/sitis/archives_display_topic.asp?Bookmark=41198</w:t>
                      </w:r>
                    </w:hyperlink>
                    <w:r w:rsidRPr="00572C4B">
                      <w:rPr>
                        <w:noProof/>
                        <w:sz w:val="18"/>
                        <w:szCs w:val="18"/>
                      </w:rPr>
                      <w:t>.</w:t>
                    </w:r>
                  </w:p>
                </w:tc>
              </w:tr>
              <w:tr w:rsidR="00495DCB" w:rsidRPr="000E7F53" w14:paraId="6538D796" w14:textId="77777777" w:rsidTr="00495DCB">
                <w:trPr>
                  <w:tblCellSpacing w:w="15" w:type="dxa"/>
                </w:trPr>
                <w:tc>
                  <w:tcPr>
                    <w:tcW w:w="0" w:type="auto"/>
                    <w:hideMark/>
                  </w:tcPr>
                  <w:p w14:paraId="5D32E7C6" w14:textId="77777777" w:rsidR="00495DCB" w:rsidRPr="00572C4B" w:rsidRDefault="00495DCB">
                    <w:pPr>
                      <w:pStyle w:val="Bibliography"/>
                      <w:jc w:val="right"/>
                      <w:rPr>
                        <w:noProof/>
                        <w:sz w:val="18"/>
                        <w:szCs w:val="18"/>
                      </w:rPr>
                    </w:pPr>
                    <w:r w:rsidRPr="00572C4B">
                      <w:rPr>
                        <w:noProof/>
                        <w:sz w:val="18"/>
                        <w:szCs w:val="18"/>
                      </w:rPr>
                      <w:t>7.</w:t>
                    </w:r>
                  </w:p>
                </w:tc>
                <w:tc>
                  <w:tcPr>
                    <w:tcW w:w="0" w:type="auto"/>
                    <w:hideMark/>
                  </w:tcPr>
                  <w:p w14:paraId="04F279D7" w14:textId="77777777" w:rsidR="00495DCB" w:rsidRPr="00572C4B" w:rsidRDefault="00495DCB">
                    <w:pPr>
                      <w:pStyle w:val="Bibliography"/>
                      <w:rPr>
                        <w:noProof/>
                        <w:sz w:val="18"/>
                        <w:szCs w:val="18"/>
                      </w:rPr>
                    </w:pPr>
                    <w:r w:rsidRPr="00572C4B">
                      <w:rPr>
                        <w:noProof/>
                        <w:sz w:val="18"/>
                        <w:szCs w:val="18"/>
                      </w:rPr>
                      <w:t>Koponen T, Chawla M, Chun BG, Ermolinskiy A, Kim KH, Shenker S, et al. A data-oriented (and beyond) network architecture. SIGCOMM Comput. Commun. Rev. 2007 October 1; 37(4): p. 181-192.</w:t>
                    </w:r>
                  </w:p>
                </w:tc>
              </w:tr>
              <w:tr w:rsidR="00495DCB" w:rsidRPr="000E7F53" w14:paraId="4AC76E2E" w14:textId="77777777" w:rsidTr="00495DCB">
                <w:trPr>
                  <w:tblCellSpacing w:w="15" w:type="dxa"/>
                </w:trPr>
                <w:tc>
                  <w:tcPr>
                    <w:tcW w:w="0" w:type="auto"/>
                    <w:hideMark/>
                  </w:tcPr>
                  <w:p w14:paraId="50B39552" w14:textId="77777777" w:rsidR="00495DCB" w:rsidRPr="00572C4B" w:rsidRDefault="00495DCB">
                    <w:pPr>
                      <w:pStyle w:val="Bibliography"/>
                      <w:jc w:val="right"/>
                      <w:rPr>
                        <w:noProof/>
                        <w:sz w:val="18"/>
                        <w:szCs w:val="18"/>
                      </w:rPr>
                    </w:pPr>
                    <w:r w:rsidRPr="00572C4B">
                      <w:rPr>
                        <w:noProof/>
                        <w:sz w:val="18"/>
                        <w:szCs w:val="18"/>
                      </w:rPr>
                      <w:t>8.</w:t>
                    </w:r>
                  </w:p>
                </w:tc>
                <w:tc>
                  <w:tcPr>
                    <w:tcW w:w="0" w:type="auto"/>
                    <w:hideMark/>
                  </w:tcPr>
                  <w:p w14:paraId="14743FFC" w14:textId="77777777" w:rsidR="00495DCB" w:rsidRPr="00572C4B" w:rsidRDefault="00495DCB">
                    <w:pPr>
                      <w:pStyle w:val="Bibliography"/>
                      <w:rPr>
                        <w:noProof/>
                        <w:sz w:val="18"/>
                        <w:szCs w:val="18"/>
                      </w:rPr>
                    </w:pPr>
                    <w:r w:rsidRPr="00572C4B">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495DCB" w:rsidRPr="000E7F53" w14:paraId="7C88F442" w14:textId="77777777" w:rsidTr="00495DCB">
                <w:trPr>
                  <w:tblCellSpacing w:w="15" w:type="dxa"/>
                </w:trPr>
                <w:tc>
                  <w:tcPr>
                    <w:tcW w:w="0" w:type="auto"/>
                    <w:hideMark/>
                  </w:tcPr>
                  <w:p w14:paraId="5FDAA710" w14:textId="77777777" w:rsidR="00495DCB" w:rsidRPr="00572C4B" w:rsidRDefault="00495DCB">
                    <w:pPr>
                      <w:pStyle w:val="Bibliography"/>
                      <w:jc w:val="right"/>
                      <w:rPr>
                        <w:noProof/>
                        <w:sz w:val="18"/>
                        <w:szCs w:val="18"/>
                      </w:rPr>
                    </w:pPr>
                    <w:r w:rsidRPr="00572C4B">
                      <w:rPr>
                        <w:noProof/>
                        <w:sz w:val="18"/>
                        <w:szCs w:val="18"/>
                      </w:rPr>
                      <w:t>9.</w:t>
                    </w:r>
                  </w:p>
                </w:tc>
                <w:tc>
                  <w:tcPr>
                    <w:tcW w:w="0" w:type="auto"/>
                    <w:hideMark/>
                  </w:tcPr>
                  <w:p w14:paraId="6247EE2C" w14:textId="77777777" w:rsidR="00495DCB" w:rsidRPr="00572C4B" w:rsidRDefault="00495DCB">
                    <w:pPr>
                      <w:pStyle w:val="Bibliography"/>
                      <w:rPr>
                        <w:noProof/>
                        <w:sz w:val="18"/>
                        <w:szCs w:val="18"/>
                      </w:rPr>
                    </w:pPr>
                    <w:r w:rsidRPr="00572C4B">
                      <w:rPr>
                        <w:noProof/>
                        <w:sz w:val="18"/>
                        <w:szCs w:val="18"/>
                      </w:rPr>
                      <w:t>Ain Mea. D2.3 – Architecture Definition, Component Descriptions, and Requirements. Deliverable. Publish-Subscribe Internet Routing Paradigm; 209.</w:t>
                    </w:r>
                  </w:p>
                </w:tc>
              </w:tr>
              <w:tr w:rsidR="00495DCB" w:rsidRPr="000E7F53" w14:paraId="545B9C61" w14:textId="77777777" w:rsidTr="00495DCB">
                <w:trPr>
                  <w:tblCellSpacing w:w="15" w:type="dxa"/>
                </w:trPr>
                <w:tc>
                  <w:tcPr>
                    <w:tcW w:w="0" w:type="auto"/>
                    <w:hideMark/>
                  </w:tcPr>
                  <w:p w14:paraId="2D0F85DC" w14:textId="77777777" w:rsidR="00495DCB" w:rsidRPr="00572C4B" w:rsidRDefault="00495DCB">
                    <w:pPr>
                      <w:pStyle w:val="Bibliography"/>
                      <w:jc w:val="right"/>
                      <w:rPr>
                        <w:noProof/>
                        <w:sz w:val="18"/>
                        <w:szCs w:val="18"/>
                      </w:rPr>
                    </w:pPr>
                    <w:r w:rsidRPr="00572C4B">
                      <w:rPr>
                        <w:noProof/>
                        <w:sz w:val="18"/>
                        <w:szCs w:val="18"/>
                      </w:rPr>
                      <w:t>10.</w:t>
                    </w:r>
                  </w:p>
                </w:tc>
                <w:tc>
                  <w:tcPr>
                    <w:tcW w:w="0" w:type="auto"/>
                    <w:hideMark/>
                  </w:tcPr>
                  <w:p w14:paraId="478F0264" w14:textId="77777777" w:rsidR="00495DCB" w:rsidRPr="00572C4B" w:rsidRDefault="00495DCB">
                    <w:pPr>
                      <w:pStyle w:val="Bibliography"/>
                      <w:rPr>
                        <w:noProof/>
                        <w:sz w:val="18"/>
                        <w:szCs w:val="18"/>
                      </w:rPr>
                    </w:pPr>
                    <w:r w:rsidRPr="00572C4B">
                      <w:rPr>
                        <w:noProof/>
                        <w:sz w:val="18"/>
                        <w:szCs w:val="18"/>
                      </w:rPr>
                      <w:t>Ghodsi A, Koponen T, Rajahalme J, Sarolahti P, Shenker S. Naming in Content-oriented Architectures. In Proceedings of the ACM SIGCOMM workshop on Information-centric networking; 2011; New York, NY, USA: ACM. p. 1-6.</w:t>
                    </w:r>
                  </w:p>
                </w:tc>
              </w:tr>
              <w:tr w:rsidR="00495DCB" w:rsidRPr="000E7F53" w14:paraId="75A0B57D" w14:textId="77777777" w:rsidTr="00495DCB">
                <w:trPr>
                  <w:tblCellSpacing w:w="15" w:type="dxa"/>
                </w:trPr>
                <w:tc>
                  <w:tcPr>
                    <w:tcW w:w="0" w:type="auto"/>
                    <w:hideMark/>
                  </w:tcPr>
                  <w:p w14:paraId="598B1E36" w14:textId="77777777" w:rsidR="00495DCB" w:rsidRPr="00572C4B" w:rsidRDefault="00495DCB">
                    <w:pPr>
                      <w:pStyle w:val="Bibliography"/>
                      <w:jc w:val="right"/>
                      <w:rPr>
                        <w:noProof/>
                        <w:sz w:val="18"/>
                        <w:szCs w:val="18"/>
                      </w:rPr>
                    </w:pPr>
                    <w:r w:rsidRPr="00572C4B">
                      <w:rPr>
                        <w:noProof/>
                        <w:sz w:val="18"/>
                        <w:szCs w:val="18"/>
                      </w:rPr>
                      <w:t>11.</w:t>
                    </w:r>
                  </w:p>
                </w:tc>
                <w:tc>
                  <w:tcPr>
                    <w:tcW w:w="0" w:type="auto"/>
                    <w:hideMark/>
                  </w:tcPr>
                  <w:p w14:paraId="4912E9D0" w14:textId="77777777" w:rsidR="00495DCB" w:rsidRPr="00572C4B" w:rsidRDefault="00495DCB">
                    <w:pPr>
                      <w:pStyle w:val="Bibliography"/>
                      <w:rPr>
                        <w:noProof/>
                        <w:sz w:val="18"/>
                        <w:szCs w:val="18"/>
                      </w:rPr>
                    </w:pPr>
                    <w:r w:rsidRPr="00572C4B">
                      <w:rPr>
                        <w:noProof/>
                        <w:sz w:val="18"/>
                        <w:szCs w:val="18"/>
                      </w:rPr>
                      <w:t>U.S. Department of Defense. Department of Defense Global Information Grid Architectural Vision. Informational. U.S. Department of Defense; 2007.</w:t>
                    </w:r>
                  </w:p>
                </w:tc>
              </w:tr>
              <w:tr w:rsidR="00495DCB" w:rsidRPr="000E7F53" w14:paraId="567A255D" w14:textId="77777777" w:rsidTr="00495DCB">
                <w:trPr>
                  <w:tblCellSpacing w:w="15" w:type="dxa"/>
                </w:trPr>
                <w:tc>
                  <w:tcPr>
                    <w:tcW w:w="0" w:type="auto"/>
                    <w:hideMark/>
                  </w:tcPr>
                  <w:p w14:paraId="315F6FF3" w14:textId="77777777" w:rsidR="00495DCB" w:rsidRPr="00572C4B" w:rsidRDefault="00495DCB">
                    <w:pPr>
                      <w:pStyle w:val="Bibliography"/>
                      <w:jc w:val="right"/>
                      <w:rPr>
                        <w:noProof/>
                        <w:sz w:val="18"/>
                        <w:szCs w:val="18"/>
                      </w:rPr>
                    </w:pPr>
                    <w:r w:rsidRPr="00572C4B">
                      <w:rPr>
                        <w:noProof/>
                        <w:sz w:val="18"/>
                        <w:szCs w:val="18"/>
                      </w:rPr>
                      <w:t>12.</w:t>
                    </w:r>
                  </w:p>
                </w:tc>
                <w:tc>
                  <w:tcPr>
                    <w:tcW w:w="0" w:type="auto"/>
                    <w:hideMark/>
                  </w:tcPr>
                  <w:p w14:paraId="35569AB7" w14:textId="77777777" w:rsidR="00495DCB" w:rsidRPr="00572C4B" w:rsidRDefault="00495DCB">
                    <w:pPr>
                      <w:pStyle w:val="Bibliography"/>
                      <w:rPr>
                        <w:noProof/>
                        <w:sz w:val="18"/>
                        <w:szCs w:val="18"/>
                      </w:rPr>
                    </w:pPr>
                    <w:r w:rsidRPr="00572C4B">
                      <w:rPr>
                        <w:noProof/>
                        <w:sz w:val="18"/>
                        <w:szCs w:val="18"/>
                      </w:rPr>
                      <w:t>U.S. National Security Agency. Distributed Service Oriented Architecture (SOA)- Compatible Cross Domain Service (DSCDS) DSCDS Overview. In Unified Cross Domain Management Office Conference; 2009.</w:t>
                    </w:r>
                  </w:p>
                </w:tc>
              </w:tr>
              <w:tr w:rsidR="00495DCB" w:rsidRPr="000E7F53" w14:paraId="03BB21E8" w14:textId="77777777" w:rsidTr="00495DCB">
                <w:trPr>
                  <w:tblCellSpacing w:w="15" w:type="dxa"/>
                </w:trPr>
                <w:tc>
                  <w:tcPr>
                    <w:tcW w:w="0" w:type="auto"/>
                    <w:hideMark/>
                  </w:tcPr>
                  <w:p w14:paraId="26F8342F" w14:textId="77777777" w:rsidR="00495DCB" w:rsidRPr="00572C4B" w:rsidRDefault="00495DCB">
                    <w:pPr>
                      <w:pStyle w:val="Bibliography"/>
                      <w:jc w:val="right"/>
                      <w:rPr>
                        <w:noProof/>
                        <w:sz w:val="18"/>
                        <w:szCs w:val="18"/>
                      </w:rPr>
                    </w:pPr>
                    <w:r w:rsidRPr="00572C4B">
                      <w:rPr>
                        <w:noProof/>
                        <w:sz w:val="18"/>
                        <w:szCs w:val="18"/>
                      </w:rPr>
                      <w:t>13.</w:t>
                    </w:r>
                  </w:p>
                </w:tc>
                <w:tc>
                  <w:tcPr>
                    <w:tcW w:w="0" w:type="auto"/>
                    <w:hideMark/>
                  </w:tcPr>
                  <w:p w14:paraId="1AF6A8EC" w14:textId="77777777" w:rsidR="00495DCB" w:rsidRPr="00572C4B" w:rsidRDefault="00495DCB">
                    <w:pPr>
                      <w:pStyle w:val="Bibliography"/>
                      <w:rPr>
                        <w:noProof/>
                        <w:sz w:val="18"/>
                        <w:szCs w:val="18"/>
                      </w:rPr>
                    </w:pPr>
                    <w:r w:rsidRPr="00572C4B">
                      <w:rPr>
                        <w:noProof/>
                        <w:sz w:val="18"/>
                        <w:szCs w:val="18"/>
                      </w:rPr>
                      <w:t>Booz | Allen | Hamilton. Distributed Service Oriented Architecture (SOA) Compatible Cross Domain Service (DSCDS). In Unified Cross Domain Management Office Conference; 2009.</w:t>
                    </w:r>
                  </w:p>
                </w:tc>
              </w:tr>
              <w:tr w:rsidR="00495DCB" w:rsidRPr="000E7F53" w14:paraId="629D412D" w14:textId="77777777" w:rsidTr="00495DCB">
                <w:trPr>
                  <w:tblCellSpacing w:w="15" w:type="dxa"/>
                </w:trPr>
                <w:tc>
                  <w:tcPr>
                    <w:tcW w:w="0" w:type="auto"/>
                    <w:hideMark/>
                  </w:tcPr>
                  <w:p w14:paraId="3D106F4A" w14:textId="77777777" w:rsidR="00495DCB" w:rsidRPr="00572C4B" w:rsidRDefault="00495DCB">
                    <w:pPr>
                      <w:pStyle w:val="Bibliography"/>
                      <w:jc w:val="right"/>
                      <w:rPr>
                        <w:noProof/>
                        <w:sz w:val="18"/>
                        <w:szCs w:val="18"/>
                      </w:rPr>
                    </w:pPr>
                    <w:r w:rsidRPr="00572C4B">
                      <w:rPr>
                        <w:noProof/>
                        <w:sz w:val="18"/>
                        <w:szCs w:val="18"/>
                      </w:rPr>
                      <w:t>14.</w:t>
                    </w:r>
                  </w:p>
                </w:tc>
                <w:tc>
                  <w:tcPr>
                    <w:tcW w:w="0" w:type="auto"/>
                    <w:hideMark/>
                  </w:tcPr>
                  <w:p w14:paraId="3A8A3197" w14:textId="77777777" w:rsidR="00495DCB" w:rsidRPr="00572C4B" w:rsidRDefault="00495DCB">
                    <w:pPr>
                      <w:pStyle w:val="Bibliography"/>
                      <w:rPr>
                        <w:noProof/>
                        <w:sz w:val="18"/>
                        <w:szCs w:val="18"/>
                      </w:rPr>
                    </w:pPr>
                    <w:r w:rsidRPr="00572C4B">
                      <w:rPr>
                        <w:noProof/>
                        <w:sz w:val="18"/>
                        <w:szCs w:val="18"/>
                      </w:rPr>
                      <w:t>Raytheon Corporation. Raytheon DSCDS Intro. In Unified Cross Domain Management Office Conference; 2009.</w:t>
                    </w:r>
                  </w:p>
                </w:tc>
              </w:tr>
              <w:tr w:rsidR="00495DCB" w:rsidRPr="000E7F53" w14:paraId="7409706F" w14:textId="77777777" w:rsidTr="00495DCB">
                <w:trPr>
                  <w:tblCellSpacing w:w="15" w:type="dxa"/>
                </w:trPr>
                <w:tc>
                  <w:tcPr>
                    <w:tcW w:w="0" w:type="auto"/>
                    <w:hideMark/>
                  </w:tcPr>
                  <w:p w14:paraId="45DA3496" w14:textId="77777777" w:rsidR="00495DCB" w:rsidRPr="00572C4B" w:rsidRDefault="00495DCB">
                    <w:pPr>
                      <w:pStyle w:val="Bibliography"/>
                      <w:jc w:val="right"/>
                      <w:rPr>
                        <w:noProof/>
                        <w:sz w:val="18"/>
                        <w:szCs w:val="18"/>
                      </w:rPr>
                    </w:pPr>
                    <w:r w:rsidRPr="00572C4B">
                      <w:rPr>
                        <w:noProof/>
                        <w:sz w:val="18"/>
                        <w:szCs w:val="18"/>
                      </w:rPr>
                      <w:t>15.</w:t>
                    </w:r>
                  </w:p>
                </w:tc>
                <w:tc>
                  <w:tcPr>
                    <w:tcW w:w="0" w:type="auto"/>
                    <w:hideMark/>
                  </w:tcPr>
                  <w:p w14:paraId="5F204524" w14:textId="77777777" w:rsidR="00495DCB" w:rsidRPr="00572C4B" w:rsidRDefault="00495DCB">
                    <w:pPr>
                      <w:pStyle w:val="Bibliography"/>
                      <w:rPr>
                        <w:noProof/>
                        <w:sz w:val="18"/>
                        <w:szCs w:val="18"/>
                      </w:rPr>
                    </w:pPr>
                    <w:r w:rsidRPr="00572C4B">
                      <w:rPr>
                        <w:noProof/>
                        <w:sz w:val="18"/>
                        <w:szCs w:val="18"/>
                      </w:rPr>
                      <w:t>Ross R. Next Generation Risk Management. Unified Cross Domain Management Office. 2009.</w:t>
                    </w:r>
                  </w:p>
                </w:tc>
              </w:tr>
              <w:tr w:rsidR="00495DCB" w:rsidRPr="000E7F53" w14:paraId="5ADC5B30" w14:textId="77777777" w:rsidTr="00495DCB">
                <w:trPr>
                  <w:tblCellSpacing w:w="15" w:type="dxa"/>
                </w:trPr>
                <w:tc>
                  <w:tcPr>
                    <w:tcW w:w="0" w:type="auto"/>
                    <w:hideMark/>
                  </w:tcPr>
                  <w:p w14:paraId="292B43EB" w14:textId="77777777" w:rsidR="00495DCB" w:rsidRPr="00572C4B" w:rsidRDefault="00495DCB">
                    <w:pPr>
                      <w:pStyle w:val="Bibliography"/>
                      <w:jc w:val="right"/>
                      <w:rPr>
                        <w:noProof/>
                        <w:sz w:val="18"/>
                        <w:szCs w:val="18"/>
                      </w:rPr>
                    </w:pPr>
                    <w:r w:rsidRPr="00572C4B">
                      <w:rPr>
                        <w:noProof/>
                        <w:sz w:val="18"/>
                        <w:szCs w:val="18"/>
                      </w:rPr>
                      <w:lastRenderedPageBreak/>
                      <w:t>16.</w:t>
                    </w:r>
                  </w:p>
                </w:tc>
                <w:tc>
                  <w:tcPr>
                    <w:tcW w:w="0" w:type="auto"/>
                    <w:hideMark/>
                  </w:tcPr>
                  <w:p w14:paraId="7BD94FEE" w14:textId="77777777" w:rsidR="00495DCB" w:rsidRPr="00572C4B" w:rsidRDefault="00495DCB">
                    <w:pPr>
                      <w:pStyle w:val="Bibliography"/>
                      <w:rPr>
                        <w:noProof/>
                        <w:sz w:val="18"/>
                        <w:szCs w:val="18"/>
                      </w:rPr>
                    </w:pPr>
                    <w:r w:rsidRPr="00572C4B">
                      <w:rPr>
                        <w:noProof/>
                        <w:sz w:val="18"/>
                        <w:szCs w:val="18"/>
                      </w:rPr>
                      <w:t>Clark DD. The design philosophy of the DARPA Internet Protocols. SIGCOMM Comput. Commun. Rev. 1995 January 1; 25(1): p. 102-111.</w:t>
                    </w:r>
                  </w:p>
                </w:tc>
              </w:tr>
              <w:tr w:rsidR="00495DCB" w:rsidRPr="000E7F53" w14:paraId="607C5D02" w14:textId="77777777" w:rsidTr="00495DCB">
                <w:trPr>
                  <w:tblCellSpacing w:w="15" w:type="dxa"/>
                </w:trPr>
                <w:tc>
                  <w:tcPr>
                    <w:tcW w:w="0" w:type="auto"/>
                    <w:hideMark/>
                  </w:tcPr>
                  <w:p w14:paraId="52A338D9" w14:textId="77777777" w:rsidR="00495DCB" w:rsidRPr="00572C4B" w:rsidRDefault="00495DCB">
                    <w:pPr>
                      <w:pStyle w:val="Bibliography"/>
                      <w:jc w:val="right"/>
                      <w:rPr>
                        <w:noProof/>
                        <w:sz w:val="18"/>
                        <w:szCs w:val="18"/>
                      </w:rPr>
                    </w:pPr>
                    <w:r w:rsidRPr="00572C4B">
                      <w:rPr>
                        <w:noProof/>
                        <w:sz w:val="18"/>
                        <w:szCs w:val="18"/>
                      </w:rPr>
                      <w:t>17.</w:t>
                    </w:r>
                  </w:p>
                </w:tc>
                <w:tc>
                  <w:tcPr>
                    <w:tcW w:w="0" w:type="auto"/>
                    <w:hideMark/>
                  </w:tcPr>
                  <w:p w14:paraId="5AC8B2B3" w14:textId="77777777" w:rsidR="00495DCB" w:rsidRPr="00572C4B" w:rsidRDefault="00495DCB">
                    <w:pPr>
                      <w:pStyle w:val="Bibliography"/>
                      <w:rPr>
                        <w:noProof/>
                        <w:sz w:val="18"/>
                        <w:szCs w:val="18"/>
                      </w:rPr>
                    </w:pPr>
                    <w:r w:rsidRPr="00572C4B">
                      <w:rPr>
                        <w:noProof/>
                        <w:sz w:val="18"/>
                        <w:szCs w:val="18"/>
                      </w:rPr>
                      <w:t>Blumenthal MS, Clark DD. Rethinking the design of the Internet: the end-to-end arguments vs. the brave new world. ACM Trans. Internet Technol. 2001 August 1; 1(1): p. 70-109.</w:t>
                    </w:r>
                  </w:p>
                </w:tc>
              </w:tr>
              <w:tr w:rsidR="00495DCB" w:rsidRPr="000E7F53" w14:paraId="6BE40E90" w14:textId="77777777" w:rsidTr="00495DCB">
                <w:trPr>
                  <w:tblCellSpacing w:w="15" w:type="dxa"/>
                </w:trPr>
                <w:tc>
                  <w:tcPr>
                    <w:tcW w:w="0" w:type="auto"/>
                    <w:hideMark/>
                  </w:tcPr>
                  <w:p w14:paraId="1E0909B8" w14:textId="77777777" w:rsidR="00495DCB" w:rsidRPr="00572C4B" w:rsidRDefault="00495DCB">
                    <w:pPr>
                      <w:pStyle w:val="Bibliography"/>
                      <w:jc w:val="right"/>
                      <w:rPr>
                        <w:noProof/>
                        <w:sz w:val="18"/>
                        <w:szCs w:val="18"/>
                      </w:rPr>
                    </w:pPr>
                    <w:r w:rsidRPr="00572C4B">
                      <w:rPr>
                        <w:noProof/>
                        <w:sz w:val="18"/>
                        <w:szCs w:val="18"/>
                      </w:rPr>
                      <w:t>18.</w:t>
                    </w:r>
                  </w:p>
                </w:tc>
                <w:tc>
                  <w:tcPr>
                    <w:tcW w:w="0" w:type="auto"/>
                    <w:hideMark/>
                  </w:tcPr>
                  <w:p w14:paraId="5BC69236" w14:textId="77777777" w:rsidR="00495DCB" w:rsidRPr="00572C4B" w:rsidRDefault="00495DCB">
                    <w:pPr>
                      <w:pStyle w:val="Bibliography"/>
                      <w:rPr>
                        <w:noProof/>
                        <w:sz w:val="18"/>
                        <w:szCs w:val="18"/>
                      </w:rPr>
                    </w:pPr>
                    <w:r w:rsidRPr="00572C4B">
                      <w:rPr>
                        <w:noProof/>
                        <w:sz w:val="18"/>
                        <w:szCs w:val="18"/>
                      </w:rPr>
                      <w:t>Clark DD, Wroclawski J, Sollins KR, Braden R. Tussle in cyberspace: Defining Tomorrow's Internet. In SIGCOMM; 2002; Pittsburg, PA: ACM. p. 347-356.</w:t>
                    </w:r>
                  </w:p>
                </w:tc>
              </w:tr>
              <w:tr w:rsidR="00495DCB" w:rsidRPr="000E7F53" w14:paraId="148A5077" w14:textId="77777777" w:rsidTr="00495DCB">
                <w:trPr>
                  <w:tblCellSpacing w:w="15" w:type="dxa"/>
                </w:trPr>
                <w:tc>
                  <w:tcPr>
                    <w:tcW w:w="0" w:type="auto"/>
                    <w:hideMark/>
                  </w:tcPr>
                  <w:p w14:paraId="270F8833" w14:textId="77777777" w:rsidR="00495DCB" w:rsidRPr="00572C4B" w:rsidRDefault="00495DCB">
                    <w:pPr>
                      <w:pStyle w:val="Bibliography"/>
                      <w:jc w:val="right"/>
                      <w:rPr>
                        <w:noProof/>
                        <w:sz w:val="18"/>
                        <w:szCs w:val="18"/>
                      </w:rPr>
                    </w:pPr>
                    <w:r w:rsidRPr="00572C4B">
                      <w:rPr>
                        <w:noProof/>
                        <w:sz w:val="18"/>
                        <w:szCs w:val="18"/>
                      </w:rPr>
                      <w:t>19.</w:t>
                    </w:r>
                  </w:p>
                </w:tc>
                <w:tc>
                  <w:tcPr>
                    <w:tcW w:w="0" w:type="auto"/>
                    <w:hideMark/>
                  </w:tcPr>
                  <w:p w14:paraId="19E8D6EF" w14:textId="77777777" w:rsidR="00495DCB" w:rsidRPr="00572C4B" w:rsidRDefault="00495DCB">
                    <w:pPr>
                      <w:pStyle w:val="Bibliography"/>
                      <w:rPr>
                        <w:noProof/>
                        <w:sz w:val="18"/>
                        <w:szCs w:val="18"/>
                      </w:rPr>
                    </w:pPr>
                    <w:r w:rsidRPr="00572C4B">
                      <w:rPr>
                        <w:noProof/>
                        <w:sz w:val="18"/>
                        <w:szCs w:val="18"/>
                      </w:rPr>
                      <w:t>Park J, Sandhu R. The UCON ABC Usage Control Model. ACM Trans. Inf. Syst. Secur. 2004; 7(1): p. 128-174.</w:t>
                    </w:r>
                  </w:p>
                </w:tc>
              </w:tr>
              <w:tr w:rsidR="00495DCB" w:rsidRPr="000E7F53" w14:paraId="717AE56D" w14:textId="77777777" w:rsidTr="00495DCB">
                <w:trPr>
                  <w:tblCellSpacing w:w="15" w:type="dxa"/>
                </w:trPr>
                <w:tc>
                  <w:tcPr>
                    <w:tcW w:w="0" w:type="auto"/>
                    <w:hideMark/>
                  </w:tcPr>
                  <w:p w14:paraId="193D9D34" w14:textId="77777777" w:rsidR="00495DCB" w:rsidRPr="00572C4B" w:rsidRDefault="00495DCB">
                    <w:pPr>
                      <w:pStyle w:val="Bibliography"/>
                      <w:jc w:val="right"/>
                      <w:rPr>
                        <w:noProof/>
                        <w:sz w:val="18"/>
                        <w:szCs w:val="18"/>
                      </w:rPr>
                    </w:pPr>
                    <w:r w:rsidRPr="00572C4B">
                      <w:rPr>
                        <w:noProof/>
                        <w:sz w:val="18"/>
                        <w:szCs w:val="18"/>
                      </w:rPr>
                      <w:t>20.</w:t>
                    </w:r>
                  </w:p>
                </w:tc>
                <w:tc>
                  <w:tcPr>
                    <w:tcW w:w="0" w:type="auto"/>
                    <w:hideMark/>
                  </w:tcPr>
                  <w:p w14:paraId="6BC4A1AA" w14:textId="77777777" w:rsidR="00495DCB" w:rsidRPr="00572C4B" w:rsidRDefault="00495DCB">
                    <w:pPr>
                      <w:pStyle w:val="Bibliography"/>
                      <w:rPr>
                        <w:noProof/>
                        <w:sz w:val="18"/>
                        <w:szCs w:val="18"/>
                      </w:rPr>
                    </w:pPr>
                    <w:r w:rsidRPr="00572C4B">
                      <w:rPr>
                        <w:noProof/>
                        <w:sz w:val="18"/>
                        <w:szCs w:val="18"/>
                      </w:rPr>
                      <w:t>Jamkhedkar PA, Heileman GL, Lamb CC. An Interoperable Usage Management Framework. In Proceedings of the Tenth ACM Workshop on Digital Rights Management; 2010; Chicago.</w:t>
                    </w:r>
                  </w:p>
                </w:tc>
              </w:tr>
              <w:tr w:rsidR="00495DCB" w:rsidRPr="000E7F53" w14:paraId="1DCE38B9" w14:textId="77777777" w:rsidTr="00495DCB">
                <w:trPr>
                  <w:tblCellSpacing w:w="15" w:type="dxa"/>
                </w:trPr>
                <w:tc>
                  <w:tcPr>
                    <w:tcW w:w="0" w:type="auto"/>
                    <w:hideMark/>
                  </w:tcPr>
                  <w:p w14:paraId="12C06B61" w14:textId="77777777" w:rsidR="00495DCB" w:rsidRPr="00572C4B" w:rsidRDefault="00495DCB">
                    <w:pPr>
                      <w:pStyle w:val="Bibliography"/>
                      <w:jc w:val="right"/>
                      <w:rPr>
                        <w:noProof/>
                        <w:sz w:val="18"/>
                        <w:szCs w:val="18"/>
                      </w:rPr>
                    </w:pPr>
                    <w:r w:rsidRPr="00572C4B">
                      <w:rPr>
                        <w:noProof/>
                        <w:sz w:val="18"/>
                        <w:szCs w:val="18"/>
                      </w:rPr>
                      <w:t>21.</w:t>
                    </w:r>
                  </w:p>
                </w:tc>
                <w:tc>
                  <w:tcPr>
                    <w:tcW w:w="0" w:type="auto"/>
                    <w:hideMark/>
                  </w:tcPr>
                  <w:p w14:paraId="7AE4278D" w14:textId="77777777" w:rsidR="00495DCB" w:rsidRPr="00572C4B" w:rsidRDefault="00495DCB">
                    <w:pPr>
                      <w:pStyle w:val="Bibliography"/>
                      <w:rPr>
                        <w:noProof/>
                        <w:sz w:val="18"/>
                        <w:szCs w:val="18"/>
                      </w:rPr>
                    </w:pPr>
                    <w:r w:rsidRPr="00572C4B">
                      <w:rPr>
                        <w:noProof/>
                        <w:sz w:val="18"/>
                        <w:szCs w:val="18"/>
                      </w:rPr>
                      <w:t>Jamkhedkar PA, Heileman GL, Martinez-Ortiz I. The Problem with Rights Expression Languages. In Proceedings of the Sixth ACM Workshop on Digital Rights Management; 2006; Alexandria, VA. p. 59-67.</w:t>
                    </w:r>
                  </w:p>
                </w:tc>
              </w:tr>
              <w:tr w:rsidR="00495DCB" w:rsidRPr="000E7F53" w14:paraId="4D5A7C67" w14:textId="77777777" w:rsidTr="00495DCB">
                <w:trPr>
                  <w:tblCellSpacing w:w="15" w:type="dxa"/>
                </w:trPr>
                <w:tc>
                  <w:tcPr>
                    <w:tcW w:w="0" w:type="auto"/>
                    <w:hideMark/>
                  </w:tcPr>
                  <w:p w14:paraId="0B62C549" w14:textId="77777777" w:rsidR="00495DCB" w:rsidRPr="00572C4B" w:rsidRDefault="00495DCB">
                    <w:pPr>
                      <w:pStyle w:val="Bibliography"/>
                      <w:jc w:val="right"/>
                      <w:rPr>
                        <w:noProof/>
                        <w:sz w:val="18"/>
                        <w:szCs w:val="18"/>
                      </w:rPr>
                    </w:pPr>
                    <w:r w:rsidRPr="00572C4B">
                      <w:rPr>
                        <w:noProof/>
                        <w:sz w:val="18"/>
                        <w:szCs w:val="18"/>
                      </w:rPr>
                      <w:t>22.</w:t>
                    </w:r>
                  </w:p>
                </w:tc>
                <w:tc>
                  <w:tcPr>
                    <w:tcW w:w="0" w:type="auto"/>
                    <w:hideMark/>
                  </w:tcPr>
                  <w:p w14:paraId="67373E36" w14:textId="77777777" w:rsidR="00495DCB" w:rsidRPr="00572C4B" w:rsidRDefault="00495DCB">
                    <w:pPr>
                      <w:pStyle w:val="Bibliography"/>
                      <w:rPr>
                        <w:noProof/>
                        <w:sz w:val="18"/>
                        <w:szCs w:val="18"/>
                      </w:rPr>
                    </w:pPr>
                    <w:r w:rsidRPr="00572C4B">
                      <w:rPr>
                        <w:noProof/>
                        <w:sz w:val="18"/>
                        <w:szCs w:val="18"/>
                      </w:rPr>
                      <w:t>Jamkhedkar PA, Heileman GL. The Role of Architecture in DRM Vendor Economics. In Satish D. Digital Rights Management: An Introduction.: ICFAI University Press; 2009.</w:t>
                    </w:r>
                  </w:p>
                </w:tc>
              </w:tr>
              <w:tr w:rsidR="00495DCB" w:rsidRPr="000E7F53" w14:paraId="5160A644" w14:textId="77777777" w:rsidTr="00495DCB">
                <w:trPr>
                  <w:tblCellSpacing w:w="15" w:type="dxa"/>
                </w:trPr>
                <w:tc>
                  <w:tcPr>
                    <w:tcW w:w="0" w:type="auto"/>
                    <w:hideMark/>
                  </w:tcPr>
                  <w:p w14:paraId="23634CA4" w14:textId="77777777" w:rsidR="00495DCB" w:rsidRPr="00572C4B" w:rsidRDefault="00495DCB">
                    <w:pPr>
                      <w:pStyle w:val="Bibliography"/>
                      <w:jc w:val="right"/>
                      <w:rPr>
                        <w:noProof/>
                        <w:sz w:val="18"/>
                        <w:szCs w:val="18"/>
                      </w:rPr>
                    </w:pPr>
                    <w:r w:rsidRPr="00572C4B">
                      <w:rPr>
                        <w:noProof/>
                        <w:sz w:val="18"/>
                        <w:szCs w:val="18"/>
                      </w:rPr>
                      <w:t>23.</w:t>
                    </w:r>
                  </w:p>
                </w:tc>
                <w:tc>
                  <w:tcPr>
                    <w:tcW w:w="0" w:type="auto"/>
                    <w:hideMark/>
                  </w:tcPr>
                  <w:p w14:paraId="33800586" w14:textId="77777777" w:rsidR="00495DCB" w:rsidRPr="00572C4B" w:rsidRDefault="00495DCB">
                    <w:pPr>
                      <w:pStyle w:val="Bibliography"/>
                      <w:rPr>
                        <w:noProof/>
                        <w:sz w:val="18"/>
                        <w:szCs w:val="18"/>
                      </w:rPr>
                    </w:pPr>
                    <w:r w:rsidRPr="00572C4B">
                      <w:rPr>
                        <w:noProof/>
                        <w:sz w:val="18"/>
                        <w:szCs w:val="18"/>
                      </w:rPr>
                      <w:t>Jamkhedkar PA, Heileman GL. DRM as a Layered System. In Proceedings of the Fourth ACM Workshop on Digital Rights Management; 2004; Washington, DC, USA: ACM. p. 11-21.</w:t>
                    </w:r>
                  </w:p>
                </w:tc>
              </w:tr>
              <w:tr w:rsidR="00495DCB" w:rsidRPr="000E7F53" w14:paraId="41DA4CDE" w14:textId="77777777" w:rsidTr="00495DCB">
                <w:trPr>
                  <w:tblCellSpacing w:w="15" w:type="dxa"/>
                </w:trPr>
                <w:tc>
                  <w:tcPr>
                    <w:tcW w:w="0" w:type="auto"/>
                    <w:hideMark/>
                  </w:tcPr>
                  <w:p w14:paraId="03D76E93" w14:textId="77777777" w:rsidR="00495DCB" w:rsidRPr="00572C4B" w:rsidRDefault="00495DCB">
                    <w:pPr>
                      <w:pStyle w:val="Bibliography"/>
                      <w:jc w:val="right"/>
                      <w:rPr>
                        <w:noProof/>
                        <w:sz w:val="18"/>
                        <w:szCs w:val="18"/>
                      </w:rPr>
                    </w:pPr>
                    <w:r w:rsidRPr="00572C4B">
                      <w:rPr>
                        <w:noProof/>
                        <w:sz w:val="18"/>
                        <w:szCs w:val="18"/>
                      </w:rPr>
                      <w:t>24.</w:t>
                    </w:r>
                  </w:p>
                </w:tc>
                <w:tc>
                  <w:tcPr>
                    <w:tcW w:w="0" w:type="auto"/>
                    <w:hideMark/>
                  </w:tcPr>
                  <w:p w14:paraId="7AB9B825" w14:textId="77777777" w:rsidR="00495DCB" w:rsidRPr="00572C4B" w:rsidRDefault="00495DCB">
                    <w:pPr>
                      <w:pStyle w:val="Bibliography"/>
                      <w:rPr>
                        <w:noProof/>
                        <w:sz w:val="18"/>
                        <w:szCs w:val="18"/>
                      </w:rPr>
                    </w:pPr>
                    <w:r w:rsidRPr="00572C4B">
                      <w:rPr>
                        <w:noProof/>
                        <w:sz w:val="18"/>
                        <w:szCs w:val="18"/>
                      </w:rPr>
                      <w:t>Heileman GL, Jamkhedkar PA. DRM Interoperability Analysis from the Perspective of a Layered Framework. In Proceedings of the Fifth ACM Workshop on Digital Rights Management; 2005; Alexandria, VA, USA: ACM. p. 17-26.</w:t>
                    </w:r>
                  </w:p>
                </w:tc>
              </w:tr>
              <w:tr w:rsidR="00495DCB" w:rsidRPr="000E7F53" w14:paraId="1DF0423A" w14:textId="77777777" w:rsidTr="00495DCB">
                <w:trPr>
                  <w:tblCellSpacing w:w="15" w:type="dxa"/>
                </w:trPr>
                <w:tc>
                  <w:tcPr>
                    <w:tcW w:w="0" w:type="auto"/>
                    <w:hideMark/>
                  </w:tcPr>
                  <w:p w14:paraId="6EC3AA00" w14:textId="77777777" w:rsidR="00495DCB" w:rsidRPr="00572C4B" w:rsidRDefault="00495DCB">
                    <w:pPr>
                      <w:pStyle w:val="Bibliography"/>
                      <w:jc w:val="right"/>
                      <w:rPr>
                        <w:noProof/>
                        <w:sz w:val="18"/>
                        <w:szCs w:val="18"/>
                      </w:rPr>
                    </w:pPr>
                    <w:r w:rsidRPr="00572C4B">
                      <w:rPr>
                        <w:noProof/>
                        <w:sz w:val="18"/>
                        <w:szCs w:val="18"/>
                      </w:rPr>
                      <w:t>25.</w:t>
                    </w:r>
                  </w:p>
                </w:tc>
                <w:tc>
                  <w:tcPr>
                    <w:tcW w:w="0" w:type="auto"/>
                    <w:hideMark/>
                  </w:tcPr>
                  <w:p w14:paraId="635DBB88" w14:textId="77777777" w:rsidR="00495DCB" w:rsidRPr="00572C4B" w:rsidRDefault="00495DCB">
                    <w:pPr>
                      <w:pStyle w:val="Bibliography"/>
                      <w:rPr>
                        <w:noProof/>
                        <w:sz w:val="18"/>
                        <w:szCs w:val="18"/>
                      </w:rPr>
                    </w:pPr>
                    <w:r w:rsidRPr="00572C4B">
                      <w:rPr>
                        <w:noProof/>
                        <w:sz w:val="18"/>
                        <w:szCs w:val="18"/>
                      </w:rPr>
                      <w:t>Koenen RH, Lacy J, MacKay M, Mitchell S. The Long March to Interoperable Digital Rights Management. Proceedings of the IEEE. 2004: p. 883-897.</w:t>
                    </w:r>
                  </w:p>
                </w:tc>
              </w:tr>
              <w:tr w:rsidR="00495DCB" w:rsidRPr="000E7F53" w14:paraId="723087B7" w14:textId="77777777" w:rsidTr="00495DCB">
                <w:trPr>
                  <w:tblCellSpacing w:w="15" w:type="dxa"/>
                </w:trPr>
                <w:tc>
                  <w:tcPr>
                    <w:tcW w:w="0" w:type="auto"/>
                    <w:hideMark/>
                  </w:tcPr>
                  <w:p w14:paraId="25295B2D" w14:textId="77777777" w:rsidR="00495DCB" w:rsidRPr="00572C4B" w:rsidRDefault="00495DCB">
                    <w:pPr>
                      <w:pStyle w:val="Bibliography"/>
                      <w:jc w:val="right"/>
                      <w:rPr>
                        <w:noProof/>
                        <w:sz w:val="18"/>
                        <w:szCs w:val="18"/>
                      </w:rPr>
                    </w:pPr>
                    <w:r w:rsidRPr="00572C4B">
                      <w:rPr>
                        <w:noProof/>
                        <w:sz w:val="18"/>
                        <w:szCs w:val="18"/>
                      </w:rPr>
                      <w:t>26.</w:t>
                    </w:r>
                  </w:p>
                </w:tc>
                <w:tc>
                  <w:tcPr>
                    <w:tcW w:w="0" w:type="auto"/>
                    <w:hideMark/>
                  </w:tcPr>
                  <w:p w14:paraId="3E9B985A" w14:textId="77777777" w:rsidR="00495DCB" w:rsidRPr="00572C4B" w:rsidRDefault="00495DCB">
                    <w:pPr>
                      <w:pStyle w:val="Bibliography"/>
                      <w:rPr>
                        <w:noProof/>
                        <w:sz w:val="18"/>
                        <w:szCs w:val="18"/>
                      </w:rPr>
                    </w:pPr>
                    <w:r w:rsidRPr="00572C4B">
                      <w:rPr>
                        <w:noProof/>
                        <w:sz w:val="18"/>
                        <w:szCs w:val="18"/>
                      </w:rPr>
                      <w:t xml:space="preserve">Coral Consortium. Coral Consortium Whitepaper. [Online].: Coral Consortium; 2006. Available from: </w:t>
                    </w:r>
                    <w:hyperlink r:id="rId24" w:history="1">
                      <w:r w:rsidRPr="00572C4B">
                        <w:rPr>
                          <w:rStyle w:val="Hyperlink"/>
                          <w:noProof/>
                          <w:sz w:val="18"/>
                          <w:szCs w:val="18"/>
                        </w:rPr>
                        <w:t>http://www.coral-interop.org/main/news/Coral.whitepaper.pdf</w:t>
                      </w:r>
                    </w:hyperlink>
                    <w:r w:rsidRPr="00572C4B">
                      <w:rPr>
                        <w:noProof/>
                        <w:sz w:val="18"/>
                        <w:szCs w:val="18"/>
                      </w:rPr>
                      <w:t>.</w:t>
                    </w:r>
                  </w:p>
                </w:tc>
              </w:tr>
              <w:tr w:rsidR="00495DCB" w:rsidRPr="000E7F53" w14:paraId="3B4869B2" w14:textId="77777777" w:rsidTr="00495DCB">
                <w:trPr>
                  <w:tblCellSpacing w:w="15" w:type="dxa"/>
                </w:trPr>
                <w:tc>
                  <w:tcPr>
                    <w:tcW w:w="0" w:type="auto"/>
                    <w:hideMark/>
                  </w:tcPr>
                  <w:p w14:paraId="4AD35B36" w14:textId="77777777" w:rsidR="00495DCB" w:rsidRPr="00572C4B" w:rsidRDefault="00495DCB">
                    <w:pPr>
                      <w:pStyle w:val="Bibliography"/>
                      <w:jc w:val="right"/>
                      <w:rPr>
                        <w:noProof/>
                        <w:sz w:val="18"/>
                        <w:szCs w:val="18"/>
                      </w:rPr>
                    </w:pPr>
                    <w:r w:rsidRPr="00572C4B">
                      <w:rPr>
                        <w:noProof/>
                        <w:sz w:val="18"/>
                        <w:szCs w:val="18"/>
                      </w:rPr>
                      <w:t>27.</w:t>
                    </w:r>
                  </w:p>
                </w:tc>
                <w:tc>
                  <w:tcPr>
                    <w:tcW w:w="0" w:type="auto"/>
                    <w:hideMark/>
                  </w:tcPr>
                  <w:p w14:paraId="295EF777" w14:textId="77777777" w:rsidR="00495DCB" w:rsidRPr="00572C4B" w:rsidRDefault="00495DCB">
                    <w:pPr>
                      <w:pStyle w:val="Bibliography"/>
                      <w:rPr>
                        <w:noProof/>
                        <w:sz w:val="18"/>
                        <w:szCs w:val="18"/>
                      </w:rPr>
                    </w:pPr>
                    <w:r w:rsidRPr="00572C4B">
                      <w:rPr>
                        <w:noProof/>
                        <w:sz w:val="18"/>
                        <w:szCs w:val="18"/>
                      </w:rPr>
                      <w:t xml:space="preserve">Marlin. Marlin Architecture Overview. [Online].; 2006. Available from: </w:t>
                    </w:r>
                    <w:hyperlink r:id="rId25" w:history="1">
                      <w:r w:rsidRPr="00572C4B">
                        <w:rPr>
                          <w:rStyle w:val="Hyperlink"/>
                          <w:noProof/>
                          <w:sz w:val="18"/>
                          <w:szCs w:val="18"/>
                        </w:rPr>
                        <w:t>http://www.marlin-community.com</w:t>
                      </w:r>
                    </w:hyperlink>
                    <w:r w:rsidRPr="00572C4B">
                      <w:rPr>
                        <w:noProof/>
                        <w:sz w:val="18"/>
                        <w:szCs w:val="18"/>
                      </w:rPr>
                      <w:t>.</w:t>
                    </w:r>
                  </w:p>
                </w:tc>
              </w:tr>
              <w:tr w:rsidR="00495DCB" w:rsidRPr="000E7F53" w14:paraId="45CDCCF0" w14:textId="77777777" w:rsidTr="00495DCB">
                <w:trPr>
                  <w:tblCellSpacing w:w="15" w:type="dxa"/>
                </w:trPr>
                <w:tc>
                  <w:tcPr>
                    <w:tcW w:w="0" w:type="auto"/>
                    <w:hideMark/>
                  </w:tcPr>
                  <w:p w14:paraId="640BA6DB" w14:textId="77777777" w:rsidR="00495DCB" w:rsidRPr="00572C4B" w:rsidRDefault="00495DCB">
                    <w:pPr>
                      <w:pStyle w:val="Bibliography"/>
                      <w:jc w:val="right"/>
                      <w:rPr>
                        <w:noProof/>
                        <w:sz w:val="18"/>
                        <w:szCs w:val="18"/>
                      </w:rPr>
                    </w:pPr>
                    <w:r w:rsidRPr="00572C4B">
                      <w:rPr>
                        <w:noProof/>
                        <w:sz w:val="18"/>
                        <w:szCs w:val="18"/>
                      </w:rPr>
                      <w:t>28.</w:t>
                    </w:r>
                  </w:p>
                </w:tc>
                <w:tc>
                  <w:tcPr>
                    <w:tcW w:w="0" w:type="auto"/>
                    <w:hideMark/>
                  </w:tcPr>
                  <w:p w14:paraId="2E0D0D8E" w14:textId="77777777" w:rsidR="00495DCB" w:rsidRPr="00572C4B" w:rsidRDefault="00495DCB">
                    <w:pPr>
                      <w:pStyle w:val="Bibliography"/>
                      <w:rPr>
                        <w:noProof/>
                        <w:sz w:val="18"/>
                        <w:szCs w:val="18"/>
                      </w:rPr>
                    </w:pPr>
                    <w:r w:rsidRPr="00572C4B">
                      <w:rPr>
                        <w:noProof/>
                        <w:sz w:val="18"/>
                        <w:szCs w:val="18"/>
                      </w:rPr>
                      <w:t>Perez GM, Clemente FJG, Skarmeta AFG. Building and Managing Policy-Based Secure Overlay Networks. In Parallel, Distributed and Network-Based Processing, 2008. PDP 2008. 16th Euromicro Conference on; 2008. p. 597-603.</w:t>
                    </w:r>
                  </w:p>
                </w:tc>
              </w:tr>
              <w:tr w:rsidR="00495DCB" w:rsidRPr="000E7F53" w14:paraId="5806433B" w14:textId="77777777" w:rsidTr="00495DCB">
                <w:trPr>
                  <w:tblCellSpacing w:w="15" w:type="dxa"/>
                </w:trPr>
                <w:tc>
                  <w:tcPr>
                    <w:tcW w:w="0" w:type="auto"/>
                    <w:hideMark/>
                  </w:tcPr>
                  <w:p w14:paraId="033BF08D" w14:textId="77777777" w:rsidR="00495DCB" w:rsidRPr="00572C4B" w:rsidRDefault="00495DCB">
                    <w:pPr>
                      <w:pStyle w:val="Bibliography"/>
                      <w:jc w:val="right"/>
                      <w:rPr>
                        <w:noProof/>
                        <w:sz w:val="18"/>
                        <w:szCs w:val="18"/>
                      </w:rPr>
                    </w:pPr>
                    <w:r w:rsidRPr="00572C4B">
                      <w:rPr>
                        <w:noProof/>
                        <w:sz w:val="18"/>
                        <w:szCs w:val="18"/>
                      </w:rPr>
                      <w:t>29.</w:t>
                    </w:r>
                  </w:p>
                </w:tc>
                <w:tc>
                  <w:tcPr>
                    <w:tcW w:w="0" w:type="auto"/>
                    <w:hideMark/>
                  </w:tcPr>
                  <w:p w14:paraId="2D881123" w14:textId="77777777" w:rsidR="00495DCB" w:rsidRPr="00572C4B" w:rsidRDefault="00495DCB">
                    <w:pPr>
                      <w:pStyle w:val="Bibliography"/>
                      <w:rPr>
                        <w:noProof/>
                        <w:sz w:val="18"/>
                        <w:szCs w:val="18"/>
                      </w:rPr>
                    </w:pPr>
                    <w:r w:rsidRPr="00572C4B">
                      <w:rPr>
                        <w:noProof/>
                        <w:sz w:val="18"/>
                        <w:szCs w:val="18"/>
                      </w:rPr>
                      <w:t xml:space="preserve">Openflow. Openflow - Enabling Innovation in Your Network. [Online].; 2011 [cited 2012 June 1. Available from: </w:t>
                    </w:r>
                    <w:hyperlink r:id="rId26" w:history="1">
                      <w:r w:rsidRPr="00572C4B">
                        <w:rPr>
                          <w:rStyle w:val="Hyperlink"/>
                          <w:noProof/>
                          <w:sz w:val="18"/>
                          <w:szCs w:val="18"/>
                        </w:rPr>
                        <w:t>http://www.openflow.org</w:t>
                      </w:r>
                    </w:hyperlink>
                    <w:r w:rsidRPr="00572C4B">
                      <w:rPr>
                        <w:noProof/>
                        <w:sz w:val="18"/>
                        <w:szCs w:val="18"/>
                      </w:rPr>
                      <w:t>.</w:t>
                    </w:r>
                  </w:p>
                </w:tc>
              </w:tr>
              <w:tr w:rsidR="00495DCB" w:rsidRPr="000E7F53" w14:paraId="48E0CD86" w14:textId="77777777" w:rsidTr="00495DCB">
                <w:trPr>
                  <w:tblCellSpacing w:w="15" w:type="dxa"/>
                </w:trPr>
                <w:tc>
                  <w:tcPr>
                    <w:tcW w:w="0" w:type="auto"/>
                    <w:hideMark/>
                  </w:tcPr>
                  <w:p w14:paraId="034E2546" w14:textId="77777777" w:rsidR="00495DCB" w:rsidRPr="00572C4B" w:rsidRDefault="00495DCB">
                    <w:pPr>
                      <w:pStyle w:val="Bibliography"/>
                      <w:jc w:val="right"/>
                      <w:rPr>
                        <w:noProof/>
                        <w:sz w:val="18"/>
                        <w:szCs w:val="18"/>
                      </w:rPr>
                    </w:pPr>
                    <w:r w:rsidRPr="00572C4B">
                      <w:rPr>
                        <w:noProof/>
                        <w:sz w:val="18"/>
                        <w:szCs w:val="18"/>
                      </w:rPr>
                      <w:t>30.</w:t>
                    </w:r>
                  </w:p>
                </w:tc>
                <w:tc>
                  <w:tcPr>
                    <w:tcW w:w="0" w:type="auto"/>
                    <w:hideMark/>
                  </w:tcPr>
                  <w:p w14:paraId="67F8A50D" w14:textId="77777777" w:rsidR="00495DCB" w:rsidRPr="00572C4B" w:rsidRDefault="00495DCB">
                    <w:pPr>
                      <w:pStyle w:val="Bibliography"/>
                      <w:rPr>
                        <w:noProof/>
                        <w:sz w:val="18"/>
                        <w:szCs w:val="18"/>
                      </w:rPr>
                    </w:pPr>
                    <w:r w:rsidRPr="00572C4B">
                      <w:rPr>
                        <w:noProof/>
                        <w:sz w:val="18"/>
                        <w:szCs w:val="18"/>
                      </w:rPr>
                      <w:t xml:space="preserve">JBoss. JBoss ESB. [Online].; 2011 [cited 2012 January 1. Available from: </w:t>
                    </w:r>
                    <w:hyperlink r:id="rId27" w:history="1">
                      <w:r w:rsidRPr="00572C4B">
                        <w:rPr>
                          <w:rStyle w:val="Hyperlink"/>
                          <w:noProof/>
                          <w:sz w:val="18"/>
                          <w:szCs w:val="18"/>
                        </w:rPr>
                        <w:t>http://www.jboss.org/jbossesb</w:t>
                      </w:r>
                    </w:hyperlink>
                    <w:r w:rsidRPr="00572C4B">
                      <w:rPr>
                        <w:noProof/>
                        <w:sz w:val="18"/>
                        <w:szCs w:val="18"/>
                      </w:rPr>
                      <w:t>.</w:t>
                    </w:r>
                  </w:p>
                </w:tc>
              </w:tr>
            </w:tbl>
            <w:p w14:paraId="73396A70" w14:textId="77777777" w:rsidR="00495DCB" w:rsidRPr="000E7F53" w:rsidRDefault="00495DCB" w:rsidP="00495DCB">
              <w:pPr>
                <w:pStyle w:val="Bibliography"/>
                <w:rPr>
                  <w:rFonts w:eastAsiaTheme="minorEastAsia"/>
                  <w:noProof/>
                  <w:vanish/>
                  <w:sz w:val="18"/>
                  <w:szCs w:val="18"/>
                </w:rPr>
              </w:pPr>
              <w:r w:rsidRPr="000E7F53">
                <w:rPr>
                  <w:noProof/>
                  <w:vanish/>
                  <w:sz w:val="18"/>
                  <w:szCs w:val="18"/>
                </w:rPr>
                <w:t>x</w:t>
              </w:r>
            </w:p>
            <w:p w14:paraId="29AD5474" w14:textId="02EAC27E" w:rsidR="00DC341B" w:rsidRPr="00361020" w:rsidRDefault="00361020" w:rsidP="00495DCB">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47571D0A">
                  <wp:extent cx="1039314" cy="104141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8">
                            <a:extLst>
                              <a:ext uri="{28A0092B-C50C-407E-A947-70E740481C1C}">
                                <a14:useLocalDpi xmlns:a14="http://schemas.microsoft.com/office/drawing/2010/main" val="0"/>
                              </a:ext>
                            </a:extLst>
                          </a:blip>
                          <a:stretch>
                            <a:fillRect/>
                          </a:stretch>
                        </pic:blipFill>
                        <pic:spPr>
                          <a:xfrm>
                            <a:off x="0" y="0"/>
                            <a:ext cx="1041198" cy="1043305"/>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35AFA4D5">
                  <wp:extent cx="1080000" cy="1428278"/>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9">
                            <a:extLst>
                              <a:ext uri="{28A0092B-C50C-407E-A947-70E740481C1C}">
                                <a14:useLocalDpi xmlns:a14="http://schemas.microsoft.com/office/drawing/2010/main" val="0"/>
                              </a:ext>
                            </a:extLst>
                          </a:blip>
                          <a:stretch>
                            <a:fillRect/>
                          </a:stretch>
                        </pic:blipFill>
                        <pic:spPr>
                          <a:xfrm>
                            <a:off x="0" y="0"/>
                            <a:ext cx="1080000" cy="1428278"/>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30"/>
      <w:headerReference w:type="default" r:id="rId31"/>
      <w:footerReference w:type="even" r:id="rId32"/>
      <w:footerReference w:type="default" r:id="rId33"/>
      <w:headerReference w:type="first" r:id="rId34"/>
      <w:footerReference w:type="first" r:id="rId35"/>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B65B1C" w:rsidRDefault="00B65B1C">
      <w:r>
        <w:separator/>
      </w:r>
    </w:p>
  </w:endnote>
  <w:endnote w:type="continuationSeparator" w:id="0">
    <w:p w14:paraId="5D8E4D48" w14:textId="77777777" w:rsidR="00B65B1C" w:rsidRDefault="00B6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B65B1C" w:rsidRPr="003D5B84" w:rsidRDefault="00B65B1C"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B65B1C" w:rsidRPr="003C727A" w:rsidRDefault="00B65B1C"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B65B1C" w:rsidRPr="003D5B84" w:rsidRDefault="00B65B1C"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B65B1C" w:rsidRDefault="00B65B1C">
      <w:r>
        <w:separator/>
      </w:r>
    </w:p>
  </w:footnote>
  <w:footnote w:type="continuationSeparator" w:id="0">
    <w:p w14:paraId="753C35D2" w14:textId="77777777" w:rsidR="00B65B1C" w:rsidRDefault="00B65B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B65B1C" w:rsidRPr="003D5B84" w:rsidRDefault="00B65B1C"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D015E">
      <w:rPr>
        <w:rStyle w:val="PageNumber"/>
        <w:noProof/>
      </w:rPr>
      <w:t>32</w:t>
    </w:r>
    <w:r w:rsidRPr="003D5B84">
      <w:rPr>
        <w:rStyle w:val="PageNumber"/>
      </w:rPr>
      <w:fldChar w:fldCharType="end"/>
    </w:r>
  </w:p>
  <w:p w14:paraId="22F2DAFE" w14:textId="77777777" w:rsidR="00B65B1C" w:rsidRPr="003D5B84" w:rsidRDefault="00B65B1C"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B65B1C" w:rsidRPr="003D5B84" w:rsidRDefault="00B65B1C"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D015E">
      <w:rPr>
        <w:rStyle w:val="PageNumber"/>
        <w:noProof/>
      </w:rPr>
      <w:t>33</w:t>
    </w:r>
    <w:r w:rsidRPr="003D5B84">
      <w:rPr>
        <w:rStyle w:val="PageNumber"/>
      </w:rPr>
      <w:fldChar w:fldCharType="end"/>
    </w:r>
  </w:p>
  <w:p w14:paraId="6C3C49D3" w14:textId="77777777" w:rsidR="00B65B1C" w:rsidRPr="003D5B84" w:rsidRDefault="00B65B1C"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B65B1C" w:rsidRPr="003D5B84" w:rsidRDefault="00B65B1C"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B65B1C" w:rsidRPr="003D5B84" w:rsidRDefault="00B65B1C"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B65B1C" w:rsidRPr="003D5B84" w:rsidRDefault="00B65B1C"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B65B1C" w:rsidRPr="003D5B84" w:rsidRDefault="00B65B1C"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0D015E">
      <w:rPr>
        <w:rStyle w:val="PageNumber"/>
        <w:noProof/>
      </w:rPr>
      <w:t>31</w:t>
    </w:r>
    <w:r w:rsidRPr="003D5B84">
      <w:rPr>
        <w:rStyle w:val="PageNumber"/>
      </w:rPr>
      <w:fldChar w:fldCharType="end"/>
    </w:r>
  </w:p>
  <w:p w14:paraId="0B093F16" w14:textId="77777777" w:rsidR="00B65B1C" w:rsidRPr="003D5B84" w:rsidRDefault="00B65B1C"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67FEE"/>
    <w:rsid w:val="00572013"/>
    <w:rsid w:val="00572C4B"/>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364F"/>
    <w:rsid w:val="00675D81"/>
    <w:rsid w:val="00676455"/>
    <w:rsid w:val="00676EB9"/>
    <w:rsid w:val="00682668"/>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8F6555"/>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3139"/>
    <w:rsid w:val="00A85A64"/>
    <w:rsid w:val="00A93118"/>
    <w:rsid w:val="00AA1228"/>
    <w:rsid w:val="00AA3EC5"/>
    <w:rsid w:val="00AA48F5"/>
    <w:rsid w:val="00AA4B39"/>
    <w:rsid w:val="00AA4C05"/>
    <w:rsid w:val="00AA512B"/>
    <w:rsid w:val="00AA608B"/>
    <w:rsid w:val="00AA6F8C"/>
    <w:rsid w:val="00AA77C0"/>
    <w:rsid w:val="00AB1CD7"/>
    <w:rsid w:val="00AB1F5C"/>
    <w:rsid w:val="00AB404F"/>
    <w:rsid w:val="00AB4311"/>
    <w:rsid w:val="00AB49DA"/>
    <w:rsid w:val="00AB59A7"/>
    <w:rsid w:val="00AB68F7"/>
    <w:rsid w:val="00AC077B"/>
    <w:rsid w:val="00AC0C82"/>
    <w:rsid w:val="00AC1F08"/>
    <w:rsid w:val="00AC60ED"/>
    <w:rsid w:val="00AD13FB"/>
    <w:rsid w:val="00AD564C"/>
    <w:rsid w:val="00AD7639"/>
    <w:rsid w:val="00AE0B27"/>
    <w:rsid w:val="00AE0CBF"/>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0D4"/>
    <w:rsid w:val="00C9655A"/>
    <w:rsid w:val="00C96FCA"/>
    <w:rsid w:val="00C9754D"/>
    <w:rsid w:val="00C975DF"/>
    <w:rsid w:val="00CA5D84"/>
    <w:rsid w:val="00CB24A2"/>
    <w:rsid w:val="00CB6A80"/>
    <w:rsid w:val="00CB7178"/>
    <w:rsid w:val="00CC1960"/>
    <w:rsid w:val="00CD01FA"/>
    <w:rsid w:val="00CE1CF3"/>
    <w:rsid w:val="00CE70F3"/>
    <w:rsid w:val="00CE7659"/>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hyperlink" Target="http://dodcio.defense.gov/Portals/0/Documents/InfoSharingStrategy.pdf" TargetMode="External"/><Relationship Id="rId22" Type="http://schemas.openxmlformats.org/officeDocument/2006/relationships/hyperlink" Target="http://www.informationweek.com/news/government/cloud-saas/229401646" TargetMode="External"/><Relationship Id="rId23" Type="http://schemas.openxmlformats.org/officeDocument/2006/relationships/hyperlink" Target="http://www.dodsbir.net/sitis/archives_display_topic.asp?Bookmark=41198" TargetMode="External"/><Relationship Id="rId24" Type="http://schemas.openxmlformats.org/officeDocument/2006/relationships/hyperlink" Target="http://www.coral-interop.org/main/news/Coral.whitepaper.pdf" TargetMode="External"/><Relationship Id="rId25" Type="http://schemas.openxmlformats.org/officeDocument/2006/relationships/hyperlink" Target="http://www.marlin-community.com" TargetMode="External"/><Relationship Id="rId26" Type="http://schemas.openxmlformats.org/officeDocument/2006/relationships/hyperlink" Target="http://www.openflow.org" TargetMode="External"/><Relationship Id="rId27" Type="http://schemas.openxmlformats.org/officeDocument/2006/relationships/hyperlink" Target="http://www.jboss.org/jbossesb" TargetMode="External"/><Relationship Id="rId28" Type="http://schemas.openxmlformats.org/officeDocument/2006/relationships/image" Target="media/image10.jp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004581720"/>
        <c:axId val="-2027760488"/>
      </c:barChart>
      <c:catAx>
        <c:axId val="-2004581720"/>
        <c:scaling>
          <c:orientation val="minMax"/>
        </c:scaling>
        <c:delete val="0"/>
        <c:axPos val="b"/>
        <c:majorTickMark val="out"/>
        <c:minorTickMark val="none"/>
        <c:tickLblPos val="nextTo"/>
        <c:crossAx val="-2027760488"/>
        <c:crosses val="autoZero"/>
        <c:auto val="1"/>
        <c:lblAlgn val="ctr"/>
        <c:lblOffset val="100"/>
        <c:noMultiLvlLbl val="0"/>
      </c:catAx>
      <c:valAx>
        <c:axId val="-2027760488"/>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0458172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1995423464"/>
        <c:axId val="-1993877800"/>
      </c:barChart>
      <c:catAx>
        <c:axId val="-1995423464"/>
        <c:scaling>
          <c:orientation val="minMax"/>
        </c:scaling>
        <c:delete val="0"/>
        <c:axPos val="b"/>
        <c:majorTickMark val="out"/>
        <c:minorTickMark val="none"/>
        <c:tickLblPos val="nextTo"/>
        <c:crossAx val="-1993877800"/>
        <c:crosses val="autoZero"/>
        <c:auto val="1"/>
        <c:lblAlgn val="ctr"/>
        <c:lblOffset val="100"/>
        <c:noMultiLvlLbl val="0"/>
      </c:catAx>
      <c:valAx>
        <c:axId val="-199387780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199542346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024226360"/>
        <c:axId val="-2024670392"/>
      </c:barChart>
      <c:catAx>
        <c:axId val="-2024226360"/>
        <c:scaling>
          <c:orientation val="minMax"/>
        </c:scaling>
        <c:delete val="0"/>
        <c:axPos val="b"/>
        <c:majorTickMark val="out"/>
        <c:minorTickMark val="none"/>
        <c:tickLblPos val="nextTo"/>
        <c:crossAx val="-2024670392"/>
        <c:crosses val="autoZero"/>
        <c:auto val="1"/>
        <c:lblAlgn val="ctr"/>
        <c:lblOffset val="100"/>
        <c:noMultiLvlLbl val="0"/>
      </c:catAx>
      <c:valAx>
        <c:axId val="-202467039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2422636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F92D3D9B-8D37-DE4C-8956-38ECEDC6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6974</Words>
  <Characters>39752</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94</cp:revision>
  <cp:lastPrinted>2012-09-30T15:32:00Z</cp:lastPrinted>
  <dcterms:created xsi:type="dcterms:W3CDTF">2012-09-29T14:41:00Z</dcterms:created>
  <dcterms:modified xsi:type="dcterms:W3CDTF">2012-10-13T22:59:00Z</dcterms:modified>
</cp:coreProperties>
</file>