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Plugins and user-defined procedures</w:t>
      </w:r>
    </w:p>
    <w:p>
      <w:pPr>
        <w:pStyle w:val="Subtitle"/>
      </w:pPr>
      <w:r>
        <w:t>Feasibility, boundaries, alternatives, security model, and staged roadmap</w:t>
      </w:r>
    </w:p>
    <w:tbl>
      <w:tblPr>
        <w:tblW w:type="auto" w:w="0"/>
        <w:jc w:val="left"/>
        <w:tblLook w:firstColumn="1" w:firstRow="1" w:lastColumn="0" w:lastRow="0" w:noHBand="0" w:noVBand="1" w:val="04A0"/>
      </w:tblPr>
      <w:tblGrid>
        <w:gridCol w:w="3389"/>
        <w:gridCol w:w="3389"/>
        <w:gridCol w:w="3389"/>
      </w:tblGrid>
      <w:tr>
        <w:tc>
          <w:tcPr>
            <w:tcW w:type="dxa" w:w="3389"/>
            <w:shd w:fill="EAF3F5"/>
            <w:tcMar>
              <w:top w:w="90" w:type="dxa"/>
              <w:start w:w="90" w:type="dxa"/>
              <w:bottom w:w="90" w:type="dxa"/>
              <w:end w:w="90" w:type="dxa"/>
            </w:tcMar>
          </w:tcPr>
          <w:p>
            <w:r>
              <w:rPr>
                <w:b/>
                <w:color w:val="087E8B"/>
                <w:sz w:val="14"/>
              </w:rPr>
              <w:t>STATUS</w:t>
              <w:br/>
            </w:r>
            <w:r>
              <w:rPr>
                <w:sz w:val="17"/>
              </w:rPr>
              <w:t>Reviewed source design</w:t>
            </w:r>
          </w:p>
        </w:tc>
        <w:tc>
          <w:tcPr>
            <w:tcW w:type="dxa" w:w="3389"/>
            <w:shd w:fill="EAF3F5"/>
            <w:tcMar>
              <w:top w:w="90" w:type="dxa"/>
              <w:start w:w="90" w:type="dxa"/>
              <w:bottom w:w="90" w:type="dxa"/>
              <w:end w:w="90" w:type="dxa"/>
            </w:tcMar>
          </w:tcPr>
          <w:p>
            <w:r>
              <w:rPr>
                <w:b/>
                <w:color w:val="087E8B"/>
                <w:sz w:val="14"/>
              </w:rPr>
              <w:t>REVISION</w:t>
              <w:br/>
            </w:r>
            <w:r>
              <w:rPr>
                <w:sz w:val="17"/>
              </w:rPr>
              <w:t>2026-09-10</w:t>
            </w:r>
          </w:p>
        </w:tc>
        <w:tc>
          <w:tcPr>
            <w:tcW w:type="dxa" w:w="3389"/>
            <w:shd w:fill="EAF3F5"/>
            <w:tcMar>
              <w:top w:w="90" w:type="dxa"/>
              <w:start w:w="90" w:type="dxa"/>
              <w:bottom w:w="90" w:type="dxa"/>
              <w:end w:w="90" w:type="dxa"/>
            </w:tcMar>
          </w:tcPr>
          <w:p>
            <w:r>
              <w:rPr>
                <w:b/>
                <w:color w:val="087E8B"/>
                <w:sz w:val="14"/>
              </w:rPr>
              <w:t>AUDIENCE</w:t>
              <w:br/>
            </w:r>
            <w:r>
              <w:rPr>
                <w:sz w:val="17"/>
              </w:rPr>
              <w:t>Lab users and maintainers</w:t>
            </w:r>
          </w:p>
        </w:tc>
      </w:tr>
    </w:tbl>
    <w:p/>
    <w:tbl>
      <w:tblPr>
        <w:tblW w:type="auto" w:w="0"/>
        <w:jc w:val="left"/>
        <w:tblLayout w:type="fixed"/>
        <w:tblLook w:firstColumn="1" w:firstRow="1" w:lastColumn="0" w:lastRow="0" w:noHBand="0" w:noVBand="1" w:val="04A0"/>
      </w:tblPr>
      <w:tblGrid>
        <w:gridCol w:w="1944"/>
        <w:gridCol w:w="7920"/>
      </w:tblGrid>
      <w:tr>
        <w:tc>
          <w:tcPr>
            <w:tcW w:type="dxa" w:w="1944"/>
            <w:shd w:fill="087E8B"/>
            <w:tcMar>
              <w:top w:w="100" w:type="dxa"/>
              <w:start w:w="100" w:type="dxa"/>
              <w:bottom w:w="100" w:type="dxa"/>
              <w:end w:w="100" w:type="dxa"/>
            </w:tcMar>
            <w:vAlign w:val="center"/>
          </w:tcPr>
          <w:p>
            <w:pPr>
              <w:jc w:val="center"/>
            </w:pPr>
            <w:r>
              <w:rPr>
                <w:b/>
                <w:color w:val="FFFFFF"/>
                <w:sz w:val="16"/>
              </w:rPr>
              <w:t>RECOMMENDATION</w:t>
            </w:r>
          </w:p>
        </w:tc>
        <w:tc>
          <w:tcPr>
            <w:tcW w:type="dxa" w:w="7920"/>
            <w:shd w:fill="EAF3F5"/>
            <w:tcMar>
              <w:top w:w="100" w:type="dxa"/>
              <w:start w:w="100" w:type="dxa"/>
              <w:bottom w:w="100" w:type="dxa"/>
              <w:end w:w="100" w:type="dxa"/>
            </w:tcMar>
            <w:vAlign w:val="center"/>
          </w:tcPr>
          <w:p>
            <w:r>
              <w:rPr>
                <w:sz w:val="18"/>
              </w:rPr>
              <w:t>Both features are feasible. Use versioned capability contracts, trusted built-ins, supervised subprocesses for third-party Python, and a declarative procedure language that can act only through host arbitration/runtime services.</w:t>
            </w:r>
          </w:p>
        </w:tc>
      </w:tr>
    </w:tbl>
    <w:p>
      <w:pPr>
        <w:pStyle w:val="Heading1"/>
      </w:pPr>
      <w:r>
        <w:t>Executive decision</w:t>
      </w:r>
    </w:p>
    <w:p>
      <w:r>
        <w:t>The application already has useful extension seams—device adapters, workflow coordinators, a sequence arbiter, worker threads, and versioned records. It is not yet safe to expose those classes directly to arbitrary code. The next step is a small service registry and stable contracts, not an integrated IDE or an unrestricted plugins folder.</w:t>
      </w:r>
    </w:p>
    <w:p>
      <w:pPr>
        <w:pStyle w:val="ListBullet"/>
      </w:pPr>
      <w:r>
        <w:t>An instrument plugin implements one or more known capabilities; it does not orchestrate unrelated devices or call MainWindow.</w:t>
      </w:r>
    </w:p>
    <w:p>
      <w:pPr>
        <w:pStyle w:val="ListBullet"/>
      </w:pPr>
      <w:r>
        <w:t>A measurement plugin uses public services to add a coordinator, analysis, export, or optional trusted panel.</w:t>
      </w:r>
    </w:p>
    <w:p>
      <w:pPr>
        <w:pStyle w:val="ListBullet"/>
      </w:pPr>
      <w:r>
        <w:t>A procedure is a validated, serializable recipe of registered steps—not arbitrary Python in the GUI process.</w:t>
      </w:r>
    </w:p>
    <w:p>
      <w:pPr>
        <w:pStyle w:val="ListBullet"/>
      </w:pPr>
      <w:r>
        <w:t>Advanced Python automation can later run out of process through a narrow, permissioned API.</w:t>
      </w:r>
    </w:p>
    <w:p>
      <w:pPr>
        <w:pStyle w:val="Heading1"/>
      </w:pPr>
      <w:r>
        <w:t>Terms and boundaries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17324D"/>
            <w:tcMar>
              <w:top w:w="70" w:type="dxa"/>
              <w:start w:w="70" w:type="dxa"/>
              <w:bottom w:w="70" w:type="dxa"/>
              <w:end w:w="70" w:type="dxa"/>
            </w:tcMar>
          </w:tcPr>
          <w:p>
            <w:r>
              <w:rPr>
                <w:b/>
                <w:color w:val="FFFFFF"/>
                <w:sz w:val="15"/>
              </w:rPr>
              <w:t>Concept</w:t>
            </w:r>
          </w:p>
        </w:tc>
        <w:tc>
          <w:tcPr>
            <w:tcW w:type="dxa" w:w="3960"/>
            <w:shd w:fill="17324D"/>
            <w:tcMar>
              <w:top w:w="70" w:type="dxa"/>
              <w:start w:w="70" w:type="dxa"/>
              <w:bottom w:w="70" w:type="dxa"/>
              <w:end w:w="70" w:type="dxa"/>
            </w:tcMar>
          </w:tcPr>
          <w:p>
            <w:r>
              <w:rPr>
                <w:b/>
                <w:color w:val="FFFFFF"/>
                <w:sz w:val="15"/>
              </w:rPr>
              <w:t>Means here</w:t>
            </w:r>
          </w:p>
        </w:tc>
        <w:tc>
          <w:tcPr>
            <w:tcW w:type="dxa" w:w="3960"/>
            <w:shd w:fill="17324D"/>
            <w:tcMar>
              <w:top w:w="70" w:type="dxa"/>
              <w:start w:w="70" w:type="dxa"/>
              <w:bottom w:w="70" w:type="dxa"/>
              <w:end w:w="70" w:type="dxa"/>
            </w:tcMar>
          </w:tcPr>
          <w:p>
            <w:r>
              <w:rPr>
                <w:b/>
                <w:color w:val="FFFFFF"/>
                <w:sz w:val="15"/>
              </w:rPr>
              <w:t>Explicitly not</w:t>
            </w:r>
          </w:p>
        </w:tc>
      </w:tr>
      <w:tr>
        <w:trPr>
          <w:cantSplit/>
        </w:trPr>
        <w:tc>
          <w:tcPr>
            <w:tcW w:type="dxa" w:w="1800"/>
            <w:tcMar>
              <w:top w:w="65" w:type="dxa"/>
              <w:start w:w="65" w:type="dxa"/>
              <w:bottom w:w="65" w:type="dxa"/>
              <w:end w:w="65" w:type="dxa"/>
            </w:tcMar>
            <w:vAlign w:val="top"/>
          </w:tcPr>
          <w:p>
            <w:r>
              <w:rPr>
                <w:b/>
                <w:color w:val="17324D"/>
                <w:sz w:val="15"/>
              </w:rPr>
              <w:t>Instrument plugin</w:t>
            </w:r>
          </w:p>
        </w:tc>
        <w:tc>
          <w:tcPr>
            <w:tcW w:type="dxa" w:w="3960"/>
            <w:tcMar>
              <w:top w:w="65" w:type="dxa"/>
              <w:start w:w="65" w:type="dxa"/>
              <w:bottom w:w="65" w:type="dxa"/>
              <w:end w:w="65" w:type="dxa"/>
            </w:tcMar>
            <w:vAlign w:val="top"/>
          </w:tcPr>
          <w:p>
            <w:r>
              <w:rPr>
                <w:sz w:val="15"/>
              </w:rPr>
              <w:t>Discovers/connects one family and provides typed spectrometer, meter, laser, field, camera, or trigger capabilities.</w:t>
            </w:r>
          </w:p>
        </w:tc>
        <w:tc>
          <w:tcPr>
            <w:tcW w:type="dxa" w:w="3960"/>
            <w:tcMar>
              <w:top w:w="65" w:type="dxa"/>
              <w:start w:w="65" w:type="dxa"/>
              <w:bottom w:w="65" w:type="dxa"/>
              <w:end w:w="65" w:type="dxa"/>
            </w:tcMar>
            <w:vAlign w:val="top"/>
          </w:tcPr>
          <w:p>
            <w:r>
              <w:rPr>
                <w:sz w:val="15"/>
              </w:rPr>
              <w:t>Direct MainWindow calls, cross-instrument orchestration, or unbounded import-time threads.</w:t>
            </w:r>
          </w:p>
        </w:tc>
      </w:tr>
      <w:tr>
        <w:trPr>
          <w:cantSplit/>
        </w:trPr>
        <w:tc>
          <w:tcPr>
            <w:tcW w:type="dxa" w:w="1800"/>
            <w:tcMar>
              <w:top w:w="65" w:type="dxa"/>
              <w:start w:w="65" w:type="dxa"/>
              <w:bottom w:w="65" w:type="dxa"/>
              <w:end w:w="65" w:type="dxa"/>
            </w:tcMar>
            <w:vAlign w:val="top"/>
            <w:shd w:fill="F3F6F8"/>
          </w:tcPr>
          <w:p>
            <w:r>
              <w:rPr>
                <w:b/>
                <w:color w:val="17324D"/>
                <w:sz w:val="15"/>
              </w:rPr>
              <w:t>Measurement plugin</w:t>
            </w:r>
          </w:p>
        </w:tc>
        <w:tc>
          <w:tcPr>
            <w:tcW w:type="dxa" w:w="3960"/>
            <w:tcMar>
              <w:top w:w="65" w:type="dxa"/>
              <w:start w:w="65" w:type="dxa"/>
              <w:bottom w:w="65" w:type="dxa"/>
              <w:end w:w="65" w:type="dxa"/>
            </w:tcMar>
            <w:vAlign w:val="top"/>
            <w:shd w:fill="F3F6F8"/>
          </w:tcPr>
          <w:p>
            <w:r>
              <w:rPr>
                <w:sz w:val="15"/>
              </w:rPr>
              <w:t>Registered workflow/analysis/export factory that consumes capabilities through host services.</w:t>
            </w:r>
          </w:p>
        </w:tc>
        <w:tc>
          <w:tcPr>
            <w:tcW w:type="dxa" w:w="3960"/>
            <w:tcMar>
              <w:top w:w="65" w:type="dxa"/>
              <w:start w:w="65" w:type="dxa"/>
              <w:bottom w:w="65" w:type="dxa"/>
              <w:end w:w="65" w:type="dxa"/>
            </w:tcMar>
            <w:vAlign w:val="top"/>
            <w:shd w:fill="F3F6F8"/>
          </w:tcPr>
          <w:p>
            <w:r>
              <w:rPr>
                <w:sz w:val="15"/>
              </w:rPr>
              <w:t>Raw access to another plugin's device handle or replacement of the global arbiter.</w:t>
            </w:r>
          </w:p>
        </w:tc>
      </w:tr>
      <w:tr>
        <w:trPr>
          <w:cantSplit/>
        </w:trPr>
        <w:tc>
          <w:tcPr>
            <w:tcW w:type="dxa" w:w="1800"/>
            <w:tcMar>
              <w:top w:w="65" w:type="dxa"/>
              <w:start w:w="65" w:type="dxa"/>
              <w:bottom w:w="65" w:type="dxa"/>
              <w:end w:w="65" w:type="dxa"/>
            </w:tcMar>
            <w:vAlign w:val="top"/>
          </w:tcPr>
          <w:p>
            <w:r>
              <w:rPr>
                <w:b/>
                <w:color w:val="17324D"/>
                <w:sz w:val="15"/>
              </w:rPr>
              <w:t>UI contribution</w:t>
            </w:r>
          </w:p>
        </w:tc>
        <w:tc>
          <w:tcPr>
            <w:tcW w:type="dxa" w:w="3960"/>
            <w:tcMar>
              <w:top w:w="65" w:type="dxa"/>
              <w:start w:w="65" w:type="dxa"/>
              <w:bottom w:w="65" w:type="dxa"/>
              <w:end w:w="65" w:type="dxa"/>
            </w:tcMar>
            <w:vAlign w:val="top"/>
          </w:tcPr>
          <w:p>
            <w:r>
              <w:rPr>
                <w:sz w:val="15"/>
              </w:rPr>
              <w:t>A schema-driven panel/dialog or, for trusted code, a QWidget factory bound to a service.</w:t>
            </w:r>
          </w:p>
        </w:tc>
        <w:tc>
          <w:tcPr>
            <w:tcW w:type="dxa" w:w="3960"/>
            <w:tcMar>
              <w:top w:w="65" w:type="dxa"/>
              <w:start w:w="65" w:type="dxa"/>
              <w:bottom w:w="65" w:type="dxa"/>
              <w:end w:w="65" w:type="dxa"/>
            </w:tcMar>
            <w:vAlign w:val="top"/>
          </w:tcPr>
          <w:p>
            <w:r>
              <w:rPr>
                <w:sz w:val="15"/>
              </w:rPr>
              <w:t>Monkey-patching existing widgets or owning vendor threads from event handlers.</w:t>
            </w:r>
          </w:p>
        </w:tc>
      </w:tr>
      <w:tr>
        <w:trPr>
          <w:cantSplit/>
        </w:trPr>
        <w:tc>
          <w:tcPr>
            <w:tcW w:type="dxa" w:w="1800"/>
            <w:tcMar>
              <w:top w:w="65" w:type="dxa"/>
              <w:start w:w="65" w:type="dxa"/>
              <w:bottom w:w="65" w:type="dxa"/>
              <w:end w:w="65" w:type="dxa"/>
            </w:tcMar>
            <w:vAlign w:val="top"/>
            <w:shd w:fill="F3F6F8"/>
          </w:tcPr>
          <w:p>
            <w:r>
              <w:rPr>
                <w:b/>
                <w:color w:val="17324D"/>
                <w:sz w:val="15"/>
              </w:rPr>
              <w:t>Procedure</w:t>
            </w:r>
          </w:p>
        </w:tc>
        <w:tc>
          <w:tcPr>
            <w:tcW w:type="dxa" w:w="3960"/>
            <w:tcMar>
              <w:top w:w="65" w:type="dxa"/>
              <w:start w:w="65" w:type="dxa"/>
              <w:bottom w:w="65" w:type="dxa"/>
              <w:end w:w="65" w:type="dxa"/>
            </w:tcMar>
            <w:vAlign w:val="top"/>
            <w:shd w:fill="F3F6F8"/>
          </w:tcPr>
          <w:p>
            <w:r>
              <w:rPr>
                <w:sz w:val="15"/>
              </w:rPr>
              <w:t>Validated steps such as configure → laser ON → wait → acquire → repeat → save.</w:t>
            </w:r>
          </w:p>
        </w:tc>
        <w:tc>
          <w:tcPr>
            <w:tcW w:type="dxa" w:w="3960"/>
            <w:tcMar>
              <w:top w:w="65" w:type="dxa"/>
              <w:start w:w="65" w:type="dxa"/>
              <w:bottom w:w="65" w:type="dxa"/>
              <w:end w:w="65" w:type="dxa"/>
            </w:tcMar>
            <w:vAlign w:val="top"/>
            <w:shd w:fill="F3F6F8"/>
          </w:tcPr>
          <w:p>
            <w:r>
              <w:rPr>
                <w:sz w:val="15"/>
              </w:rPr>
              <w:t>Python exec, hidden OS access, or a hard-real-time guarantee.</w:t>
            </w:r>
          </w:p>
        </w:tc>
      </w:tr>
      <w:tr>
        <w:trPr>
          <w:cantSplit/>
        </w:trPr>
        <w:tc>
          <w:tcPr>
            <w:tcW w:type="dxa" w:w="1800"/>
            <w:tcMar>
              <w:top w:w="65" w:type="dxa"/>
              <w:start w:w="65" w:type="dxa"/>
              <w:bottom w:w="65" w:type="dxa"/>
              <w:end w:w="65" w:type="dxa"/>
            </w:tcMar>
            <w:vAlign w:val="top"/>
          </w:tcPr>
          <w:p>
            <w:r>
              <w:rPr>
                <w:b/>
                <w:color w:val="17324D"/>
                <w:sz w:val="15"/>
              </w:rPr>
              <w:t>Procedure runner</w:t>
            </w:r>
          </w:p>
        </w:tc>
        <w:tc>
          <w:tcPr>
            <w:tcW w:type="dxa" w:w="3960"/>
            <w:tcMar>
              <w:top w:w="65" w:type="dxa"/>
              <w:start w:w="65" w:type="dxa"/>
              <w:bottom w:w="65" w:type="dxa"/>
              <w:end w:w="65" w:type="dxa"/>
            </w:tcMar>
            <w:vAlign w:val="top"/>
          </w:tcPr>
          <w:p>
            <w:r>
              <w:rPr>
                <w:sz w:val="15"/>
              </w:rPr>
              <w:t>State machine that resolves resources, preflights, executes/cancels, reports progress, and guarantees cleanup.</w:t>
            </w:r>
          </w:p>
        </w:tc>
        <w:tc>
          <w:tcPr>
            <w:tcW w:type="dxa" w:w="3960"/>
            <w:tcMar>
              <w:top w:w="65" w:type="dxa"/>
              <w:start w:w="65" w:type="dxa"/>
              <w:bottom w:w="65" w:type="dxa"/>
              <w:end w:w="65" w:type="dxa"/>
            </w:tcMar>
            <w:vAlign w:val="top"/>
          </w:tcPr>
          <w:p>
            <w:r>
              <w:rPr>
                <w:sz w:val="15"/>
              </w:rPr>
              <w:t>A general IDE or substitute for physical interlocks.</w:t>
            </w:r>
          </w:p>
        </w:tc>
      </w:tr>
      <w:tr>
        <w:trPr>
          <w:cantSplit/>
        </w:trPr>
        <w:tc>
          <w:tcPr>
            <w:tcW w:type="dxa" w:w="1800"/>
            <w:tcMar>
              <w:top w:w="65" w:type="dxa"/>
              <w:start w:w="65" w:type="dxa"/>
              <w:bottom w:w="65" w:type="dxa"/>
              <w:end w:w="65" w:type="dxa"/>
            </w:tcMar>
            <w:vAlign w:val="top"/>
            <w:shd w:fill="F3F6F8"/>
          </w:tcPr>
          <w:p>
            <w:r>
              <w:rPr>
                <w:b/>
                <w:color w:val="17324D"/>
                <w:sz w:val="15"/>
              </w:rPr>
              <w:t>Plugin registry</w:t>
            </w:r>
          </w:p>
        </w:tc>
        <w:tc>
          <w:tcPr>
            <w:tcW w:type="dxa" w:w="3960"/>
            <w:tcMar>
              <w:top w:w="65" w:type="dxa"/>
              <w:start w:w="65" w:type="dxa"/>
              <w:bottom w:w="65" w:type="dxa"/>
              <w:end w:w="65" w:type="dxa"/>
            </w:tcMar>
            <w:vAlign w:val="top"/>
            <w:shd w:fill="F3F6F8"/>
          </w:tcPr>
          <w:p>
            <w:r>
              <w:rPr>
                <w:sz w:val="15"/>
              </w:rPr>
              <w:t>Versioned manifests, factories, capability schemas, metadata namespaces, and optional UI declarations.</w:t>
            </w:r>
          </w:p>
        </w:tc>
        <w:tc>
          <w:tcPr>
            <w:tcW w:type="dxa" w:w="3960"/>
            <w:tcMar>
              <w:top w:w="65" w:type="dxa"/>
              <w:start w:w="65" w:type="dxa"/>
              <w:bottom w:w="65" w:type="dxa"/>
              <w:end w:w="65" w:type="dxa"/>
            </w:tcMar>
            <w:vAlign w:val="top"/>
            <w:shd w:fill="F3F6F8"/>
          </w:tcPr>
          <w:p>
            <w:r>
              <w:rPr>
                <w:sz w:val="15"/>
              </w:rPr>
              <w:t>An untyped global dictionary or automatic device connection during discovery.</w:t>
            </w:r>
          </w:p>
        </w:tc>
      </w:tr>
    </w:tbl>
    <w:p/>
    <w:p>
      <w:pPr>
        <w:pStyle w:val="Heading1"/>
      </w:pPr>
      <w:r>
        <w:t>Plugin architecture options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656"/>
            <w:shd w:fill="17324D"/>
            <w:tcMar>
              <w:top w:w="70" w:type="dxa"/>
              <w:start w:w="70" w:type="dxa"/>
              <w:bottom w:w="70" w:type="dxa"/>
              <w:end w:w="70" w:type="dxa"/>
            </w:tcMar>
          </w:tcPr>
          <w:p>
            <w:r>
              <w:rPr>
                <w:b/>
                <w:color w:val="FFFFFF"/>
                <w:sz w:val="13"/>
              </w:rPr>
              <w:t>Option</w:t>
            </w:r>
          </w:p>
        </w:tc>
        <w:tc>
          <w:tcPr>
            <w:tcW w:type="dxa" w:w="2088"/>
            <w:shd w:fill="17324D"/>
            <w:tcMar>
              <w:top w:w="70" w:type="dxa"/>
              <w:start w:w="70" w:type="dxa"/>
              <w:bottom w:w="70" w:type="dxa"/>
              <w:end w:w="70" w:type="dxa"/>
            </w:tcMar>
          </w:tcPr>
          <w:p>
            <w:r>
              <w:rPr>
                <w:b/>
                <w:color w:val="FFFFFF"/>
                <w:sz w:val="13"/>
              </w:rPr>
              <w:t>Structure</w:t>
            </w:r>
          </w:p>
        </w:tc>
        <w:tc>
          <w:tcPr>
            <w:tcW w:type="dxa" w:w="2232"/>
            <w:shd w:fill="17324D"/>
            <w:tcMar>
              <w:top w:w="70" w:type="dxa"/>
              <w:start w:w="70" w:type="dxa"/>
              <w:bottom w:w="70" w:type="dxa"/>
              <w:end w:w="70" w:type="dxa"/>
            </w:tcMar>
          </w:tcPr>
          <w:p>
            <w:r>
              <w:rPr>
                <w:b/>
                <w:color w:val="FFFFFF"/>
                <w:sz w:val="13"/>
              </w:rPr>
              <w:t>Advantages</w:t>
            </w:r>
          </w:p>
        </w:tc>
        <w:tc>
          <w:tcPr>
            <w:tcW w:type="dxa" w:w="2448"/>
            <w:shd w:fill="17324D"/>
            <w:tcMar>
              <w:top w:w="70" w:type="dxa"/>
              <w:start w:w="70" w:type="dxa"/>
              <w:bottom w:w="70" w:type="dxa"/>
              <w:end w:w="70" w:type="dxa"/>
            </w:tcMar>
          </w:tcPr>
          <w:p>
            <w:r>
              <w:rPr>
                <w:b/>
                <w:color w:val="FFFFFF"/>
                <w:sz w:val="13"/>
              </w:rPr>
              <w:t>Disadvantages</w:t>
            </w:r>
          </w:p>
        </w:tc>
        <w:tc>
          <w:tcPr>
            <w:tcW w:type="dxa" w:w="1512"/>
            <w:shd w:fill="17324D"/>
            <w:tcMar>
              <w:top w:w="70" w:type="dxa"/>
              <w:start w:w="70" w:type="dxa"/>
              <w:bottom w:w="70" w:type="dxa"/>
              <w:end w:w="70" w:type="dxa"/>
            </w:tcMar>
          </w:tcPr>
          <w:p>
            <w:r>
              <w:rPr>
                <w:b/>
                <w:color w:val="FFFFFF"/>
                <w:sz w:val="13"/>
              </w:rPr>
              <w:t>Fit</w:t>
            </w:r>
          </w:p>
        </w:tc>
      </w:tr>
      <w:tr>
        <w:trPr>
          <w:cantSplit/>
        </w:trPr>
        <w:tc>
          <w:tcPr>
            <w:tcW w:type="dxa" w:w="1656"/>
            <w:tcMar>
              <w:top w:w="65" w:type="dxa"/>
              <w:start w:w="65" w:type="dxa"/>
              <w:bottom w:w="65" w:type="dxa"/>
              <w:end w:w="65" w:type="dxa"/>
            </w:tcMar>
            <w:vAlign w:val="top"/>
          </w:tcPr>
          <w:p>
            <w:r>
              <w:rPr>
                <w:b/>
                <w:color w:val="17324D"/>
                <w:sz w:val="13"/>
              </w:rPr>
              <w:t>A. In-process entry points</w:t>
            </w:r>
          </w:p>
        </w:tc>
        <w:tc>
          <w:tcPr>
            <w:tcW w:type="dxa" w:w="2088"/>
            <w:tcMar>
              <w:top w:w="65" w:type="dxa"/>
              <w:start w:w="65" w:type="dxa"/>
              <w:bottom w:w="65" w:type="dxa"/>
              <w:end w:w="65" w:type="dxa"/>
            </w:tcMar>
            <w:vAlign w:val="top"/>
          </w:tcPr>
          <w:p>
            <w:r>
              <w:rPr>
                <w:sz w:val="13"/>
              </w:rPr>
              <w:t>Package metadata exposes factories loaded into the GUI process.</w:t>
            </w:r>
          </w:p>
        </w:tc>
        <w:tc>
          <w:tcPr>
            <w:tcW w:type="dxa" w:w="2232"/>
            <w:tcMar>
              <w:top w:w="65" w:type="dxa"/>
              <w:start w:w="65" w:type="dxa"/>
              <w:bottom w:w="65" w:type="dxa"/>
              <w:end w:w="65" w:type="dxa"/>
            </w:tcMar>
            <w:vAlign w:val="top"/>
          </w:tcPr>
          <w:p>
            <w:r>
              <w:rPr>
                <w:sz w:val="13"/>
              </w:rPr>
              <w:t>Lowest cost and latency; easy built-in migration; direct NumPy arrays.</w:t>
            </w:r>
          </w:p>
        </w:tc>
        <w:tc>
          <w:tcPr>
            <w:tcW w:type="dxa" w:w="2448"/>
            <w:tcMar>
              <w:top w:w="65" w:type="dxa"/>
              <w:start w:w="65" w:type="dxa"/>
              <w:bottom w:w="65" w:type="dxa"/>
              <w:end w:w="65" w:type="dxa"/>
            </w:tcMar>
            <w:vAlign w:val="top"/>
          </w:tcPr>
          <w:p>
            <w:r>
              <w:rPr>
                <w:sz w:val="13"/>
              </w:rPr>
              <w:t>Crash/deadlock/dependency or malicious code affects GUI; no safe unload.</w:t>
            </w:r>
          </w:p>
        </w:tc>
        <w:tc>
          <w:tcPr>
            <w:tcW w:type="dxa" w:w="1512"/>
            <w:tcMar>
              <w:top w:w="65" w:type="dxa"/>
              <w:start w:w="65" w:type="dxa"/>
              <w:bottom w:w="65" w:type="dxa"/>
              <w:end w:w="65" w:type="dxa"/>
            </w:tcMar>
            <w:vAlign w:val="top"/>
          </w:tcPr>
          <w:p>
            <w:r>
              <w:rPr>
                <w:sz w:val="13"/>
              </w:rPr>
              <w:t>Signed/trusted first-party only.</w:t>
            </w:r>
          </w:p>
        </w:tc>
      </w:tr>
      <w:tr>
        <w:trPr>
          <w:cantSplit/>
        </w:trPr>
        <w:tc>
          <w:tcPr>
            <w:tcW w:type="dxa" w:w="1656"/>
            <w:tcMar>
              <w:top w:w="65" w:type="dxa"/>
              <w:start w:w="65" w:type="dxa"/>
              <w:bottom w:w="65" w:type="dxa"/>
              <w:end w:w="65" w:type="dxa"/>
            </w:tcMar>
            <w:vAlign w:val="top"/>
            <w:shd w:fill="F3F6F8"/>
          </w:tcPr>
          <w:p>
            <w:r>
              <w:rPr>
                <w:b/>
                <w:color w:val="17324D"/>
                <w:sz w:val="13"/>
              </w:rPr>
              <w:t>B. Manifest + subprocess RPC</w:t>
            </w:r>
          </w:p>
        </w:tc>
        <w:tc>
          <w:tcPr>
            <w:tcW w:type="dxa" w:w="2088"/>
            <w:tcMar>
              <w:top w:w="65" w:type="dxa"/>
              <w:start w:w="65" w:type="dxa"/>
              <w:bottom w:w="65" w:type="dxa"/>
              <w:end w:w="65" w:type="dxa"/>
            </w:tcMar>
            <w:vAlign w:val="top"/>
            <w:shd w:fill="F3F6F8"/>
          </w:tcPr>
          <w:p>
            <w:r>
              <w:rPr>
                <w:sz w:val="13"/>
              </w:rPr>
              <w:t>Read manifest first; execute plugin in spawned worker; exchange typed messages/shared arrays.</w:t>
            </w:r>
          </w:p>
        </w:tc>
        <w:tc>
          <w:tcPr>
            <w:tcW w:type="dxa" w:w="2232"/>
            <w:tcMar>
              <w:top w:w="65" w:type="dxa"/>
              <w:start w:w="65" w:type="dxa"/>
              <w:bottom w:w="65" w:type="dxa"/>
              <w:end w:w="65" w:type="dxa"/>
            </w:tcMar>
            <w:vAlign w:val="top"/>
            <w:shd w:fill="F3F6F8"/>
          </w:tcPr>
          <w:p>
            <w:r>
              <w:rPr>
                <w:sz w:val="13"/>
              </w:rPr>
              <w:t>Fault/dependency isolation, restart, timeouts, permissions, safer third parties.</w:t>
            </w:r>
          </w:p>
        </w:tc>
        <w:tc>
          <w:tcPr>
            <w:tcW w:type="dxa" w:w="2448"/>
            <w:tcMar>
              <w:top w:w="65" w:type="dxa"/>
              <w:start w:w="65" w:type="dxa"/>
              <w:bottom w:w="65" w:type="dxa"/>
              <w:end w:w="65" w:type="dxa"/>
            </w:tcMar>
            <w:vAlign w:val="top"/>
            <w:shd w:fill="F3F6F8"/>
          </w:tcPr>
          <w:p>
            <w:r>
              <w:rPr>
                <w:sz w:val="13"/>
              </w:rPr>
              <w:t>Protocol/version work and shared-memory lifecycle; modest latency.</w:t>
            </w:r>
          </w:p>
        </w:tc>
        <w:tc>
          <w:tcPr>
            <w:tcW w:type="dxa" w:w="1512"/>
            <w:tcMar>
              <w:top w:w="65" w:type="dxa"/>
              <w:start w:w="65" w:type="dxa"/>
              <w:bottom w:w="65" w:type="dxa"/>
              <w:end w:w="65" w:type="dxa"/>
            </w:tcMar>
            <w:vAlign w:val="top"/>
            <w:shd w:fill="F3F6F8"/>
          </w:tcPr>
          <w:p>
            <w:r>
              <w:rPr>
                <w:sz w:val="13"/>
              </w:rPr>
              <w:t>Recommended third-party default.</w:t>
            </w:r>
          </w:p>
        </w:tc>
      </w:tr>
      <w:tr>
        <w:trPr>
          <w:cantSplit/>
        </w:trPr>
        <w:tc>
          <w:tcPr>
            <w:tcW w:type="dxa" w:w="1656"/>
            <w:tcMar>
              <w:top w:w="65" w:type="dxa"/>
              <w:start w:w="65" w:type="dxa"/>
              <w:bottom w:w="65" w:type="dxa"/>
              <w:end w:w="65" w:type="dxa"/>
            </w:tcMar>
            <w:vAlign w:val="top"/>
          </w:tcPr>
          <w:p>
            <w:r>
              <w:rPr>
                <w:b/>
                <w:color w:val="17324D"/>
                <w:sz w:val="13"/>
              </w:rPr>
              <w:t>C. External service</w:t>
            </w:r>
          </w:p>
        </w:tc>
        <w:tc>
          <w:tcPr>
            <w:tcW w:type="dxa" w:w="2088"/>
            <w:tcMar>
              <w:top w:w="65" w:type="dxa"/>
              <w:start w:w="65" w:type="dxa"/>
              <w:bottom w:w="65" w:type="dxa"/>
              <w:end w:w="65" w:type="dxa"/>
            </w:tcMar>
            <w:vAlign w:val="top"/>
          </w:tcPr>
          <w:p>
            <w:r>
              <w:rPr>
                <w:sz w:val="13"/>
              </w:rPr>
              <w:t>Separate local/remote service over a versioned transport.</w:t>
            </w:r>
          </w:p>
        </w:tc>
        <w:tc>
          <w:tcPr>
            <w:tcW w:type="dxa" w:w="2232"/>
            <w:tcMar>
              <w:top w:w="65" w:type="dxa"/>
              <w:start w:w="65" w:type="dxa"/>
              <w:bottom w:w="65" w:type="dxa"/>
              <w:end w:w="65" w:type="dxa"/>
            </w:tcMar>
            <w:vAlign w:val="top"/>
          </w:tcPr>
          <w:p>
            <w:r>
              <w:rPr>
                <w:sz w:val="13"/>
              </w:rPr>
              <w:t>Other languages/OSes, remote hardware, strongest separation, reusable outside GUI.</w:t>
            </w:r>
          </w:p>
        </w:tc>
        <w:tc>
          <w:tcPr>
            <w:tcW w:type="dxa" w:w="2448"/>
            <w:tcMar>
              <w:top w:w="65" w:type="dxa"/>
              <w:start w:w="65" w:type="dxa"/>
              <w:bottom w:w="65" w:type="dxa"/>
              <w:end w:w="65" w:type="dxa"/>
            </w:tcMar>
            <w:vAlign w:val="top"/>
          </w:tcPr>
          <w:p>
            <w:r>
              <w:rPr>
                <w:sz w:val="13"/>
              </w:rPr>
              <w:t>Deployment, discovery, authentication, and network failure complexity.</w:t>
            </w:r>
          </w:p>
        </w:tc>
        <w:tc>
          <w:tcPr>
            <w:tcW w:type="dxa" w:w="1512"/>
            <w:tcMar>
              <w:top w:w="65" w:type="dxa"/>
              <w:start w:w="65" w:type="dxa"/>
              <w:bottom w:w="65" w:type="dxa"/>
              <w:end w:w="65" w:type="dxa"/>
            </w:tcMar>
            <w:vAlign w:val="top"/>
          </w:tcPr>
          <w:p>
            <w:r>
              <w:rPr>
                <w:sz w:val="13"/>
              </w:rPr>
              <w:t>Facility/remote option later.</w:t>
            </w:r>
          </w:p>
        </w:tc>
      </w:tr>
      <w:tr>
        <w:trPr>
          <w:cantSplit/>
        </w:trPr>
        <w:tc>
          <w:tcPr>
            <w:tcW w:type="dxa" w:w="1656"/>
            <w:tcMar>
              <w:top w:w="65" w:type="dxa"/>
              <w:start w:w="65" w:type="dxa"/>
              <w:bottom w:w="65" w:type="dxa"/>
              <w:end w:w="65" w:type="dxa"/>
            </w:tcMar>
            <w:vAlign w:val="top"/>
            <w:shd w:fill="F3F6F8"/>
          </w:tcPr>
          <w:p>
            <w:r>
              <w:rPr>
                <w:b/>
                <w:color w:val="17324D"/>
                <w:sz w:val="13"/>
              </w:rPr>
              <w:t>D. Scan/import .py folder</w:t>
            </w:r>
          </w:p>
        </w:tc>
        <w:tc>
          <w:tcPr>
            <w:tcW w:type="dxa" w:w="2088"/>
            <w:tcMar>
              <w:top w:w="65" w:type="dxa"/>
              <w:start w:w="65" w:type="dxa"/>
              <w:bottom w:w="65" w:type="dxa"/>
              <w:end w:w="65" w:type="dxa"/>
            </w:tcMar>
            <w:vAlign w:val="top"/>
            <w:shd w:fill="F3F6F8"/>
          </w:tcPr>
          <w:p>
            <w:r>
              <w:rPr>
                <w:sz w:val="13"/>
              </w:rPr>
              <w:t>Import source files found in a user directory.</w:t>
            </w:r>
          </w:p>
        </w:tc>
        <w:tc>
          <w:tcPr>
            <w:tcW w:type="dxa" w:w="2232"/>
            <w:tcMar>
              <w:top w:w="65" w:type="dxa"/>
              <w:start w:w="65" w:type="dxa"/>
              <w:bottom w:w="65" w:type="dxa"/>
              <w:end w:w="65" w:type="dxa"/>
            </w:tcMar>
            <w:vAlign w:val="top"/>
            <w:shd w:fill="F3F6F8"/>
          </w:tcPr>
          <w:p>
            <w:r>
              <w:rPr>
                <w:sz w:val="13"/>
              </w:rPr>
              <w:t>Very fast prototype.</w:t>
            </w:r>
          </w:p>
        </w:tc>
        <w:tc>
          <w:tcPr>
            <w:tcW w:type="dxa" w:w="2448"/>
            <w:tcMar>
              <w:top w:w="65" w:type="dxa"/>
              <w:start w:w="65" w:type="dxa"/>
              <w:bottom w:w="65" w:type="dxa"/>
              <w:end w:w="65" w:type="dxa"/>
            </w:tcMar>
            <w:vAlign w:val="top"/>
            <w:shd w:fill="F3F6F8"/>
          </w:tcPr>
          <w:p>
            <w:r>
              <w:rPr>
                <w:sz w:val="13"/>
              </w:rPr>
              <w:t>No dependency, version, safety, or security boundary; fragile diagnostics.</w:t>
            </w:r>
          </w:p>
        </w:tc>
        <w:tc>
          <w:tcPr>
            <w:tcW w:type="dxa" w:w="1512"/>
            <w:tcMar>
              <w:top w:w="65" w:type="dxa"/>
              <w:start w:w="65" w:type="dxa"/>
              <w:bottom w:w="65" w:type="dxa"/>
              <w:end w:w="65" w:type="dxa"/>
            </w:tcMar>
            <w:vAlign w:val="top"/>
            <w:shd w:fill="F3F6F8"/>
          </w:tcPr>
          <w:p>
            <w:r>
              <w:rPr>
                <w:sz w:val="13"/>
              </w:rPr>
              <w:t>Do not ship.</w:t>
            </w:r>
          </w:p>
        </w:tc>
      </w:tr>
    </w:tbl>
    <w:p/>
    <w:p>
      <w:pPr>
        <w:pStyle w:val="Heading2"/>
      </w:pPr>
      <w:r>
        <w:t>Recommended hybrid</w:t>
      </w:r>
    </w:p>
    <w:p>
      <w:pPr>
        <w:pStyle w:val="ListBullet"/>
      </w:pPr>
      <w:r>
        <w:t>Make built-in adapters conform to the public contracts, but keep them in-process initially.</w:t>
      </w:r>
    </w:p>
    <w:p>
      <w:pPr>
        <w:pStyle w:val="ListBullet"/>
      </w:pPr>
      <w:r>
        <w:t>Discover manifests without importing code. Run explicitly trusted first-party packages in-process and third-party packages under a supervisor.</w:t>
      </w:r>
    </w:p>
    <w:p>
      <w:pPr>
        <w:pStyle w:val="ListBullet"/>
      </w:pPr>
      <w:r>
        <w:t>Use shared memory/memory maps for spectra and images; use small typed messages for commands and status.</w:t>
      </w:r>
    </w:p>
    <w:p>
      <w:pPr>
        <w:pStyle w:val="ListBullet"/>
      </w:pPr>
      <w:r>
        <w:t>Prefer schema-generated controls. Allow custom QWidget code only for trusted packages.</w:t>
      </w:r>
    </w:p>
    <w:p>
      <w:pPr>
        <w:pStyle w:val="ListBullet"/>
      </w:pPr>
      <w:r>
        <w:t>Keep leases, laser cleanup, global logging, and file provenance in the host.</w:t>
      </w:r>
    </w:p>
    <w:p>
      <w:pPr>
        <w:pStyle w:val="Heading1"/>
      </w:pPr>
      <w:r>
        <w:t>Capability contracts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17324D"/>
            <w:tcMar>
              <w:top w:w="70" w:type="dxa"/>
              <w:start w:w="70" w:type="dxa"/>
              <w:bottom w:w="70" w:type="dxa"/>
              <w:end w:w="70" w:type="dxa"/>
            </w:tcMar>
          </w:tcPr>
          <w:p>
            <w:r>
              <w:rPr>
                <w:b/>
                <w:color w:val="FFFFFF"/>
                <w:sz w:val="14"/>
              </w:rPr>
              <w:t>Capability</w:t>
            </w:r>
          </w:p>
        </w:tc>
        <w:tc>
          <w:tcPr>
            <w:tcW w:type="dxa" w:w="3384"/>
            <w:shd w:fill="17324D"/>
            <w:tcMar>
              <w:top w:w="70" w:type="dxa"/>
              <w:start w:w="70" w:type="dxa"/>
              <w:bottom w:w="70" w:type="dxa"/>
              <w:end w:w="70" w:type="dxa"/>
            </w:tcMar>
          </w:tcPr>
          <w:p>
            <w:r>
              <w:rPr>
                <w:b/>
                <w:color w:val="FFFFFF"/>
                <w:sz w:val="14"/>
              </w:rPr>
              <w:t>Core operations</w:t>
            </w:r>
          </w:p>
        </w:tc>
        <w:tc>
          <w:tcPr>
            <w:tcW w:type="dxa" w:w="4536"/>
            <w:shd w:fill="17324D"/>
            <w:tcMar>
              <w:top w:w="70" w:type="dxa"/>
              <w:start w:w="70" w:type="dxa"/>
              <w:bottom w:w="70" w:type="dxa"/>
              <w:end w:w="70" w:type="dxa"/>
            </w:tcMar>
          </w:tcPr>
          <w:p>
            <w:r>
              <w:rPr>
                <w:b/>
                <w:color w:val="FFFFFF"/>
                <w:sz w:val="14"/>
              </w:rPr>
              <w:t>Boundary / returned evidence</w:t>
            </w:r>
          </w:p>
        </w:tc>
      </w:tr>
      <w:tr>
        <w:trPr>
          <w:cantSplit/>
        </w:trPr>
        <w:tc>
          <w:tcPr>
            <w:tcW w:type="dxa" w:w="1944"/>
            <w:tcMar>
              <w:top w:w="65" w:type="dxa"/>
              <w:start w:w="65" w:type="dxa"/>
              <w:bottom w:w="65" w:type="dxa"/>
              <w:end w:w="65" w:type="dxa"/>
            </w:tcMar>
            <w:vAlign w:val="top"/>
          </w:tcPr>
          <w:p>
            <w:r>
              <w:rPr>
                <w:b/>
                <w:color w:val="17324D"/>
                <w:sz w:val="14"/>
              </w:rPr>
              <w:t>Spectrometer</w:t>
            </w:r>
          </w:p>
        </w:tc>
        <w:tc>
          <w:tcPr>
            <w:tcW w:type="dxa" w:w="3384"/>
            <w:tcMar>
              <w:top w:w="65" w:type="dxa"/>
              <w:start w:w="65" w:type="dxa"/>
              <w:bottom w:w="65" w:type="dxa"/>
              <w:end w:w="65" w:type="dxa"/>
            </w:tcMar>
            <w:vAlign w:val="top"/>
          </w:tcPr>
          <w:p>
            <w:r>
              <w:rPr>
                <w:sz w:val="14"/>
              </w:rPr>
              <w:t>Identity/capabilities, configure, acquire, timing, health, close.</w:t>
            </w:r>
          </w:p>
        </w:tc>
        <w:tc>
          <w:tcPr>
            <w:tcW w:type="dxa" w:w="4536"/>
            <w:tcMar>
              <w:top w:w="65" w:type="dxa"/>
              <w:start w:w="65" w:type="dxa"/>
              <w:bottom w:w="65" w:type="dxa"/>
              <w:end w:w="65" w:type="dxa"/>
            </w:tcMar>
            <w:vAlign w:val="top"/>
          </w:tcPr>
          <w:p>
            <w:r>
              <w:rPr>
                <w:sz w:val="14"/>
              </w:rPr>
              <w:t>Arrays, applied settings, and timing basis; never power/laser calls.</w:t>
            </w:r>
          </w:p>
        </w:tc>
      </w:tr>
      <w:tr>
        <w:trPr>
          <w:cantSplit/>
        </w:trPr>
        <w:tc>
          <w:tcPr>
            <w:tcW w:type="dxa" w:w="1944"/>
            <w:tcMar>
              <w:top w:w="65" w:type="dxa"/>
              <w:start w:w="65" w:type="dxa"/>
              <w:bottom w:w="65" w:type="dxa"/>
              <w:end w:w="65" w:type="dxa"/>
            </w:tcMar>
            <w:vAlign w:val="top"/>
            <w:shd w:fill="F3F6F8"/>
          </w:tcPr>
          <w:p>
            <w:r>
              <w:rPr>
                <w:b/>
                <w:color w:val="17324D"/>
                <w:sz w:val="14"/>
              </w:rPr>
              <w:t>Power meter</w:t>
            </w:r>
          </w:p>
        </w:tc>
        <w:tc>
          <w:tcPr>
            <w:tcW w:type="dxa" w:w="3384"/>
            <w:tcMar>
              <w:top w:w="65" w:type="dxa"/>
              <w:start w:w="65" w:type="dxa"/>
              <w:bottom w:w="65" w:type="dxa"/>
              <w:end w:w="65" w:type="dxa"/>
            </w:tcMar>
            <w:vAlign w:val="top"/>
            <w:shd w:fill="F3F6F8"/>
          </w:tcPr>
          <w:p>
            <w:r>
              <w:rPr>
                <w:sz w:val="14"/>
              </w:rPr>
              <w:t>Identity/channels, read, status decode, health, close.</w:t>
            </w:r>
          </w:p>
        </w:tc>
        <w:tc>
          <w:tcPr>
            <w:tcW w:type="dxa" w:w="4536"/>
            <w:tcMar>
              <w:top w:w="65" w:type="dxa"/>
              <w:start w:w="65" w:type="dxa"/>
              <w:bottom w:w="65" w:type="dxa"/>
              <w:end w:w="65" w:type="dxa"/>
            </w:tcMar>
            <w:vAlign w:val="top"/>
            <w:shd w:fill="F3F6F8"/>
          </w:tcPr>
          <w:p>
            <w:r>
              <w:rPr>
                <w:sz w:val="14"/>
              </w:rPr>
              <w:t>Timestamped values/status; host owns selected channel roles.</w:t>
            </w:r>
          </w:p>
        </w:tc>
      </w:tr>
      <w:tr>
        <w:trPr>
          <w:cantSplit/>
        </w:trPr>
        <w:tc>
          <w:tcPr>
            <w:tcW w:type="dxa" w:w="1944"/>
            <w:tcMar>
              <w:top w:w="65" w:type="dxa"/>
              <w:start w:w="65" w:type="dxa"/>
              <w:bottom w:w="65" w:type="dxa"/>
              <w:end w:w="65" w:type="dxa"/>
            </w:tcMar>
            <w:vAlign w:val="top"/>
          </w:tcPr>
          <w:p>
            <w:r>
              <w:rPr>
                <w:b/>
                <w:color w:val="17324D"/>
                <w:sz w:val="14"/>
              </w:rPr>
              <w:t>Laser source</w:t>
            </w:r>
          </w:p>
        </w:tc>
        <w:tc>
          <w:tcPr>
            <w:tcW w:type="dxa" w:w="3384"/>
            <w:tcMar>
              <w:top w:w="65" w:type="dxa"/>
              <w:start w:w="65" w:type="dxa"/>
              <w:bottom w:w="65" w:type="dxa"/>
              <w:end w:w="65" w:type="dxa"/>
            </w:tcMar>
            <w:vAlign w:val="top"/>
          </w:tcPr>
          <w:p>
            <w:r>
              <w:rPr>
                <w:sz w:val="14"/>
              </w:rPr>
              <w:t>Channels, setpoint, enable/disable, readback.</w:t>
            </w:r>
          </w:p>
        </w:tc>
        <w:tc>
          <w:tcPr>
            <w:tcW w:type="dxa" w:w="4536"/>
            <w:tcMar>
              <w:top w:w="65" w:type="dxa"/>
              <w:start w:w="65" w:type="dxa"/>
              <w:bottom w:w="65" w:type="dxa"/>
              <w:end w:w="65" w:type="dxa"/>
            </w:tcMar>
            <w:vAlign w:val="top"/>
          </w:tcPr>
          <w:p>
            <w:r>
              <w:rPr>
                <w:sz w:val="14"/>
              </w:rPr>
              <w:t>Host-enforced disable/cancel and explicit interlock semantics.</w:t>
            </w:r>
          </w:p>
        </w:tc>
      </w:tr>
      <w:tr>
        <w:trPr>
          <w:cantSplit/>
        </w:trPr>
        <w:tc>
          <w:tcPr>
            <w:tcW w:type="dxa" w:w="1944"/>
            <w:tcMar>
              <w:top w:w="65" w:type="dxa"/>
              <w:start w:w="65" w:type="dxa"/>
              <w:bottom w:w="65" w:type="dxa"/>
              <w:end w:w="65" w:type="dxa"/>
            </w:tcMar>
            <w:vAlign w:val="top"/>
            <w:shd w:fill="F3F6F8"/>
          </w:tcPr>
          <w:p>
            <w:r>
              <w:rPr>
                <w:b/>
                <w:color w:val="17324D"/>
                <w:sz w:val="14"/>
              </w:rPr>
              <w:t>Field sensor/controller</w:t>
            </w:r>
          </w:p>
        </w:tc>
        <w:tc>
          <w:tcPr>
            <w:tcW w:type="dxa" w:w="3384"/>
            <w:tcMar>
              <w:top w:w="65" w:type="dxa"/>
              <w:start w:w="65" w:type="dxa"/>
              <w:bottom w:w="65" w:type="dxa"/>
              <w:end w:w="65" w:type="dxa"/>
            </w:tcMar>
            <w:vAlign w:val="top"/>
            <w:shd w:fill="F3F6F8"/>
          </w:tcPr>
          <w:p>
            <w:r>
              <w:rPr>
                <w:sz w:val="14"/>
              </w:rPr>
              <w:t>Read field/uncertainty; optionally set target.</w:t>
            </w:r>
          </w:p>
        </w:tc>
        <w:tc>
          <w:tcPr>
            <w:tcW w:type="dxa" w:w="4536"/>
            <w:tcMar>
              <w:top w:w="65" w:type="dxa"/>
              <w:start w:w="65" w:type="dxa"/>
              <w:bottom w:w="65" w:type="dxa"/>
              <w:end w:w="65" w:type="dxa"/>
            </w:tcMar>
            <w:vAlign w:val="top"/>
            <w:shd w:fill="F3F6F8"/>
          </w:tcPr>
          <w:p>
            <w:r>
              <w:rPr>
                <w:sz w:val="14"/>
              </w:rPr>
              <w:t>Distinguishes manual field from measured readback/provenance.</w:t>
            </w:r>
          </w:p>
        </w:tc>
      </w:tr>
      <w:tr>
        <w:trPr>
          <w:cantSplit/>
        </w:trPr>
        <w:tc>
          <w:tcPr>
            <w:tcW w:type="dxa" w:w="1944"/>
            <w:tcMar>
              <w:top w:w="65" w:type="dxa"/>
              <w:start w:w="65" w:type="dxa"/>
              <w:bottom w:w="65" w:type="dxa"/>
              <w:end w:w="65" w:type="dxa"/>
            </w:tcMar>
            <w:vAlign w:val="top"/>
          </w:tcPr>
          <w:p>
            <w:r>
              <w:rPr>
                <w:b/>
                <w:color w:val="17324D"/>
                <w:sz w:val="14"/>
              </w:rPr>
              <w:t>Imager/beam profiler</w:t>
            </w:r>
          </w:p>
        </w:tc>
        <w:tc>
          <w:tcPr>
            <w:tcW w:type="dxa" w:w="3384"/>
            <w:tcMar>
              <w:top w:w="65" w:type="dxa"/>
              <w:start w:w="65" w:type="dxa"/>
              <w:bottom w:w="65" w:type="dxa"/>
              <w:end w:w="65" w:type="dxa"/>
            </w:tcMar>
            <w:vAlign w:val="top"/>
          </w:tcPr>
          <w:p>
            <w:r>
              <w:rPr>
                <w:sz w:val="14"/>
              </w:rPr>
              <w:t>Configure, acquire image, calibration.</w:t>
            </w:r>
          </w:p>
        </w:tc>
        <w:tc>
          <w:tcPr>
            <w:tcW w:type="dxa" w:w="4536"/>
            <w:tcMar>
              <w:top w:w="65" w:type="dxa"/>
              <w:start w:w="65" w:type="dxa"/>
              <w:bottom w:w="65" w:type="dxa"/>
              <w:end w:w="65" w:type="dxa"/>
            </w:tcMar>
            <w:vAlign w:val="top"/>
          </w:tcPr>
          <w:p>
            <w:r>
              <w:rPr>
                <w:sz w:val="14"/>
              </w:rPr>
              <w:t>Large arrays via shared memory; analysis separate from acquisition.</w:t>
            </w:r>
          </w:p>
        </w:tc>
      </w:tr>
      <w:tr>
        <w:trPr>
          <w:cantSplit/>
        </w:trPr>
        <w:tc>
          <w:tcPr>
            <w:tcW w:type="dxa" w:w="1944"/>
            <w:tcMar>
              <w:top w:w="65" w:type="dxa"/>
              <w:start w:w="65" w:type="dxa"/>
              <w:bottom w:w="65" w:type="dxa"/>
              <w:end w:w="65" w:type="dxa"/>
            </w:tcMar>
            <w:vAlign w:val="top"/>
            <w:shd w:fill="F3F6F8"/>
          </w:tcPr>
          <w:p>
            <w:r>
              <w:rPr>
                <w:b/>
                <w:color w:val="17324D"/>
                <w:sz w:val="14"/>
              </w:rPr>
              <w:t>Trigger/timing</w:t>
            </w:r>
          </w:p>
        </w:tc>
        <w:tc>
          <w:tcPr>
            <w:tcW w:type="dxa" w:w="3384"/>
            <w:tcMar>
              <w:top w:w="65" w:type="dxa"/>
              <w:start w:w="65" w:type="dxa"/>
              <w:bottom w:w="65" w:type="dxa"/>
              <w:end w:w="65" w:type="dxa"/>
            </w:tcMar>
            <w:vAlign w:val="top"/>
            <w:shd w:fill="F3F6F8"/>
          </w:tcPr>
          <w:p>
            <w:r>
              <w:rPr>
                <w:sz w:val="14"/>
              </w:rPr>
              <w:t>Arm, fire, timestamps/clock metadata, abort.</w:t>
            </w:r>
          </w:p>
        </w:tc>
        <w:tc>
          <w:tcPr>
            <w:tcW w:type="dxa" w:w="4536"/>
            <w:tcMar>
              <w:top w:w="65" w:type="dxa"/>
              <w:start w:w="65" w:type="dxa"/>
              <w:bottom w:w="65" w:type="dxa"/>
              <w:end w:w="65" w:type="dxa"/>
            </w:tcMar>
            <w:vAlign w:val="top"/>
            <w:shd w:fill="F3F6F8"/>
          </w:tcPr>
          <w:p>
            <w:r>
              <w:rPr>
                <w:sz w:val="14"/>
              </w:rPr>
              <w:t>Required before claiming hardware-timed procedures.</w:t>
            </w:r>
          </w:p>
        </w:tc>
      </w:tr>
      <w:tr>
        <w:trPr>
          <w:cantSplit/>
        </w:trPr>
        <w:tc>
          <w:tcPr>
            <w:tcW w:type="dxa" w:w="1944"/>
            <w:tcMar>
              <w:top w:w="65" w:type="dxa"/>
              <w:start w:w="65" w:type="dxa"/>
              <w:bottom w:w="65" w:type="dxa"/>
              <w:end w:w="65" w:type="dxa"/>
            </w:tcMar>
            <w:vAlign w:val="top"/>
          </w:tcPr>
          <w:p>
            <w:r>
              <w:rPr>
                <w:b/>
                <w:color w:val="17324D"/>
                <w:sz w:val="14"/>
              </w:rPr>
              <w:t>Analysis/export</w:t>
            </w:r>
          </w:p>
        </w:tc>
        <w:tc>
          <w:tcPr>
            <w:tcW w:type="dxa" w:w="3384"/>
            <w:tcMar>
              <w:top w:w="65" w:type="dxa"/>
              <w:start w:w="65" w:type="dxa"/>
              <w:bottom w:w="65" w:type="dxa"/>
              <w:end w:w="65" w:type="dxa"/>
            </w:tcMar>
            <w:vAlign w:val="top"/>
          </w:tcPr>
          <w:p>
            <w:r>
              <w:rPr>
                <w:sz w:val="14"/>
              </w:rPr>
              <w:t>Consume immutable records; emit derived result/artifact.</w:t>
            </w:r>
          </w:p>
        </w:tc>
        <w:tc>
          <w:tcPr>
            <w:tcW w:type="dxa" w:w="4536"/>
            <w:tcMar>
              <w:top w:w="65" w:type="dxa"/>
              <w:start w:w="65" w:type="dxa"/>
              <w:bottom w:w="65" w:type="dxa"/>
              <w:end w:w="65" w:type="dxa"/>
            </w:tcMar>
            <w:vAlign w:val="top"/>
          </w:tcPr>
          <w:p>
            <w:r>
              <w:rPr>
                <w:sz w:val="14"/>
              </w:rPr>
              <w:t>No direct device access; versioned deterministic parameters.</w:t>
            </w:r>
          </w:p>
        </w:tc>
      </w:tr>
    </w:tbl>
    <w:p/>
    <w:p>
      <w:pPr>
        <w:pStyle w:val="Heading1"/>
        <w:keepNext/>
      </w:pPr>
      <w:r>
        <w:t>Manifest and lifecycle</w:t>
      </w:r>
    </w:p>
    <w:p>
      <w:pPr>
        <w:keepNext/>
      </w:pPr>
      <w:r>
        <w:t>A manifest must be readable before executable import. It should contain a stable ID, display name, semantic version, compatible host API range, entry point/command, capabilities, permissions, configuration schema, metadata namespace, and optional UI declarations.</w:t>
      </w:r>
    </w:p>
    <w:p>
      <w:pPr>
        <w:pStyle w:val="CodeBlock"/>
        <w:keepNext/>
        <w:keepLines/>
      </w:pPr>
      <w:r>
        <w:t>{</w:t>
        <w:br/>
        <w:t xml:space="preserve">  "id": "org.example.field_meter",</w:t>
        <w:br/>
        <w:t xml:space="preserve">  "version": "1.2.0",</w:t>
        <w:br/>
        <w:t xml:space="preserve">  "host_api": "&gt;=1.0,&lt;2.0",</w:t>
        <w:br/>
        <w:t xml:space="preserve">  "runtime": "subprocess-python",</w:t>
        <w:br/>
        <w:t xml:space="preserve">  "provides": ["field_sensor.v1"],</w:t>
        <w:br/>
        <w:t xml:space="preserve">  "permissions": ["serial:COM12", "filesystem:none"],</w:t>
        <w:br/>
        <w:t xml:space="preserve">  "config_schema": "schemas/config-v1.json",</w:t>
        <w:br/>
        <w:t xml:space="preserve">  "metadata_namespace": "org.example.field_meter"</w:t>
        <w:br/>
        <w:t>}</w:t>
      </w:r>
    </w:p>
    <w:p>
      <w:pPr>
        <w:pStyle w:val="ListNumber"/>
      </w:pPr>
      <w:r>
        <w:t>Discover and validate manifests; show incompatible/disabled plugins without executing them.</w:t>
      </w:r>
    </w:p>
    <w:p>
      <w:pPr>
        <w:pStyle w:val="ListNumber"/>
      </w:pPr>
      <w:r>
        <w:t>Resolve configuration and concrete permissions; require explicit enablement for third-party code.</w:t>
      </w:r>
    </w:p>
    <w:p>
      <w:pPr>
        <w:pStyle w:val="ListNumber"/>
      </w:pPr>
      <w:r>
        <w:t>Start worker, negotiate API/protocol versions, and request capability schema.</w:t>
      </w:r>
    </w:p>
    <w:p>
      <w:pPr>
        <w:pStyle w:val="ListNumber"/>
      </w:pPr>
      <w:r>
        <w:t>Connect only on session/user request; normalize connection states and structured errors.</w:t>
      </w:r>
    </w:p>
    <w:p>
      <w:pPr>
        <w:pStyle w:val="ListNumber"/>
      </w:pPr>
      <w:r>
        <w:t>Lease resources through the host; commands carry IDs, deadlines, cancellation, and idempotency expectations.</w:t>
      </w:r>
    </w:p>
    <w:p>
      <w:pPr>
        <w:pStyle w:val="ListNumber"/>
      </w:pPr>
      <w:r>
        <w:t>On crash/timeout, retire worker, release leases, invoke host fail-safe actions, and preserve diagnostics.</w:t>
      </w:r>
    </w:p>
    <w:p>
      <w:pPr>
        <w:pStyle w:val="ListNumber"/>
      </w:pPr>
      <w:r>
        <w:t>On shutdown, stop procedures, disable hazardous outputs, close adapters, then terminate workers.</w:t>
      </w:r>
    </w:p>
    <w:p>
      <w:pPr>
        <w:pStyle w:val="Heading1"/>
      </w:pPr>
      <w:r>
        <w:t>Procedure implementation options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613"/>
            <w:shd w:fill="17324D"/>
            <w:tcMar>
              <w:top w:w="70" w:type="dxa"/>
              <w:start w:w="70" w:type="dxa"/>
              <w:bottom w:w="70" w:type="dxa"/>
              <w:end w:w="70" w:type="dxa"/>
            </w:tcMar>
          </w:tcPr>
          <w:p>
            <w:r>
              <w:rPr>
                <w:b/>
                <w:color w:val="FFFFFF"/>
                <w:sz w:val="13"/>
              </w:rPr>
              <w:t>Option</w:t>
            </w:r>
          </w:p>
        </w:tc>
        <w:tc>
          <w:tcPr>
            <w:tcW w:type="dxa" w:w="2088"/>
            <w:shd w:fill="17324D"/>
            <w:tcMar>
              <w:top w:w="70" w:type="dxa"/>
              <w:start w:w="70" w:type="dxa"/>
              <w:bottom w:w="70" w:type="dxa"/>
              <w:end w:w="70" w:type="dxa"/>
            </w:tcMar>
          </w:tcPr>
          <w:p>
            <w:r>
              <w:rPr>
                <w:b/>
                <w:color w:val="FFFFFF"/>
                <w:sz w:val="13"/>
              </w:rPr>
              <w:t>Structure</w:t>
            </w:r>
          </w:p>
        </w:tc>
        <w:tc>
          <w:tcPr>
            <w:tcW w:type="dxa" w:w="2189"/>
            <w:shd w:fill="17324D"/>
            <w:tcMar>
              <w:top w:w="70" w:type="dxa"/>
              <w:start w:w="70" w:type="dxa"/>
              <w:bottom w:w="70" w:type="dxa"/>
              <w:end w:w="70" w:type="dxa"/>
            </w:tcMar>
          </w:tcPr>
          <w:p>
            <w:r>
              <w:rPr>
                <w:b/>
                <w:color w:val="FFFFFF"/>
                <w:sz w:val="13"/>
              </w:rPr>
              <w:t>Advantages</w:t>
            </w:r>
          </w:p>
        </w:tc>
        <w:tc>
          <w:tcPr>
            <w:tcW w:type="dxa" w:w="2520"/>
            <w:shd w:fill="17324D"/>
            <w:tcMar>
              <w:top w:w="70" w:type="dxa"/>
              <w:start w:w="70" w:type="dxa"/>
              <w:bottom w:w="70" w:type="dxa"/>
              <w:end w:w="70" w:type="dxa"/>
            </w:tcMar>
          </w:tcPr>
          <w:p>
            <w:r>
              <w:rPr>
                <w:b/>
                <w:color w:val="FFFFFF"/>
                <w:sz w:val="13"/>
              </w:rPr>
              <w:t>Disadvantages</w:t>
            </w:r>
          </w:p>
        </w:tc>
        <w:tc>
          <w:tcPr>
            <w:tcW w:type="dxa" w:w="1512"/>
            <w:shd w:fill="17324D"/>
            <w:tcMar>
              <w:top w:w="70" w:type="dxa"/>
              <w:start w:w="70" w:type="dxa"/>
              <w:bottom w:w="70" w:type="dxa"/>
              <w:end w:w="70" w:type="dxa"/>
            </w:tcMar>
          </w:tcPr>
          <w:p>
            <w:r>
              <w:rPr>
                <w:b/>
                <w:color w:val="FFFFFF"/>
                <w:sz w:val="13"/>
              </w:rPr>
              <w:t>Fit</w:t>
            </w:r>
          </w:p>
        </w:tc>
      </w:tr>
      <w:tr>
        <w:trPr>
          <w:cantSplit/>
        </w:trPr>
        <w:tc>
          <w:tcPr>
            <w:tcW w:type="dxa" w:w="1613"/>
            <w:tcMar>
              <w:top w:w="65" w:type="dxa"/>
              <w:start w:w="65" w:type="dxa"/>
              <w:bottom w:w="65" w:type="dxa"/>
              <w:end w:w="65" w:type="dxa"/>
            </w:tcMar>
            <w:vAlign w:val="top"/>
          </w:tcPr>
          <w:p>
            <w:r>
              <w:rPr>
                <w:b/>
                <w:color w:val="17324D"/>
                <w:sz w:val="13"/>
              </w:rPr>
              <w:t>Declarative JSON/YAML DSL</w:t>
            </w:r>
          </w:p>
        </w:tc>
        <w:tc>
          <w:tcPr>
            <w:tcW w:type="dxa" w:w="2088"/>
            <w:tcMar>
              <w:top w:w="65" w:type="dxa"/>
              <w:start w:w="65" w:type="dxa"/>
              <w:bottom w:w="65" w:type="dxa"/>
              <w:end w:w="65" w:type="dxa"/>
            </w:tcMar>
            <w:vAlign w:val="top"/>
          </w:tcPr>
          <w:p>
            <w:r>
              <w:rPr>
                <w:sz w:val="13"/>
              </w:rPr>
              <w:t>Typed steps, variables, bounded loops/conditions, waits, acquire/save; validated before run.</w:t>
            </w:r>
          </w:p>
        </w:tc>
        <w:tc>
          <w:tcPr>
            <w:tcW w:type="dxa" w:w="2189"/>
            <w:tcMar>
              <w:top w:w="65" w:type="dxa"/>
              <w:start w:w="65" w:type="dxa"/>
              <w:bottom w:w="65" w:type="dxa"/>
              <w:end w:w="65" w:type="dxa"/>
            </w:tcMar>
            <w:vAlign w:val="top"/>
          </w:tcPr>
          <w:p>
            <w:r>
              <w:rPr>
                <w:sz w:val="13"/>
              </w:rPr>
              <w:t>Reviewable, serializable, reproducible, preflightable, safe provenance.</w:t>
            </w:r>
          </w:p>
        </w:tc>
        <w:tc>
          <w:tcPr>
            <w:tcW w:type="dxa" w:w="2520"/>
            <w:tcMar>
              <w:top w:w="65" w:type="dxa"/>
              <w:start w:w="65" w:type="dxa"/>
              <w:bottom w:w="65" w:type="dxa"/>
              <w:end w:w="65" w:type="dxa"/>
            </w:tcMar>
            <w:vAlign w:val="top"/>
          </w:tcPr>
          <w:p>
            <w:r>
              <w:rPr>
                <w:sz w:val="13"/>
              </w:rPr>
              <w:t>Needs a schema/editor and explicit step vocabulary.</w:t>
            </w:r>
          </w:p>
        </w:tc>
        <w:tc>
          <w:tcPr>
            <w:tcW w:type="dxa" w:w="1512"/>
            <w:tcMar>
              <w:top w:w="65" w:type="dxa"/>
              <w:start w:w="65" w:type="dxa"/>
              <w:bottom w:w="65" w:type="dxa"/>
              <w:end w:w="65" w:type="dxa"/>
            </w:tcMar>
            <w:vAlign w:val="top"/>
          </w:tcPr>
          <w:p>
            <w:r>
              <w:rPr>
                <w:sz w:val="13"/>
              </w:rPr>
              <w:t>Recommended v1.</w:t>
            </w:r>
          </w:p>
        </w:tc>
      </w:tr>
      <w:tr>
        <w:trPr>
          <w:cantSplit/>
        </w:trPr>
        <w:tc>
          <w:tcPr>
            <w:tcW w:type="dxa" w:w="1613"/>
            <w:tcMar>
              <w:top w:w="65" w:type="dxa"/>
              <w:start w:w="65" w:type="dxa"/>
              <w:bottom w:w="65" w:type="dxa"/>
              <w:end w:w="65" w:type="dxa"/>
            </w:tcMar>
            <w:vAlign w:val="top"/>
            <w:shd w:fill="F3F6F8"/>
          </w:tcPr>
          <w:p>
            <w:r>
              <w:rPr>
                <w:b/>
                <w:color w:val="17324D"/>
                <w:sz w:val="13"/>
              </w:rPr>
              <w:t>Visual workflow builder</w:t>
            </w:r>
          </w:p>
        </w:tc>
        <w:tc>
          <w:tcPr>
            <w:tcW w:type="dxa" w:w="2088"/>
            <w:tcMar>
              <w:top w:w="65" w:type="dxa"/>
              <w:start w:w="65" w:type="dxa"/>
              <w:bottom w:w="65" w:type="dxa"/>
              <w:end w:w="65" w:type="dxa"/>
            </w:tcMar>
            <w:vAlign w:val="top"/>
            <w:shd w:fill="F3F6F8"/>
          </w:tcPr>
          <w:p>
            <w:r>
              <w:rPr>
                <w:sz w:val="13"/>
              </w:rPr>
              <w:t>Graphical editor emits the same declarative DSL.</w:t>
            </w:r>
          </w:p>
        </w:tc>
        <w:tc>
          <w:tcPr>
            <w:tcW w:type="dxa" w:w="2189"/>
            <w:tcMar>
              <w:top w:w="65" w:type="dxa"/>
              <w:start w:w="65" w:type="dxa"/>
              <w:bottom w:w="65" w:type="dxa"/>
              <w:end w:w="65" w:type="dxa"/>
            </w:tcMar>
            <w:vAlign w:val="top"/>
            <w:shd w:fill="F3F6F8"/>
          </w:tcPr>
          <w:p>
            <w:r>
              <w:rPr>
                <w:sz w:val="13"/>
              </w:rPr>
              <w:t>Accessible, discoverable, live validation.</w:t>
            </w:r>
          </w:p>
        </w:tc>
        <w:tc>
          <w:tcPr>
            <w:tcW w:type="dxa" w:w="2520"/>
            <w:tcMar>
              <w:top w:w="65" w:type="dxa"/>
              <w:start w:w="65" w:type="dxa"/>
              <w:bottom w:w="65" w:type="dxa"/>
              <w:end w:w="65" w:type="dxa"/>
            </w:tcMar>
            <w:vAlign w:val="top"/>
            <w:shd w:fill="F3F6F8"/>
          </w:tcPr>
          <w:p>
            <w:r>
              <w:rPr>
                <w:sz w:val="13"/>
              </w:rPr>
              <w:t>Large UI project; complex graphs can become unwieldy.</w:t>
            </w:r>
          </w:p>
        </w:tc>
        <w:tc>
          <w:tcPr>
            <w:tcW w:type="dxa" w:w="1512"/>
            <w:tcMar>
              <w:top w:w="65" w:type="dxa"/>
              <w:start w:w="65" w:type="dxa"/>
              <w:bottom w:w="65" w:type="dxa"/>
              <w:end w:w="65" w:type="dxa"/>
            </w:tcMar>
            <w:vAlign w:val="top"/>
            <w:shd w:fill="F3F6F8"/>
          </w:tcPr>
          <w:p>
            <w:r>
              <w:rPr>
                <w:sz w:val="13"/>
              </w:rPr>
              <w:t>After DSL stabilizes.</w:t>
            </w:r>
          </w:p>
        </w:tc>
      </w:tr>
      <w:tr>
        <w:trPr>
          <w:cantSplit/>
        </w:trPr>
        <w:tc>
          <w:tcPr>
            <w:tcW w:type="dxa" w:w="1613"/>
            <w:tcMar>
              <w:top w:w="65" w:type="dxa"/>
              <w:start w:w="65" w:type="dxa"/>
              <w:bottom w:w="65" w:type="dxa"/>
              <w:end w:w="65" w:type="dxa"/>
            </w:tcMar>
            <w:vAlign w:val="top"/>
          </w:tcPr>
          <w:p>
            <w:r>
              <w:rPr>
                <w:b/>
                <w:color w:val="17324D"/>
                <w:sz w:val="13"/>
              </w:rPr>
              <w:t>Restricted expressions</w:t>
            </w:r>
          </w:p>
        </w:tc>
        <w:tc>
          <w:tcPr>
            <w:tcW w:type="dxa" w:w="2088"/>
            <w:tcMar>
              <w:top w:w="65" w:type="dxa"/>
              <w:start w:w="65" w:type="dxa"/>
              <w:bottom w:w="65" w:type="dxa"/>
              <w:end w:w="65" w:type="dxa"/>
            </w:tcMar>
            <w:vAlign w:val="top"/>
          </w:tcPr>
          <w:p>
            <w:r>
              <w:rPr>
                <w:sz w:val="13"/>
              </w:rPr>
              <w:t>DSL permits bounded expressions for derived values/conditions.</w:t>
            </w:r>
          </w:p>
        </w:tc>
        <w:tc>
          <w:tcPr>
            <w:tcW w:type="dxa" w:w="2189"/>
            <w:tcMar>
              <w:top w:w="65" w:type="dxa"/>
              <w:start w:w="65" w:type="dxa"/>
              <w:bottom w:w="65" w:type="dxa"/>
              <w:end w:w="65" w:type="dxa"/>
            </w:tcMar>
            <w:vAlign w:val="top"/>
          </w:tcPr>
          <w:p>
            <w:r>
              <w:rPr>
                <w:sz w:val="13"/>
              </w:rPr>
              <w:t>More flexibility without full Python.</w:t>
            </w:r>
          </w:p>
        </w:tc>
        <w:tc>
          <w:tcPr>
            <w:tcW w:type="dxa" w:w="2520"/>
            <w:tcMar>
              <w:top w:w="65" w:type="dxa"/>
              <w:start w:w="65" w:type="dxa"/>
              <w:bottom w:w="65" w:type="dxa"/>
              <w:end w:w="65" w:type="dxa"/>
            </w:tcMar>
            <w:vAlign w:val="top"/>
          </w:tcPr>
          <w:p>
            <w:r>
              <w:rPr>
                <w:sz w:val="13"/>
              </w:rPr>
              <w:t>Evaluator security, units, and typing complexity.</w:t>
            </w:r>
          </w:p>
        </w:tc>
        <w:tc>
          <w:tcPr>
            <w:tcW w:type="dxa" w:w="1512"/>
            <w:tcMar>
              <w:top w:w="65" w:type="dxa"/>
              <w:start w:w="65" w:type="dxa"/>
              <w:bottom w:w="65" w:type="dxa"/>
              <w:end w:w="65" w:type="dxa"/>
            </w:tcMar>
            <w:vAlign w:val="top"/>
          </w:tcPr>
          <w:p>
            <w:r>
              <w:rPr>
                <w:sz w:val="13"/>
              </w:rPr>
              <w:t>Narrow v2 addition.</w:t>
            </w:r>
          </w:p>
        </w:tc>
      </w:tr>
      <w:tr>
        <w:trPr>
          <w:cantSplit/>
        </w:trPr>
        <w:tc>
          <w:tcPr>
            <w:tcW w:type="dxa" w:w="1613"/>
            <w:tcMar>
              <w:top w:w="65" w:type="dxa"/>
              <w:start w:w="65" w:type="dxa"/>
              <w:bottom w:w="65" w:type="dxa"/>
              <w:end w:w="65" w:type="dxa"/>
            </w:tcMar>
            <w:vAlign w:val="top"/>
            <w:shd w:fill="F3F6F8"/>
          </w:tcPr>
          <w:p>
            <w:r>
              <w:rPr>
                <w:b/>
                <w:color w:val="17324D"/>
                <w:sz w:val="13"/>
              </w:rPr>
              <w:t>Sandboxed Python SDK</w:t>
            </w:r>
          </w:p>
        </w:tc>
        <w:tc>
          <w:tcPr>
            <w:tcW w:type="dxa" w:w="2088"/>
            <w:tcMar>
              <w:top w:w="65" w:type="dxa"/>
              <w:start w:w="65" w:type="dxa"/>
              <w:bottom w:w="65" w:type="dxa"/>
              <w:end w:w="65" w:type="dxa"/>
            </w:tcMar>
            <w:vAlign w:val="top"/>
            <w:shd w:fill="F3F6F8"/>
          </w:tcPr>
          <w:p>
            <w:r>
              <w:rPr>
                <w:sz w:val="13"/>
              </w:rPr>
              <w:t>Separate user process calls a narrow host API.</w:t>
            </w:r>
          </w:p>
        </w:tc>
        <w:tc>
          <w:tcPr>
            <w:tcW w:type="dxa" w:w="2189"/>
            <w:tcMar>
              <w:top w:w="65" w:type="dxa"/>
              <w:start w:w="65" w:type="dxa"/>
              <w:bottom w:w="65" w:type="dxa"/>
              <w:end w:w="65" w:type="dxa"/>
            </w:tcMar>
            <w:vAlign w:val="top"/>
            <w:shd w:fill="F3F6F8"/>
          </w:tcPr>
          <w:p>
            <w:r>
              <w:rPr>
                <w:sz w:val="13"/>
              </w:rPr>
              <w:t>Maximum scientific flexibility and normal tooling.</w:t>
            </w:r>
          </w:p>
        </w:tc>
        <w:tc>
          <w:tcPr>
            <w:tcW w:type="dxa" w:w="2520"/>
            <w:tcMar>
              <w:top w:w="65" w:type="dxa"/>
              <w:start w:w="65" w:type="dxa"/>
              <w:bottom w:w="65" w:type="dxa"/>
              <w:end w:w="65" w:type="dxa"/>
            </w:tcMar>
            <w:vAlign w:val="top"/>
            <w:shd w:fill="F3F6F8"/>
          </w:tcPr>
          <w:p>
            <w:r>
              <w:rPr>
                <w:sz w:val="13"/>
              </w:rPr>
              <w:t>Desktop sandbox limits; harder cancellation, dependencies, review, and reproducibility.</w:t>
            </w:r>
          </w:p>
        </w:tc>
        <w:tc>
          <w:tcPr>
            <w:tcW w:type="dxa" w:w="1512"/>
            <w:tcMar>
              <w:top w:w="65" w:type="dxa"/>
              <w:start w:w="65" w:type="dxa"/>
              <w:bottom w:w="65" w:type="dxa"/>
              <w:end w:w="65" w:type="dxa"/>
            </w:tcMar>
            <w:vAlign w:val="top"/>
            <w:shd w:fill="F3F6F8"/>
          </w:tcPr>
          <w:p>
            <w:r>
              <w:rPr>
                <w:sz w:val="13"/>
              </w:rPr>
              <w:t>Advanced opt-in.</w:t>
            </w:r>
          </w:p>
        </w:tc>
      </w:tr>
      <w:tr>
        <w:trPr>
          <w:cantSplit/>
        </w:trPr>
        <w:tc>
          <w:tcPr>
            <w:tcW w:type="dxa" w:w="1613"/>
            <w:tcMar>
              <w:top w:w="65" w:type="dxa"/>
              <w:start w:w="65" w:type="dxa"/>
              <w:bottom w:w="65" w:type="dxa"/>
              <w:end w:w="65" w:type="dxa"/>
            </w:tcMar>
            <w:vAlign w:val="top"/>
          </w:tcPr>
          <w:p>
            <w:r>
              <w:rPr>
                <w:b/>
                <w:color w:val="17324D"/>
                <w:sz w:val="13"/>
              </w:rPr>
              <w:t>In-process Python / IDE</w:t>
            </w:r>
          </w:p>
        </w:tc>
        <w:tc>
          <w:tcPr>
            <w:tcW w:type="dxa" w:w="2088"/>
            <w:tcMar>
              <w:top w:w="65" w:type="dxa"/>
              <w:start w:w="65" w:type="dxa"/>
              <w:bottom w:w="65" w:type="dxa"/>
              <w:end w:w="65" w:type="dxa"/>
            </w:tcMar>
            <w:vAlign w:val="top"/>
          </w:tcPr>
          <w:p>
            <w:r>
              <w:rPr>
                <w:sz w:val="13"/>
              </w:rPr>
              <w:t>Edit and execute Python inside GUI.</w:t>
            </w:r>
          </w:p>
        </w:tc>
        <w:tc>
          <w:tcPr>
            <w:tcW w:type="dxa" w:w="2189"/>
            <w:tcMar>
              <w:top w:w="65" w:type="dxa"/>
              <w:start w:w="65" w:type="dxa"/>
              <w:bottom w:w="65" w:type="dxa"/>
              <w:end w:w="65" w:type="dxa"/>
            </w:tcMar>
            <w:vAlign w:val="top"/>
          </w:tcPr>
          <w:p>
            <w:r>
              <w:rPr>
                <w:sz w:val="13"/>
              </w:rPr>
              <w:t>Fast demo; familiar to programmers.</w:t>
            </w:r>
          </w:p>
        </w:tc>
        <w:tc>
          <w:tcPr>
            <w:tcW w:type="dxa" w:w="2520"/>
            <w:tcMar>
              <w:top w:w="65" w:type="dxa"/>
              <w:start w:w="65" w:type="dxa"/>
              <w:bottom w:w="65" w:type="dxa"/>
              <w:end w:w="65" w:type="dxa"/>
            </w:tcMar>
            <w:vAlign w:val="top"/>
          </w:tcPr>
          <w:p>
            <w:r>
              <w:rPr>
                <w:sz w:val="13"/>
              </w:rPr>
              <w:t>Can bypass every safety/data boundary and freeze/corrupt GUI.</w:t>
            </w:r>
          </w:p>
        </w:tc>
        <w:tc>
          <w:tcPr>
            <w:tcW w:type="dxa" w:w="1512"/>
            <w:tcMar>
              <w:top w:w="65" w:type="dxa"/>
              <w:start w:w="65" w:type="dxa"/>
              <w:bottom w:w="65" w:type="dxa"/>
              <w:end w:w="65" w:type="dxa"/>
            </w:tcMar>
            <w:vAlign w:val="top"/>
          </w:tcPr>
          <w:p>
            <w:r>
              <w:rPr>
                <w:sz w:val="13"/>
              </w:rPr>
              <w:t>Do not implement first.</w:t>
            </w:r>
          </w:p>
        </w:tc>
      </w:tr>
      <w:tr>
        <w:trPr>
          <w:cantSplit/>
        </w:trPr>
        <w:tc>
          <w:tcPr>
            <w:tcW w:type="dxa" w:w="1613"/>
            <w:tcMar>
              <w:top w:w="65" w:type="dxa"/>
              <w:start w:w="65" w:type="dxa"/>
              <w:bottom w:w="65" w:type="dxa"/>
              <w:end w:w="65" w:type="dxa"/>
            </w:tcMar>
            <w:vAlign w:val="top"/>
            <w:shd w:fill="F3F6F8"/>
          </w:tcPr>
          <w:p>
            <w:r>
              <w:rPr>
                <w:b/>
                <w:color w:val="17324D"/>
                <w:sz w:val="13"/>
              </w:rPr>
              <w:t>External automation client</w:t>
            </w:r>
          </w:p>
        </w:tc>
        <w:tc>
          <w:tcPr>
            <w:tcW w:type="dxa" w:w="2088"/>
            <w:tcMar>
              <w:top w:w="65" w:type="dxa"/>
              <w:start w:w="65" w:type="dxa"/>
              <w:bottom w:w="65" w:type="dxa"/>
              <w:end w:w="65" w:type="dxa"/>
            </w:tcMar>
            <w:vAlign w:val="top"/>
            <w:shd w:fill="F3F6F8"/>
          </w:tcPr>
          <w:p>
            <w:r>
              <w:rPr>
                <w:sz w:val="13"/>
              </w:rPr>
              <w:t>Documented local API used from VS Code/Jupyter/other run engine.</w:t>
            </w:r>
          </w:p>
        </w:tc>
        <w:tc>
          <w:tcPr>
            <w:tcW w:type="dxa" w:w="2189"/>
            <w:tcMar>
              <w:top w:w="65" w:type="dxa"/>
              <w:start w:w="65" w:type="dxa"/>
              <w:bottom w:w="65" w:type="dxa"/>
              <w:end w:w="65" w:type="dxa"/>
            </w:tcMar>
            <w:vAlign w:val="top"/>
            <w:shd w:fill="F3F6F8"/>
          </w:tcPr>
          <w:p>
            <w:r>
              <w:rPr>
                <w:sz w:val="13"/>
              </w:rPr>
              <w:t>No IDE maintenance; mature tooling; flexible language.</w:t>
            </w:r>
          </w:p>
        </w:tc>
        <w:tc>
          <w:tcPr>
            <w:tcW w:type="dxa" w:w="2520"/>
            <w:tcMar>
              <w:top w:w="65" w:type="dxa"/>
              <w:start w:w="65" w:type="dxa"/>
              <w:bottom w:w="65" w:type="dxa"/>
              <w:end w:w="65" w:type="dxa"/>
            </w:tcMar>
            <w:vAlign w:val="top"/>
            <w:shd w:fill="F3F6F8"/>
          </w:tcPr>
          <w:p>
            <w:r>
              <w:rPr>
                <w:sz w:val="13"/>
              </w:rPr>
              <w:t>Two-process lifecycle, auth, and resource UX.</w:t>
            </w:r>
          </w:p>
        </w:tc>
        <w:tc>
          <w:tcPr>
            <w:tcW w:type="dxa" w:w="1512"/>
            <w:tcMar>
              <w:top w:w="65" w:type="dxa"/>
              <w:start w:w="65" w:type="dxa"/>
              <w:bottom w:w="65" w:type="dxa"/>
              <w:end w:w="65" w:type="dxa"/>
            </w:tcMar>
            <w:vAlign w:val="top"/>
            <w:shd w:fill="F3F6F8"/>
          </w:tcPr>
          <w:p>
            <w:r>
              <w:rPr>
                <w:sz w:val="13"/>
              </w:rPr>
              <w:t>Strong IDE alternative.</w:t>
            </w:r>
          </w:p>
        </w:tc>
      </w:tr>
    </w:tbl>
    <w:p/>
    <w:p>
      <w:pPr>
        <w:pStyle w:val="Heading2"/>
        <w:keepNext/>
      </w:pPr>
      <w:r>
        <w:t>Recommended procedure model</w:t>
      </w:r>
    </w:p>
    <w:p>
      <w:pPr>
        <w:keepNext/>
      </w:pPr>
      <w:r>
        <w:t>Compile a user definition into the same action/state concepts as built-in coordinators. Preflight resolves capabilities, validates units and ranges, estimates frames/time/memory/files, checks resource conflicts, and creates a compact preview. Execution is event-driven and never sleeps in the GUI thread.</w:t>
      </w:r>
    </w:p>
    <w:p>
      <w:pPr>
        <w:pStyle w:val="CodeBlock"/>
        <w:keepNext/>
        <w:keepLines/>
      </w:pPr>
      <w:r>
        <w:t>procedure: delayed-spectrum-average</w:t>
        <w:br/>
        <w:t>version: 1</w:t>
        <w:br/>
        <w:t>requires: [spectrometer.v1, laser_source.v1]</w:t>
        <w:br/>
        <w:t>parameters:</w:t>
        <w:br/>
        <w:t xml:space="preserve">  repeats: {type: integer, minimum: 1, default: 100}</w:t>
        <w:br/>
        <w:t>steps:</w:t>
        <w:br/>
        <w:t xml:space="preserve">  - acquire_lease: [spectrometer, laser]</w:t>
        <w:br/>
        <w:t xml:space="preserve">  - repeat: ${repeats}</w:t>
        <w:br/>
        <w:t xml:space="preserve">    do:</w:t>
        <w:br/>
        <w:t xml:space="preserve">      - laser.set: {enabled: true}</w:t>
        <w:br/>
        <w:t xml:space="preserve">      - wait: {duration: 50 ms}</w:t>
        <w:br/>
        <w:t xml:space="preserve">      - laser.set: {enabled: false, mark_transition: true}</w:t>
        <w:br/>
        <w:t xml:space="preserve">      - spectrum.acquire_at: {delay: 0 ms, output: accumulator}</w:t>
        <w:br/>
        <w:t xml:space="preserve">  - accumulator.save: {format: gated_series_csv}</w:t>
        <w:br/>
        <w:t>finally:</w:t>
        <w:br/>
        <w:t xml:space="preserve">  - laser.set: {enabled: false}</w:t>
        <w:br/>
        <w:t xml:space="preserve">  - release_all: true</w:t>
      </w:r>
    </w:p>
    <w:tbl>
      <w:tblPr>
        <w:tblW w:type="auto" w:w="0"/>
        <w:jc w:val="left"/>
        <w:tblLayout w:type="fixed"/>
        <w:tblLook w:firstColumn="1" w:firstRow="1" w:lastColumn="0" w:lastRow="0" w:noHBand="0" w:noVBand="1" w:val="04A0"/>
      </w:tblPr>
      <w:tblGrid>
        <w:gridCol w:w="1944"/>
        <w:gridCol w:w="7920"/>
      </w:tblGrid>
      <w:tr>
        <w:tc>
          <w:tcPr>
            <w:tcW w:type="dxa" w:w="1944"/>
            <w:shd w:fill="087E8B"/>
            <w:tcMar>
              <w:top w:w="100" w:type="dxa"/>
              <w:start w:w="100" w:type="dxa"/>
              <w:bottom w:w="100" w:type="dxa"/>
              <w:end w:w="100" w:type="dxa"/>
            </w:tcMar>
            <w:vAlign w:val="center"/>
          </w:tcPr>
          <w:p>
            <w:pPr>
              <w:jc w:val="center"/>
            </w:pPr>
            <w:r>
              <w:rPr>
                <w:b/>
                <w:color w:val="FFFFFF"/>
                <w:sz w:val="16"/>
              </w:rPr>
              <w:t>TIMING</w:t>
            </w:r>
          </w:p>
        </w:tc>
        <w:tc>
          <w:tcPr>
            <w:tcW w:type="dxa" w:w="7920"/>
            <w:shd w:fill="EAF3F5"/>
            <w:tcMar>
              <w:top w:w="100" w:type="dxa"/>
              <w:start w:w="100" w:type="dxa"/>
              <w:bottom w:w="100" w:type="dxa"/>
              <w:end w:w="100" w:type="dxa"/>
            </w:tcMar>
            <w:vAlign w:val="center"/>
          </w:tcPr>
          <w:p>
            <w:r>
              <w:rPr>
                <w:sz w:val="18"/>
              </w:rPr>
              <w:t>A procedure runner can minimize preparation and ordering overhead, but desktop software does not provide hard-real-time timing. Trigger-capable plugins must publish clock, edge, and uncertainty semantics explicitly.</w:t>
            </w:r>
          </w:p>
        </w:tc>
      </w:tr>
    </w:tbl>
    <w:p>
      <w:pPr>
        <w:pStyle w:val="Heading1"/>
      </w:pPr>
      <w:r>
        <w:t>Host structure and communication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324D"/>
            <w:tcMar>
              <w:top w:w="70" w:type="dxa"/>
              <w:start w:w="70" w:type="dxa"/>
              <w:bottom w:w="70" w:type="dxa"/>
              <w:end w:w="70" w:type="dxa"/>
            </w:tcMar>
          </w:tcPr>
          <w:p>
            <w:r>
              <w:rPr>
                <w:b/>
                <w:color w:val="FFFFFF"/>
                <w:sz w:val="14"/>
              </w:rPr>
              <w:t>Component</w:t>
            </w:r>
          </w:p>
        </w:tc>
        <w:tc>
          <w:tcPr>
            <w:tcW w:type="dxa" w:w="4176"/>
            <w:shd w:fill="17324D"/>
            <w:tcMar>
              <w:top w:w="70" w:type="dxa"/>
              <w:start w:w="70" w:type="dxa"/>
              <w:bottom w:w="70" w:type="dxa"/>
              <w:end w:w="70" w:type="dxa"/>
            </w:tcMar>
          </w:tcPr>
          <w:p>
            <w:r>
              <w:rPr>
                <w:b/>
                <w:color w:val="FFFFFF"/>
                <w:sz w:val="14"/>
              </w:rPr>
              <w:t>Role</w:t>
            </w:r>
          </w:p>
        </w:tc>
        <w:tc>
          <w:tcPr>
            <w:tcW w:type="dxa" w:w="3600"/>
            <w:shd w:fill="17324D"/>
            <w:tcMar>
              <w:top w:w="70" w:type="dxa"/>
              <w:start w:w="70" w:type="dxa"/>
              <w:bottom w:w="70" w:type="dxa"/>
              <w:end w:w="70" w:type="dxa"/>
            </w:tcMar>
          </w:tcPr>
          <w:p>
            <w:r>
              <w:rPr>
                <w:b/>
                <w:color w:val="FFFFFF"/>
                <w:sz w:val="14"/>
              </w:rPr>
              <w:t>Key rule</w:t>
            </w:r>
          </w:p>
        </w:tc>
      </w:tr>
      <w:tr>
        <w:trPr>
          <w:cantSplit/>
        </w:trPr>
        <w:tc>
          <w:tcPr>
            <w:tcW w:type="dxa" w:w="2088"/>
            <w:tcMar>
              <w:top w:w="65" w:type="dxa"/>
              <w:start w:w="65" w:type="dxa"/>
              <w:bottom w:w="65" w:type="dxa"/>
              <w:end w:w="65" w:type="dxa"/>
            </w:tcMar>
            <w:vAlign w:val="top"/>
          </w:tcPr>
          <w:p>
            <w:r>
              <w:rPr>
                <w:b/>
                <w:color w:val="17324D"/>
                <w:sz w:val="14"/>
              </w:rPr>
              <w:t>ExtensionCatalog</w:t>
            </w:r>
          </w:p>
        </w:tc>
        <w:tc>
          <w:tcPr>
            <w:tcW w:type="dxa" w:w="4176"/>
            <w:tcMar>
              <w:top w:w="65" w:type="dxa"/>
              <w:start w:w="65" w:type="dxa"/>
              <w:bottom w:w="65" w:type="dxa"/>
              <w:end w:w="65" w:type="dxa"/>
            </w:tcMar>
            <w:vAlign w:val="top"/>
          </w:tcPr>
          <w:p>
            <w:r>
              <w:rPr>
                <w:sz w:val="14"/>
              </w:rPr>
              <w:t>Reads manifests, compatibility, trust, and enable state.</w:t>
            </w:r>
          </w:p>
        </w:tc>
        <w:tc>
          <w:tcPr>
            <w:tcW w:type="dxa" w:w="3600"/>
            <w:tcMar>
              <w:top w:w="65" w:type="dxa"/>
              <w:start w:w="65" w:type="dxa"/>
              <w:bottom w:w="65" w:type="dxa"/>
              <w:end w:w="65" w:type="dxa"/>
            </w:tcMar>
            <w:vAlign w:val="top"/>
          </w:tcPr>
          <w:p>
            <w:r>
              <w:rPr>
                <w:sz w:val="14"/>
              </w:rPr>
              <w:t>No imports or connections during discovery.</w:t>
            </w:r>
          </w:p>
        </w:tc>
      </w:tr>
      <w:tr>
        <w:trPr>
          <w:cantSplit/>
        </w:trPr>
        <w:tc>
          <w:tcPr>
            <w:tcW w:type="dxa" w:w="2088"/>
            <w:tcMar>
              <w:top w:w="65" w:type="dxa"/>
              <w:start w:w="65" w:type="dxa"/>
              <w:bottom w:w="65" w:type="dxa"/>
              <w:end w:w="65" w:type="dxa"/>
            </w:tcMar>
            <w:vAlign w:val="top"/>
            <w:shd w:fill="F3F6F8"/>
          </w:tcPr>
          <w:p>
            <w:r>
              <w:rPr>
                <w:b/>
                <w:color w:val="17324D"/>
                <w:sz w:val="14"/>
              </w:rPr>
              <w:t>PluginSupervisor</w:t>
            </w:r>
          </w:p>
        </w:tc>
        <w:tc>
          <w:tcPr>
            <w:tcW w:type="dxa" w:w="4176"/>
            <w:tcMar>
              <w:top w:w="65" w:type="dxa"/>
              <w:start w:w="65" w:type="dxa"/>
              <w:bottom w:w="65" w:type="dxa"/>
              <w:end w:w="65" w:type="dxa"/>
            </w:tcMar>
            <w:vAlign w:val="top"/>
            <w:shd w:fill="F3F6F8"/>
          </w:tcPr>
          <w:p>
            <w:r>
              <w:rPr>
                <w:sz w:val="14"/>
              </w:rPr>
              <w:t>Process lifecycle, heartbeat, timeout, crash report, shared-memory cleanup.</w:t>
            </w:r>
          </w:p>
        </w:tc>
        <w:tc>
          <w:tcPr>
            <w:tcW w:type="dxa" w:w="3600"/>
            <w:tcMar>
              <w:top w:w="65" w:type="dxa"/>
              <w:start w:w="65" w:type="dxa"/>
              <w:bottom w:w="65" w:type="dxa"/>
              <w:end w:w="65" w:type="dxa"/>
            </w:tcMar>
            <w:vAlign w:val="top"/>
            <w:shd w:fill="F3F6F8"/>
          </w:tcPr>
          <w:p>
            <w:r>
              <w:rPr>
                <w:sz w:val="14"/>
              </w:rPr>
              <w:t>One supervised session per plugin instance.</w:t>
            </w:r>
          </w:p>
        </w:tc>
      </w:tr>
      <w:tr>
        <w:trPr>
          <w:cantSplit/>
        </w:trPr>
        <w:tc>
          <w:tcPr>
            <w:tcW w:type="dxa" w:w="2088"/>
            <w:tcMar>
              <w:top w:w="65" w:type="dxa"/>
              <w:start w:w="65" w:type="dxa"/>
              <w:bottom w:w="65" w:type="dxa"/>
              <w:end w:w="65" w:type="dxa"/>
            </w:tcMar>
            <w:vAlign w:val="top"/>
          </w:tcPr>
          <w:p>
            <w:r>
              <w:rPr>
                <w:b/>
                <w:color w:val="17324D"/>
                <w:sz w:val="14"/>
              </w:rPr>
              <w:t>CapabilityRegistry</w:t>
            </w:r>
          </w:p>
        </w:tc>
        <w:tc>
          <w:tcPr>
            <w:tcW w:type="dxa" w:w="4176"/>
            <w:tcMar>
              <w:top w:w="65" w:type="dxa"/>
              <w:start w:w="65" w:type="dxa"/>
              <w:bottom w:w="65" w:type="dxa"/>
              <w:end w:w="65" w:type="dxa"/>
            </w:tcMar>
            <w:vAlign w:val="top"/>
          </w:tcPr>
          <w:p>
            <w:r>
              <w:rPr>
                <w:sz w:val="14"/>
              </w:rPr>
              <w:t>Maps stable capability IDs to typed proxies/factories.</w:t>
            </w:r>
          </w:p>
        </w:tc>
        <w:tc>
          <w:tcPr>
            <w:tcW w:type="dxa" w:w="3600"/>
            <w:tcMar>
              <w:top w:w="65" w:type="dxa"/>
              <w:start w:w="65" w:type="dxa"/>
              <w:bottom w:w="65" w:type="dxa"/>
              <w:end w:w="65" w:type="dxa"/>
            </w:tcMar>
            <w:vAlign w:val="top"/>
          </w:tcPr>
          <w:p>
            <w:r>
              <w:rPr>
                <w:sz w:val="14"/>
              </w:rPr>
              <w:t>No MainWindow references; negotiate versions.</w:t>
            </w:r>
          </w:p>
        </w:tc>
      </w:tr>
      <w:tr>
        <w:trPr>
          <w:cantSplit/>
        </w:trPr>
        <w:tc>
          <w:tcPr>
            <w:tcW w:type="dxa" w:w="2088"/>
            <w:tcMar>
              <w:top w:w="65" w:type="dxa"/>
              <w:start w:w="65" w:type="dxa"/>
              <w:bottom w:w="65" w:type="dxa"/>
              <w:end w:w="65" w:type="dxa"/>
            </w:tcMar>
            <w:vAlign w:val="top"/>
            <w:shd w:fill="F3F6F8"/>
          </w:tcPr>
          <w:p>
            <w:r>
              <w:rPr>
                <w:b/>
                <w:color w:val="17324D"/>
                <w:sz w:val="14"/>
              </w:rPr>
              <w:t>ResourceManager</w:t>
            </w:r>
          </w:p>
        </w:tc>
        <w:tc>
          <w:tcPr>
            <w:tcW w:type="dxa" w:w="4176"/>
            <w:tcMar>
              <w:top w:w="65" w:type="dxa"/>
              <w:start w:w="65" w:type="dxa"/>
              <w:bottom w:w="65" w:type="dxa"/>
              <w:end w:w="65" w:type="dxa"/>
            </w:tcMar>
            <w:vAlign w:val="top"/>
            <w:shd w:fill="F3F6F8"/>
          </w:tcPr>
          <w:p>
            <w:r>
              <w:rPr>
                <w:sz w:val="14"/>
              </w:rPr>
              <w:t>Named leases for spectrometer, laser channel, meter, camera, trigger.</w:t>
            </w:r>
          </w:p>
        </w:tc>
        <w:tc>
          <w:tcPr>
            <w:tcW w:type="dxa" w:w="3600"/>
            <w:tcMar>
              <w:top w:w="65" w:type="dxa"/>
              <w:start w:w="65" w:type="dxa"/>
              <w:bottom w:w="65" w:type="dxa"/>
              <w:end w:w="65" w:type="dxa"/>
            </w:tcMar>
            <w:vAlign w:val="top"/>
            <w:shd w:fill="F3F6F8"/>
          </w:tcPr>
          <w:p>
            <w:r>
              <w:rPr>
                <w:sz w:val="14"/>
              </w:rPr>
              <w:t>Hazardous resources have host cleanup.</w:t>
            </w:r>
          </w:p>
        </w:tc>
      </w:tr>
      <w:tr>
        <w:trPr>
          <w:cantSplit/>
        </w:trPr>
        <w:tc>
          <w:tcPr>
            <w:tcW w:type="dxa" w:w="2088"/>
            <w:tcMar>
              <w:top w:w="65" w:type="dxa"/>
              <w:start w:w="65" w:type="dxa"/>
              <w:bottom w:w="65" w:type="dxa"/>
              <w:end w:w="65" w:type="dxa"/>
            </w:tcMar>
            <w:vAlign w:val="top"/>
          </w:tcPr>
          <w:p>
            <w:r>
              <w:rPr>
                <w:b/>
                <w:color w:val="17324D"/>
                <w:sz w:val="14"/>
              </w:rPr>
              <w:t>ProcedureCompiler</w:t>
            </w:r>
          </w:p>
        </w:tc>
        <w:tc>
          <w:tcPr>
            <w:tcW w:type="dxa" w:w="4176"/>
            <w:tcMar>
              <w:top w:w="65" w:type="dxa"/>
              <w:start w:w="65" w:type="dxa"/>
              <w:bottom w:w="65" w:type="dxa"/>
              <w:end w:w="65" w:type="dxa"/>
            </w:tcMar>
            <w:vAlign w:val="top"/>
          </w:tcPr>
          <w:p>
            <w:r>
              <w:rPr>
                <w:sz w:val="14"/>
              </w:rPr>
              <w:t>Schema/units/limits validation, step resolution, cost preview.</w:t>
            </w:r>
          </w:p>
        </w:tc>
        <w:tc>
          <w:tcPr>
            <w:tcW w:type="dxa" w:w="3600"/>
            <w:tcMar>
              <w:top w:w="65" w:type="dxa"/>
              <w:start w:w="65" w:type="dxa"/>
              <w:bottom w:w="65" w:type="dxa"/>
              <w:end w:w="65" w:type="dxa"/>
            </w:tcMar>
            <w:vAlign w:val="top"/>
          </w:tcPr>
          <w:p>
            <w:r>
              <w:rPr>
                <w:sz w:val="14"/>
              </w:rPr>
              <w:t>Pure preflight; no hardware side effects.</w:t>
            </w:r>
          </w:p>
        </w:tc>
      </w:tr>
      <w:tr>
        <w:trPr>
          <w:cantSplit/>
        </w:trPr>
        <w:tc>
          <w:tcPr>
            <w:tcW w:type="dxa" w:w="2088"/>
            <w:tcMar>
              <w:top w:w="65" w:type="dxa"/>
              <w:start w:w="65" w:type="dxa"/>
              <w:bottom w:w="65" w:type="dxa"/>
              <w:end w:w="65" w:type="dxa"/>
            </w:tcMar>
            <w:vAlign w:val="top"/>
            <w:shd w:fill="F3F6F8"/>
          </w:tcPr>
          <w:p>
            <w:r>
              <w:rPr>
                <w:b/>
                <w:color w:val="17324D"/>
                <w:sz w:val="14"/>
              </w:rPr>
              <w:t>ProcedureRunner</w:t>
            </w:r>
          </w:p>
        </w:tc>
        <w:tc>
          <w:tcPr>
            <w:tcW w:type="dxa" w:w="4176"/>
            <w:tcMar>
              <w:top w:w="65" w:type="dxa"/>
              <w:start w:w="65" w:type="dxa"/>
              <w:bottom w:w="65" w:type="dxa"/>
              <w:end w:w="65" w:type="dxa"/>
            </w:tcMar>
            <w:vAlign w:val="top"/>
            <w:shd w:fill="F3F6F8"/>
          </w:tcPr>
          <w:p>
            <w:r>
              <w:rPr>
                <w:sz w:val="14"/>
              </w:rPr>
              <w:t>Event state machine, progress, cancellation, retry/checkpoint/finally.</w:t>
            </w:r>
          </w:p>
        </w:tc>
        <w:tc>
          <w:tcPr>
            <w:tcW w:type="dxa" w:w="3600"/>
            <w:tcMar>
              <w:top w:w="65" w:type="dxa"/>
              <w:start w:w="65" w:type="dxa"/>
              <w:bottom w:w="65" w:type="dxa"/>
              <w:end w:w="65" w:type="dxa"/>
            </w:tcMar>
            <w:vAlign w:val="top"/>
            <w:shd w:fill="F3F6F8"/>
          </w:tcPr>
          <w:p>
            <w:r>
              <w:rPr>
                <w:sz w:val="14"/>
              </w:rPr>
              <w:t>Calls capability proxies only.</w:t>
            </w:r>
          </w:p>
        </w:tc>
      </w:tr>
      <w:tr>
        <w:trPr>
          <w:cantSplit/>
        </w:trPr>
        <w:tc>
          <w:tcPr>
            <w:tcW w:type="dxa" w:w="2088"/>
            <w:tcMar>
              <w:top w:w="65" w:type="dxa"/>
              <w:start w:w="65" w:type="dxa"/>
              <w:bottom w:w="65" w:type="dxa"/>
              <w:end w:w="65" w:type="dxa"/>
            </w:tcMar>
            <w:vAlign w:val="top"/>
          </w:tcPr>
          <w:p>
            <w:r>
              <w:rPr>
                <w:b/>
                <w:color w:val="17324D"/>
                <w:sz w:val="14"/>
              </w:rPr>
              <w:t>MetadataRegistry</w:t>
            </w:r>
          </w:p>
        </w:tc>
        <w:tc>
          <w:tcPr>
            <w:tcW w:type="dxa" w:w="4176"/>
            <w:tcMar>
              <w:top w:w="65" w:type="dxa"/>
              <w:start w:w="65" w:type="dxa"/>
              <w:bottom w:w="65" w:type="dxa"/>
              <w:end w:w="65" w:type="dxa"/>
            </w:tcMar>
            <w:vAlign w:val="top"/>
          </w:tcPr>
          <w:p>
            <w:r>
              <w:rPr>
                <w:sz w:val="14"/>
              </w:rPr>
              <w:t>Namespaces fields and captures extension/procedure versions and hashes.</w:t>
            </w:r>
          </w:p>
        </w:tc>
        <w:tc>
          <w:tcPr>
            <w:tcW w:type="dxa" w:w="3600"/>
            <w:tcMar>
              <w:top w:w="65" w:type="dxa"/>
              <w:start w:w="65" w:type="dxa"/>
              <w:bottom w:w="65" w:type="dxa"/>
              <w:end w:w="65" w:type="dxa"/>
            </w:tcMar>
            <w:vAlign w:val="top"/>
          </w:tcPr>
          <w:p>
            <w:r>
              <w:rPr>
                <w:sz w:val="14"/>
              </w:rPr>
              <w:t>No collisions with core schema.</w:t>
            </w:r>
          </w:p>
        </w:tc>
      </w:tr>
      <w:tr>
        <w:trPr>
          <w:cantSplit/>
        </w:trPr>
        <w:tc>
          <w:tcPr>
            <w:tcW w:type="dxa" w:w="2088"/>
            <w:tcMar>
              <w:top w:w="65" w:type="dxa"/>
              <w:start w:w="65" w:type="dxa"/>
              <w:bottom w:w="65" w:type="dxa"/>
              <w:end w:w="65" w:type="dxa"/>
            </w:tcMar>
            <w:vAlign w:val="top"/>
            <w:shd w:fill="F3F6F8"/>
          </w:tcPr>
          <w:p>
            <w:r>
              <w:rPr>
                <w:b/>
                <w:color w:val="17324D"/>
                <w:sz w:val="14"/>
              </w:rPr>
              <w:t>UIContributionHost</w:t>
            </w:r>
          </w:p>
        </w:tc>
        <w:tc>
          <w:tcPr>
            <w:tcW w:type="dxa" w:w="4176"/>
            <w:tcMar>
              <w:top w:w="65" w:type="dxa"/>
              <w:start w:w="65" w:type="dxa"/>
              <w:bottom w:w="65" w:type="dxa"/>
              <w:end w:w="65" w:type="dxa"/>
            </w:tcMar>
            <w:vAlign w:val="top"/>
            <w:shd w:fill="F3F6F8"/>
          </w:tcPr>
          <w:p>
            <w:r>
              <w:rPr>
                <w:sz w:val="14"/>
              </w:rPr>
              <w:t>Builds schema controls and binds service commands.</w:t>
            </w:r>
          </w:p>
        </w:tc>
        <w:tc>
          <w:tcPr>
            <w:tcW w:type="dxa" w:w="3600"/>
            <w:tcMar>
              <w:top w:w="65" w:type="dxa"/>
              <w:start w:w="65" w:type="dxa"/>
              <w:bottom w:w="65" w:type="dxa"/>
              <w:end w:w="65" w:type="dxa"/>
            </w:tcMar>
            <w:vAlign w:val="top"/>
            <w:shd w:fill="F3F6F8"/>
          </w:tcPr>
          <w:p>
            <w:r>
              <w:rPr>
                <w:sz w:val="14"/>
              </w:rPr>
              <w:t>Custom native widgets trusted-only.</w:t>
            </w:r>
          </w:p>
        </w:tc>
      </w:tr>
    </w:tbl>
    <w:p/>
    <w:p>
      <w:pPr>
        <w:pStyle w:val="Heading1"/>
      </w:pPr>
      <w:r>
        <w:t>Safety, trust, and failure rules</w:t>
      </w:r>
    </w:p>
    <w:p>
      <w:pPr>
        <w:pStyle w:val="ListBullet"/>
      </w:pPr>
      <w:r>
        <w:t>Plugins never receive raw objects from another plugin or a MainWindow reference.</w:t>
      </w:r>
    </w:p>
    <w:p>
      <w:pPr>
        <w:pStyle w:val="ListBullet"/>
      </w:pPr>
      <w:r>
        <w:t>Laser enable requires a named lease and host policy. Abort, disconnect, crash, procedure failure, and app shutdown invoke host-owned disable-all sequencing.</w:t>
      </w:r>
    </w:p>
    <w:p>
      <w:pPr>
        <w:pStyle w:val="ListBullet"/>
      </w:pPr>
      <w:r>
        <w:t>A timeout retires an unresponsive process; never attempt unsafe thread termination.</w:t>
      </w:r>
    </w:p>
    <w:p>
      <w:pPr>
        <w:pStyle w:val="ListBullet"/>
      </w:pPr>
      <w:r>
        <w:t>Permissions are deny-by-default and concrete: serial port, vendor runtime/USB, network endpoint, selected folder, or none.</w:t>
      </w:r>
    </w:p>
    <w:p>
      <w:pPr>
        <w:pStyle w:val="ListBullet"/>
      </w:pPr>
      <w:r>
        <w:t>Validate RPC on both sides: finite numbers, array shapes, units, command IDs, protocol version, and stale responses.</w:t>
      </w:r>
    </w:p>
    <w:p>
      <w:pPr>
        <w:pStyle w:val="ListBullet"/>
      </w:pPr>
      <w:r>
        <w:t>Record definition hash/version, resolved plugin versions, parameters, outcome, rejected frames, and cleanup result once metadata fields are approved.</w:t>
      </w:r>
    </w:p>
    <w:p>
      <w:pPr>
        <w:pStyle w:val="ListBullet"/>
      </w:pPr>
      <w:r>
        <w:t>Describe Python execution on Windows as process isolation plus permissions—not as a perfect security sandbox.</w:t>
      </w:r>
    </w:p>
    <w:p>
      <w:pPr>
        <w:pStyle w:val="Heading1"/>
      </w:pPr>
      <w:r>
        <w:t>Roadmap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shd w:fill="17324D"/>
            <w:tcMar>
              <w:top w:w="70" w:type="dxa"/>
              <w:start w:w="70" w:type="dxa"/>
              <w:bottom w:w="70" w:type="dxa"/>
              <w:end w:w="70" w:type="dxa"/>
            </w:tcMar>
          </w:tcPr>
          <w:p>
            <w:r>
              <w:rPr>
                <w:b/>
                <w:color w:val="FFFFFF"/>
                <w:sz w:val="14"/>
              </w:rPr>
              <w:t>Stage</w:t>
            </w:r>
          </w:p>
        </w:tc>
        <w:tc>
          <w:tcPr>
            <w:tcW w:type="dxa" w:w="5256"/>
            <w:shd w:fill="17324D"/>
            <w:tcMar>
              <w:top w:w="70" w:type="dxa"/>
              <w:start w:w="70" w:type="dxa"/>
              <w:bottom w:w="70" w:type="dxa"/>
              <w:end w:w="70" w:type="dxa"/>
            </w:tcMar>
          </w:tcPr>
          <w:p>
            <w:r>
              <w:rPr>
                <w:b/>
                <w:color w:val="FFFFFF"/>
                <w:sz w:val="14"/>
              </w:rPr>
              <w:t>Work</w:t>
            </w:r>
          </w:p>
        </w:tc>
        <w:tc>
          <w:tcPr>
            <w:tcW w:type="dxa" w:w="2880"/>
            <w:shd w:fill="17324D"/>
            <w:tcMar>
              <w:top w:w="70" w:type="dxa"/>
              <w:start w:w="70" w:type="dxa"/>
              <w:bottom w:w="70" w:type="dxa"/>
              <w:end w:w="70" w:type="dxa"/>
            </w:tcMar>
          </w:tcPr>
          <w:p>
            <w:r>
              <w:rPr>
                <w:b/>
                <w:color w:val="FFFFFF"/>
                <w:sz w:val="14"/>
              </w:rPr>
              <w:t>Exit criterion</w:t>
            </w:r>
          </w:p>
        </w:tc>
      </w:tr>
      <w:tr>
        <w:trPr>
          <w:cantSplit/>
        </w:trPr>
        <w:tc>
          <w:tcPr>
            <w:tcW w:type="dxa" w:w="1728"/>
            <w:tcMar>
              <w:top w:w="65" w:type="dxa"/>
              <w:start w:w="65" w:type="dxa"/>
              <w:bottom w:w="65" w:type="dxa"/>
              <w:end w:w="65" w:type="dxa"/>
            </w:tcMar>
            <w:vAlign w:val="top"/>
          </w:tcPr>
          <w:p>
            <w:r>
              <w:rPr>
                <w:b/>
                <w:color w:val="17324D"/>
                <w:sz w:val="14"/>
              </w:rPr>
              <w:t>0 — Prerequisites</w:t>
            </w:r>
          </w:p>
        </w:tc>
        <w:tc>
          <w:tcPr>
            <w:tcW w:type="dxa" w:w="5256"/>
            <w:tcMar>
              <w:top w:w="65" w:type="dxa"/>
              <w:start w:w="65" w:type="dxa"/>
              <w:bottom w:w="65" w:type="dxa"/>
              <w:end w:w="65" w:type="dxa"/>
            </w:tcMar>
            <w:vAlign w:val="top"/>
          </w:tcPr>
          <w:p>
            <w:r>
              <w:rPr>
                <w:sz w:val="14"/>
              </w:rPr>
              <w:t>GUI integration tests; split MainWindow connection/acquisition/workflow presenters; structured error/cancel contracts.</w:t>
            </w:r>
          </w:p>
        </w:tc>
        <w:tc>
          <w:tcPr>
            <w:tcW w:type="dxa" w:w="2880"/>
            <w:tcMar>
              <w:top w:w="65" w:type="dxa"/>
              <w:start w:w="65" w:type="dxa"/>
              <w:bottom w:w="65" w:type="dxa"/>
              <w:end w:w="65" w:type="dxa"/>
            </w:tcMar>
            <w:vAlign w:val="top"/>
          </w:tcPr>
          <w:p>
            <w:r>
              <w:rPr>
                <w:sz w:val="14"/>
              </w:rPr>
              <w:t>Stable seams without behavior change.</w:t>
            </w:r>
          </w:p>
        </w:tc>
      </w:tr>
      <w:tr>
        <w:trPr>
          <w:cantSplit/>
        </w:trPr>
        <w:tc>
          <w:tcPr>
            <w:tcW w:type="dxa" w:w="1728"/>
            <w:tcMar>
              <w:top w:w="65" w:type="dxa"/>
              <w:start w:w="65" w:type="dxa"/>
              <w:bottom w:w="65" w:type="dxa"/>
              <w:end w:w="65" w:type="dxa"/>
            </w:tcMar>
            <w:vAlign w:val="top"/>
            <w:shd w:fill="F3F6F8"/>
          </w:tcPr>
          <w:p>
            <w:r>
              <w:rPr>
                <w:b/>
                <w:color w:val="17324D"/>
                <w:sz w:val="14"/>
              </w:rPr>
              <w:t>1 — Contracts</w:t>
            </w:r>
          </w:p>
        </w:tc>
        <w:tc>
          <w:tcPr>
            <w:tcW w:type="dxa" w:w="5256"/>
            <w:tcMar>
              <w:top w:w="65" w:type="dxa"/>
              <w:start w:w="65" w:type="dxa"/>
              <w:bottom w:w="65" w:type="dxa"/>
              <w:end w:w="65" w:type="dxa"/>
            </w:tcMar>
            <w:vAlign w:val="top"/>
            <w:shd w:fill="F3F6F8"/>
          </w:tcPr>
          <w:p>
            <w:r>
              <w:rPr>
                <w:sz w:val="14"/>
              </w:rPr>
              <w:t>Protocol/ABC package for capabilities, identity, timing, configuration, health, progress, and close; migrate built-ins.</w:t>
            </w:r>
          </w:p>
        </w:tc>
        <w:tc>
          <w:tcPr>
            <w:tcW w:type="dxa" w:w="2880"/>
            <w:tcMar>
              <w:top w:w="65" w:type="dxa"/>
              <w:start w:w="65" w:type="dxa"/>
              <w:bottom w:w="65" w:type="dxa"/>
              <w:end w:w="65" w:type="dxa"/>
            </w:tcMar>
            <w:vAlign w:val="top"/>
            <w:shd w:fill="F3F6F8"/>
          </w:tcPr>
          <w:p>
            <w:r>
              <w:rPr>
                <w:sz w:val="14"/>
              </w:rPr>
              <w:t>Built-in registry, no third-party loading.</w:t>
            </w:r>
          </w:p>
        </w:tc>
      </w:tr>
      <w:tr>
        <w:trPr>
          <w:cantSplit/>
        </w:trPr>
        <w:tc>
          <w:tcPr>
            <w:tcW w:type="dxa" w:w="1728"/>
            <w:tcMar>
              <w:top w:w="65" w:type="dxa"/>
              <w:start w:w="65" w:type="dxa"/>
              <w:bottom w:w="65" w:type="dxa"/>
              <w:end w:w="65" w:type="dxa"/>
            </w:tcMar>
            <w:vAlign w:val="top"/>
          </w:tcPr>
          <w:p>
            <w:r>
              <w:rPr>
                <w:b/>
                <w:color w:val="17324D"/>
                <w:sz w:val="14"/>
              </w:rPr>
              <w:t>2 — Procedures</w:t>
            </w:r>
          </w:p>
        </w:tc>
        <w:tc>
          <w:tcPr>
            <w:tcW w:type="dxa" w:w="5256"/>
            <w:tcMar>
              <w:top w:w="65" w:type="dxa"/>
              <w:start w:w="65" w:type="dxa"/>
              <w:bottom w:w="65" w:type="dxa"/>
              <w:end w:w="65" w:type="dxa"/>
            </w:tcMar>
            <w:vAlign w:val="top"/>
          </w:tcPr>
          <w:p>
            <w:r>
              <w:rPr>
                <w:sz w:val="14"/>
              </w:rPr>
              <w:t>v1 JSON Schema, units, step registry, compiler, cost preview, runner, finally cleanup, progress, provenance; parity-convert one gated workflow.</w:t>
            </w:r>
          </w:p>
        </w:tc>
        <w:tc>
          <w:tcPr>
            <w:tcW w:type="dxa" w:w="2880"/>
            <w:tcMar>
              <w:top w:w="65" w:type="dxa"/>
              <w:start w:w="65" w:type="dxa"/>
              <w:bottom w:w="65" w:type="dxa"/>
              <w:end w:w="65" w:type="dxa"/>
            </w:tcMar>
            <w:vAlign w:val="top"/>
          </w:tcPr>
          <w:p>
            <w:r>
              <w:rPr>
                <w:sz w:val="14"/>
              </w:rPr>
              <w:t>Trusted built-in declarative procedures.</w:t>
            </w:r>
          </w:p>
        </w:tc>
      </w:tr>
      <w:tr>
        <w:trPr>
          <w:cantSplit/>
        </w:trPr>
        <w:tc>
          <w:tcPr>
            <w:tcW w:type="dxa" w:w="1728"/>
            <w:tcMar>
              <w:top w:w="65" w:type="dxa"/>
              <w:start w:w="65" w:type="dxa"/>
              <w:bottom w:w="65" w:type="dxa"/>
              <w:end w:w="65" w:type="dxa"/>
            </w:tcMar>
            <w:vAlign w:val="top"/>
            <w:shd w:fill="F3F6F8"/>
          </w:tcPr>
          <w:p>
            <w:r>
              <w:rPr>
                <w:b/>
                <w:color w:val="17324D"/>
                <w:sz w:val="14"/>
              </w:rPr>
              <w:t>3 — Plugin catalog</w:t>
            </w:r>
          </w:p>
        </w:tc>
        <w:tc>
          <w:tcPr>
            <w:tcW w:type="dxa" w:w="5256"/>
            <w:tcMar>
              <w:top w:w="65" w:type="dxa"/>
              <w:start w:w="65" w:type="dxa"/>
              <w:bottom w:w="65" w:type="dxa"/>
              <w:end w:w="65" w:type="dxa"/>
            </w:tcMar>
            <w:vAlign w:val="top"/>
            <w:shd w:fill="F3F6F8"/>
          </w:tcPr>
          <w:p>
            <w:r>
              <w:rPr>
                <w:sz w:val="14"/>
              </w:rPr>
              <w:t>Manifest/API compatibility, namespaces, enable UX, diagnostics, install policy, conformance suite.</w:t>
            </w:r>
          </w:p>
        </w:tc>
        <w:tc>
          <w:tcPr>
            <w:tcW w:type="dxa" w:w="2880"/>
            <w:tcMar>
              <w:top w:w="65" w:type="dxa"/>
              <w:start w:w="65" w:type="dxa"/>
              <w:bottom w:w="65" w:type="dxa"/>
              <w:end w:w="65" w:type="dxa"/>
            </w:tcMar>
            <w:vAlign w:val="top"/>
            <w:shd w:fill="F3F6F8"/>
          </w:tcPr>
          <w:p>
            <w:r>
              <w:rPr>
                <w:sz w:val="14"/>
              </w:rPr>
              <w:t>Discovery without import.</w:t>
            </w:r>
          </w:p>
        </w:tc>
      </w:tr>
      <w:tr>
        <w:trPr>
          <w:cantSplit/>
        </w:trPr>
        <w:tc>
          <w:tcPr>
            <w:tcW w:type="dxa" w:w="1728"/>
            <w:tcMar>
              <w:top w:w="65" w:type="dxa"/>
              <w:start w:w="65" w:type="dxa"/>
              <w:bottom w:w="65" w:type="dxa"/>
              <w:end w:w="65" w:type="dxa"/>
            </w:tcMar>
            <w:vAlign w:val="top"/>
          </w:tcPr>
          <w:p>
            <w:r>
              <w:rPr>
                <w:b/>
                <w:color w:val="17324D"/>
                <w:sz w:val="14"/>
              </w:rPr>
              <w:t>4 — Subprocess RPC</w:t>
            </w:r>
          </w:p>
        </w:tc>
        <w:tc>
          <w:tcPr>
            <w:tcW w:type="dxa" w:w="5256"/>
            <w:tcMar>
              <w:top w:w="65" w:type="dxa"/>
              <w:start w:w="65" w:type="dxa"/>
              <w:bottom w:w="65" w:type="dxa"/>
              <w:end w:w="65" w:type="dxa"/>
            </w:tcMar>
            <w:vAlign w:val="top"/>
          </w:tcPr>
          <w:p>
            <w:r>
              <w:rPr>
                <w:sz w:val="14"/>
              </w:rPr>
              <w:t>Supervisor, framed messages, heartbeat/deadlines, shared arrays, restart, permissions, host cleanup.</w:t>
            </w:r>
          </w:p>
        </w:tc>
        <w:tc>
          <w:tcPr>
            <w:tcW w:type="dxa" w:w="2880"/>
            <w:tcMar>
              <w:top w:w="65" w:type="dxa"/>
              <w:start w:w="65" w:type="dxa"/>
              <w:bottom w:w="65" w:type="dxa"/>
              <w:end w:w="65" w:type="dxa"/>
            </w:tcMar>
            <w:vAlign w:val="top"/>
          </w:tcPr>
          <w:p>
            <w:r>
              <w:rPr>
                <w:sz w:val="14"/>
              </w:rPr>
              <w:t>Isolated third-party instrument pilot.</w:t>
            </w:r>
          </w:p>
        </w:tc>
      </w:tr>
      <w:tr>
        <w:trPr>
          <w:cantSplit/>
        </w:trPr>
        <w:tc>
          <w:tcPr>
            <w:tcW w:type="dxa" w:w="1728"/>
            <w:tcMar>
              <w:top w:w="65" w:type="dxa"/>
              <w:start w:w="65" w:type="dxa"/>
              <w:bottom w:w="65" w:type="dxa"/>
              <w:end w:w="65" w:type="dxa"/>
            </w:tcMar>
            <w:vAlign w:val="top"/>
            <w:shd w:fill="F3F6F8"/>
          </w:tcPr>
          <w:p>
            <w:r>
              <w:rPr>
                <w:b/>
                <w:color w:val="17324D"/>
                <w:sz w:val="14"/>
              </w:rPr>
              <w:t>5 — Authoring UX</w:t>
            </w:r>
          </w:p>
        </w:tc>
        <w:tc>
          <w:tcPr>
            <w:tcW w:type="dxa" w:w="5256"/>
            <w:tcMar>
              <w:top w:w="65" w:type="dxa"/>
              <w:start w:w="65" w:type="dxa"/>
              <w:bottom w:w="65" w:type="dxa"/>
              <w:end w:w="65" w:type="dxa"/>
            </w:tcMar>
            <w:vAlign w:val="top"/>
            <w:shd w:fill="F3F6F8"/>
          </w:tcPr>
          <w:p>
            <w:r>
              <w:rPr>
                <w:sz w:val="14"/>
              </w:rPr>
              <w:t>Schema-aware editor/form, validation, compact preview, emulator dry run, templates, run history.</w:t>
            </w:r>
          </w:p>
        </w:tc>
        <w:tc>
          <w:tcPr>
            <w:tcW w:type="dxa" w:w="2880"/>
            <w:tcMar>
              <w:top w:w="65" w:type="dxa"/>
              <w:start w:w="65" w:type="dxa"/>
              <w:bottom w:w="65" w:type="dxa"/>
              <w:end w:w="65" w:type="dxa"/>
            </w:tcMar>
            <w:vAlign w:val="top"/>
            <w:shd w:fill="F3F6F8"/>
          </w:tcPr>
          <w:p>
            <w:r>
              <w:rPr>
                <w:sz w:val="14"/>
              </w:rPr>
              <w:t>Usable authoring without full IDE.</w:t>
            </w:r>
          </w:p>
        </w:tc>
      </w:tr>
      <w:tr>
        <w:trPr>
          <w:cantSplit/>
        </w:trPr>
        <w:tc>
          <w:tcPr>
            <w:tcW w:type="dxa" w:w="1728"/>
            <w:tcMar>
              <w:top w:w="65" w:type="dxa"/>
              <w:start w:w="65" w:type="dxa"/>
              <w:bottom w:w="65" w:type="dxa"/>
              <w:end w:w="65" w:type="dxa"/>
            </w:tcMar>
            <w:vAlign w:val="top"/>
          </w:tcPr>
          <w:p>
            <w:r>
              <w:rPr>
                <w:b/>
                <w:color w:val="17324D"/>
                <w:sz w:val="14"/>
              </w:rPr>
              <w:t>6 — Advanced</w:t>
            </w:r>
          </w:p>
        </w:tc>
        <w:tc>
          <w:tcPr>
            <w:tcW w:type="dxa" w:w="5256"/>
            <w:tcMar>
              <w:top w:w="65" w:type="dxa"/>
              <w:start w:w="65" w:type="dxa"/>
              <w:bottom w:w="65" w:type="dxa"/>
              <w:end w:w="65" w:type="dxa"/>
            </w:tcMar>
            <w:vAlign w:val="top"/>
          </w:tcPr>
          <w:p>
            <w:r>
              <w:rPr>
                <w:sz w:val="14"/>
              </w:rPr>
              <w:t>Trusted QWidget contributions, analysis/export plugins, external API, restricted expressions, optional Python SDK.</w:t>
            </w:r>
          </w:p>
        </w:tc>
        <w:tc>
          <w:tcPr>
            <w:tcW w:type="dxa" w:w="2880"/>
            <w:tcMar>
              <w:top w:w="65" w:type="dxa"/>
              <w:start w:w="65" w:type="dxa"/>
              <w:bottom w:w="65" w:type="dxa"/>
              <w:end w:w="65" w:type="dxa"/>
            </w:tcMar>
            <w:vAlign w:val="top"/>
          </w:tcPr>
          <w:p>
            <w:r>
              <w:rPr>
                <w:sz w:val="14"/>
              </w:rPr>
              <w:t>Broader ecosystem after safety matures.</w:t>
            </w:r>
          </w:p>
        </w:tc>
      </w:tr>
      <w:tr>
        <w:trPr>
          <w:cantSplit/>
        </w:trPr>
        <w:tc>
          <w:tcPr>
            <w:tcW w:type="dxa" w:w="1728"/>
            <w:tcMar>
              <w:top w:w="65" w:type="dxa"/>
              <w:start w:w="65" w:type="dxa"/>
              <w:bottom w:w="65" w:type="dxa"/>
              <w:end w:w="65" w:type="dxa"/>
            </w:tcMar>
            <w:vAlign w:val="top"/>
            <w:shd w:fill="F3F6F8"/>
          </w:tcPr>
          <w:p>
            <w:r>
              <w:rPr>
                <w:b/>
                <w:color w:val="17324D"/>
                <w:sz w:val="14"/>
              </w:rPr>
              <w:t>7 — Governance</w:t>
            </w:r>
          </w:p>
        </w:tc>
        <w:tc>
          <w:tcPr>
            <w:tcW w:type="dxa" w:w="5256"/>
            <w:tcMar>
              <w:top w:w="65" w:type="dxa"/>
              <w:start w:w="65" w:type="dxa"/>
              <w:bottom w:w="65" w:type="dxa"/>
              <w:end w:w="65" w:type="dxa"/>
            </w:tcMar>
            <w:vAlign w:val="top"/>
            <w:shd w:fill="F3F6F8"/>
          </w:tcPr>
          <w:p>
            <w:r>
              <w:rPr>
                <w:sz w:val="14"/>
              </w:rPr>
              <w:t>Signing/trust labels, dependency pins, compatibility matrix, update/rollback, docs/examples.</w:t>
            </w:r>
          </w:p>
        </w:tc>
        <w:tc>
          <w:tcPr>
            <w:tcW w:type="dxa" w:w="2880"/>
            <w:tcMar>
              <w:top w:w="65" w:type="dxa"/>
              <w:start w:w="65" w:type="dxa"/>
              <w:bottom w:w="65" w:type="dxa"/>
              <w:end w:w="65" w:type="dxa"/>
            </w:tcMar>
            <w:vAlign w:val="top"/>
            <w:shd w:fill="F3F6F8"/>
          </w:tcPr>
          <w:p>
            <w:r>
              <w:rPr>
                <w:sz w:val="14"/>
              </w:rPr>
              <w:t>Maintainable multi-user distribution.</w:t>
            </w:r>
          </w:p>
        </w:tc>
      </w:tr>
    </w:tbl>
    <w:p/>
    <w:p>
      <w:r/>
    </w:p>
    <w:p>
      <w:pPr>
        <w:pStyle w:val="Heading1"/>
      </w:pPr>
      <w:r>
        <w:t>Alternatives that may solve needs sooner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448"/>
            <w:shd w:fill="17324D"/>
            <w:tcMar>
              <w:top w:w="70" w:type="dxa"/>
              <w:start w:w="70" w:type="dxa"/>
              <w:bottom w:w="70" w:type="dxa"/>
              <w:end w:w="70" w:type="dxa"/>
            </w:tcMar>
          </w:tcPr>
          <w:p>
            <w:r>
              <w:rPr>
                <w:b/>
                <w:color w:val="FFFFFF"/>
                <w:sz w:val="15"/>
              </w:rPr>
              <w:t>Alternative</w:t>
            </w:r>
          </w:p>
        </w:tc>
        <w:tc>
          <w:tcPr>
            <w:tcW w:type="dxa" w:w="3672"/>
            <w:shd w:fill="17324D"/>
            <w:tcMar>
              <w:top w:w="70" w:type="dxa"/>
              <w:start w:w="70" w:type="dxa"/>
              <w:bottom w:w="70" w:type="dxa"/>
              <w:end w:w="70" w:type="dxa"/>
            </w:tcMar>
          </w:tcPr>
          <w:p>
            <w:r>
              <w:rPr>
                <w:b/>
                <w:color w:val="FFFFFF"/>
                <w:sz w:val="15"/>
              </w:rPr>
              <w:t>Value</w:t>
            </w:r>
          </w:p>
        </w:tc>
        <w:tc>
          <w:tcPr>
            <w:tcW w:type="dxa" w:w="3744"/>
            <w:shd w:fill="17324D"/>
            <w:tcMar>
              <w:top w:w="70" w:type="dxa"/>
              <w:start w:w="70" w:type="dxa"/>
              <w:bottom w:w="70" w:type="dxa"/>
              <w:end w:w="70" w:type="dxa"/>
            </w:tcMar>
          </w:tcPr>
          <w:p>
            <w:r>
              <w:rPr>
                <w:b/>
                <w:color w:val="FFFFFF"/>
                <w:sz w:val="15"/>
              </w:rPr>
              <w:t>Tradeoff</w:t>
            </w:r>
          </w:p>
        </w:tc>
      </w:tr>
      <w:tr>
        <w:trPr>
          <w:cantSplit/>
        </w:trPr>
        <w:tc>
          <w:tcPr>
            <w:tcW w:type="dxa" w:w="2448"/>
            <w:tcMar>
              <w:top w:w="65" w:type="dxa"/>
              <w:start w:w="65" w:type="dxa"/>
              <w:bottom w:w="65" w:type="dxa"/>
              <w:end w:w="65" w:type="dxa"/>
            </w:tcMar>
            <w:vAlign w:val="top"/>
          </w:tcPr>
          <w:p>
            <w:r>
              <w:rPr>
                <w:b/>
                <w:color w:val="17324D"/>
                <w:sz w:val="15"/>
              </w:rPr>
              <w:t>Configuration-driven SCPI/serial adapters</w:t>
            </w:r>
          </w:p>
        </w:tc>
        <w:tc>
          <w:tcPr>
            <w:tcW w:type="dxa" w:w="3672"/>
            <w:tcMar>
              <w:top w:w="65" w:type="dxa"/>
              <w:start w:w="65" w:type="dxa"/>
              <w:bottom w:w="65" w:type="dxa"/>
              <w:end w:w="65" w:type="dxa"/>
            </w:tcMar>
            <w:vAlign w:val="top"/>
          </w:tcPr>
          <w:p>
            <w:r>
              <w:rPr>
                <w:sz w:val="15"/>
              </w:rPr>
              <w:t>Very quick for simple read/set instruments with no custom package.</w:t>
            </w:r>
          </w:p>
        </w:tc>
        <w:tc>
          <w:tcPr>
            <w:tcW w:type="dxa" w:w="3744"/>
            <w:tcMar>
              <w:top w:w="65" w:type="dxa"/>
              <w:start w:w="65" w:type="dxa"/>
              <w:bottom w:w="65" w:type="dxa"/>
              <w:end w:w="65" w:type="dxa"/>
            </w:tcMar>
            <w:vAlign w:val="top"/>
          </w:tcPr>
          <w:p>
            <w:r>
              <w:rPr>
                <w:sz w:val="15"/>
              </w:rPr>
              <w:t>Poor for binary SDKs, streaming, complex state, and safety logic.</w:t>
            </w:r>
          </w:p>
        </w:tc>
      </w:tr>
      <w:tr>
        <w:trPr>
          <w:cantSplit/>
        </w:trPr>
        <w:tc>
          <w:tcPr>
            <w:tcW w:type="dxa" w:w="2448"/>
            <w:tcMar>
              <w:top w:w="65" w:type="dxa"/>
              <w:start w:w="65" w:type="dxa"/>
              <w:bottom w:w="65" w:type="dxa"/>
              <w:end w:w="65" w:type="dxa"/>
            </w:tcMar>
            <w:vAlign w:val="top"/>
            <w:shd w:fill="F3F6F8"/>
          </w:tcPr>
          <w:p>
            <w:r>
              <w:rPr>
                <w:b/>
                <w:color w:val="17324D"/>
                <w:sz w:val="15"/>
              </w:rPr>
              <w:t>Semantic macro recorder</w:t>
            </w:r>
          </w:p>
        </w:tc>
        <w:tc>
          <w:tcPr>
            <w:tcW w:type="dxa" w:w="3672"/>
            <w:tcMar>
              <w:top w:w="65" w:type="dxa"/>
              <w:start w:w="65" w:type="dxa"/>
              <w:bottom w:w="65" w:type="dxa"/>
              <w:end w:w="65" w:type="dxa"/>
            </w:tcMar>
            <w:vAlign w:val="top"/>
            <w:shd w:fill="F3F6F8"/>
          </w:tcPr>
          <w:p>
            <w:r>
              <w:rPr>
                <w:sz w:val="15"/>
              </w:rPr>
              <w:t>Records host commands and replays them; discoverable and no programming.</w:t>
            </w:r>
          </w:p>
        </w:tc>
        <w:tc>
          <w:tcPr>
            <w:tcW w:type="dxa" w:w="3744"/>
            <w:tcMar>
              <w:top w:w="65" w:type="dxa"/>
              <w:start w:w="65" w:type="dxa"/>
              <w:bottom w:w="65" w:type="dxa"/>
              <w:end w:w="65" w:type="dxa"/>
            </w:tcMar>
            <w:vAlign w:val="top"/>
            <w:shd w:fill="F3F6F8"/>
          </w:tcPr>
          <w:p>
            <w:r>
              <w:rPr>
                <w:sz w:val="15"/>
              </w:rPr>
              <w:t>Limited branching; brittle if it records widgets instead of commands.</w:t>
            </w:r>
          </w:p>
        </w:tc>
      </w:tr>
      <w:tr>
        <w:trPr>
          <w:cantSplit/>
        </w:trPr>
        <w:tc>
          <w:tcPr>
            <w:tcW w:type="dxa" w:w="2448"/>
            <w:tcMar>
              <w:top w:w="65" w:type="dxa"/>
              <w:start w:w="65" w:type="dxa"/>
              <w:bottom w:w="65" w:type="dxa"/>
              <w:end w:w="65" w:type="dxa"/>
            </w:tcMar>
            <w:vAlign w:val="top"/>
          </w:tcPr>
          <w:p>
            <w:r>
              <w:rPr>
                <w:b/>
                <w:color w:val="17324D"/>
                <w:sz w:val="15"/>
              </w:rPr>
              <w:t>External local API</w:t>
            </w:r>
          </w:p>
        </w:tc>
        <w:tc>
          <w:tcPr>
            <w:tcW w:type="dxa" w:w="3672"/>
            <w:tcMar>
              <w:top w:w="65" w:type="dxa"/>
              <w:start w:w="65" w:type="dxa"/>
              <w:bottom w:w="65" w:type="dxa"/>
              <w:end w:w="65" w:type="dxa"/>
            </w:tcMar>
            <w:vAlign w:val="top"/>
          </w:tcPr>
          <w:p>
            <w:r>
              <w:rPr>
                <w:sz w:val="15"/>
              </w:rPr>
              <w:t>Users automate from a normal IDE/Jupyter without embedding one.</w:t>
            </w:r>
          </w:p>
        </w:tc>
        <w:tc>
          <w:tcPr>
            <w:tcW w:type="dxa" w:w="3744"/>
            <w:tcMar>
              <w:top w:w="65" w:type="dxa"/>
              <w:start w:w="65" w:type="dxa"/>
              <w:bottom w:w="65" w:type="dxa"/>
              <w:end w:w="65" w:type="dxa"/>
            </w:tcMar>
            <w:vAlign w:val="top"/>
          </w:tcPr>
          <w:p>
            <w:r>
              <w:rPr>
                <w:sz w:val="15"/>
              </w:rPr>
              <w:t>Requires API lifecycle/version/auth and the same arbitration.</w:t>
            </w:r>
          </w:p>
        </w:tc>
      </w:tr>
      <w:tr>
        <w:trPr>
          <w:cantSplit/>
        </w:trPr>
        <w:tc>
          <w:tcPr>
            <w:tcW w:type="dxa" w:w="2448"/>
            <w:tcMar>
              <w:top w:w="65" w:type="dxa"/>
              <w:start w:w="65" w:type="dxa"/>
              <w:bottom w:w="65" w:type="dxa"/>
              <w:end w:w="65" w:type="dxa"/>
            </w:tcMar>
            <w:vAlign w:val="top"/>
            <w:shd w:fill="F3F6F8"/>
          </w:tcPr>
          <w:p>
            <w:r>
              <w:rPr>
                <w:b/>
                <w:color w:val="17324D"/>
                <w:sz w:val="15"/>
              </w:rPr>
              <w:t>Bridge a lab automation framework</w:t>
            </w:r>
          </w:p>
        </w:tc>
        <w:tc>
          <w:tcPr>
            <w:tcW w:type="dxa" w:w="3672"/>
            <w:tcMar>
              <w:top w:w="65" w:type="dxa"/>
              <w:start w:w="65" w:type="dxa"/>
              <w:bottom w:w="65" w:type="dxa"/>
              <w:end w:w="65" w:type="dxa"/>
            </w:tcMar>
            <w:vAlign w:val="top"/>
            <w:shd w:fill="F3F6F8"/>
          </w:tcPr>
          <w:p>
            <w:r>
              <w:rPr>
                <w:sz w:val="15"/>
              </w:rPr>
              <w:t>Mature plans, queues, data catalogs, and ecosystem.</w:t>
            </w:r>
          </w:p>
        </w:tc>
        <w:tc>
          <w:tcPr>
            <w:tcW w:type="dxa" w:w="3744"/>
            <w:tcMar>
              <w:top w:w="65" w:type="dxa"/>
              <w:start w:w="65" w:type="dxa"/>
              <w:bottom w:w="65" w:type="dxa"/>
              <w:end w:w="65" w:type="dxa"/>
            </w:tcMar>
            <w:vAlign w:val="top"/>
            <w:shd w:fill="F3F6F8"/>
          </w:tcPr>
          <w:p>
            <w:r>
              <w:rPr>
                <w:sz w:val="15"/>
              </w:rPr>
              <w:t>Integration/migration cost; vendor and safety adapters still needed.</w:t>
            </w:r>
          </w:p>
        </w:tc>
      </w:tr>
      <w:tr>
        <w:trPr>
          <w:cantSplit/>
        </w:trPr>
        <w:tc>
          <w:tcPr>
            <w:tcW w:type="dxa" w:w="2448"/>
            <w:tcMar>
              <w:top w:w="65" w:type="dxa"/>
              <w:start w:w="65" w:type="dxa"/>
              <w:bottom w:w="65" w:type="dxa"/>
              <w:end w:w="65" w:type="dxa"/>
            </w:tcMar>
            <w:vAlign w:val="top"/>
          </w:tcPr>
          <w:p>
            <w:r>
              <w:rPr>
                <w:b/>
                <w:color w:val="17324D"/>
                <w:sz w:val="15"/>
              </w:rPr>
              <w:t>Measurement templates only</w:t>
            </w:r>
          </w:p>
        </w:tc>
        <w:tc>
          <w:tcPr>
            <w:tcW w:type="dxa" w:w="3672"/>
            <w:tcMar>
              <w:top w:w="65" w:type="dxa"/>
              <w:start w:w="65" w:type="dxa"/>
              <w:bottom w:w="65" w:type="dxa"/>
              <w:end w:w="65" w:type="dxa"/>
            </w:tcMar>
            <w:vAlign w:val="top"/>
          </w:tcPr>
          <w:p>
            <w:r>
              <w:rPr>
                <w:sz w:val="15"/>
              </w:rPr>
              <w:t>Lowest risk/support burden for common experiments.</w:t>
            </w:r>
          </w:p>
        </w:tc>
        <w:tc>
          <w:tcPr>
            <w:tcW w:type="dxa" w:w="3744"/>
            <w:tcMar>
              <w:top w:w="65" w:type="dxa"/>
              <w:start w:w="65" w:type="dxa"/>
              <w:bottom w:w="65" w:type="dxa"/>
              <w:end w:w="65" w:type="dxa"/>
            </w:tcMar>
            <w:vAlign w:val="top"/>
          </w:tcPr>
          <w:p>
            <w:r>
              <w:rPr>
                <w:sz w:val="15"/>
              </w:rPr>
              <w:t>Cannot cover novel devices/logic; not a community extension model.</w:t>
            </w:r>
          </w:p>
        </w:tc>
      </w:tr>
    </w:tbl>
    <w:p/>
    <w:tbl>
      <w:tblPr>
        <w:tblW w:type="auto" w:w="0"/>
        <w:jc w:val="left"/>
        <w:tblLayout w:type="fixed"/>
        <w:tblLook w:firstColumn="1" w:firstRow="1" w:lastColumn="0" w:lastRow="0" w:noHBand="0" w:noVBand="1" w:val="04A0"/>
      </w:tblPr>
      <w:tblGrid>
        <w:gridCol w:w="1944"/>
        <w:gridCol w:w="7920"/>
      </w:tblGrid>
      <w:tr>
        <w:tc>
          <w:tcPr>
            <w:tcW w:type="dxa" w:w="1944"/>
            <w:shd w:fill="8A5A00"/>
            <w:tcMar>
              <w:top w:w="100" w:type="dxa"/>
              <w:start w:w="100" w:type="dxa"/>
              <w:bottom w:w="100" w:type="dxa"/>
              <w:end w:w="100" w:type="dxa"/>
            </w:tcMar>
            <w:vAlign w:val="center"/>
          </w:tcPr>
          <w:p>
            <w:pPr>
              <w:jc w:val="center"/>
            </w:pPr>
            <w:r>
              <w:rPr>
                <w:b/>
                <w:color w:val="FFFFFF"/>
                <w:sz w:val="16"/>
              </w:rPr>
              <w:t>NEXT DECISIONS</w:t>
            </w:r>
          </w:p>
        </w:tc>
        <w:tc>
          <w:tcPr>
            <w:tcW w:type="dxa" w:w="7920"/>
            <w:shd w:fill="EAF3F5"/>
            <w:tcMar>
              <w:top w:w="100" w:type="dxa"/>
              <w:start w:w="100" w:type="dxa"/>
              <w:bottom w:w="100" w:type="dxa"/>
              <w:end w:w="100" w:type="dxa"/>
            </w:tcMar>
            <w:vAlign w:val="center"/>
          </w:tcPr>
          <w:p>
            <w:r>
              <w:rPr>
                <w:sz w:val="18"/>
              </w:rPr>
              <w:t>Trust, first pilot, local versus remote scope, procedure expressiveness, authoring UX, and provenance questions are collected in QUESTIONS_20260910.docx.</w:t>
            </w:r>
          </w:p>
        </w:tc>
      </w:tr>
    </w:tbl>
    <w:p>
      <w:pPr>
        <w:pStyle w:val="Heading1"/>
      </w:pPr>
      <w:r>
        <w:t>Minimum viable extension pilot</w:t>
      </w:r>
    </w:p>
    <w:p>
      <w:pPr>
        <w:pStyle w:val="ListBullet"/>
      </w:pPr>
      <w:r>
        <w:t>Define field_sensor.v1 and implement one read-only built-in adapter plus a fake conformance adapter.</w:t>
      </w:r>
    </w:p>
    <w:p>
      <w:pPr>
        <w:pStyle w:val="ListBullet"/>
      </w:pPr>
      <w:r>
        <w:t>Register built-ins through the new capability registry while preserving today's direct behavior as a regression baseline.</w:t>
      </w:r>
    </w:p>
    <w:p>
      <w:pPr>
        <w:pStyle w:val="ListBullet"/>
      </w:pPr>
      <w:r>
        <w:t>Compile one declarative procedure: read field → acquire spectrum → save; preflight units, availability, ownership, and output count.</w:t>
      </w:r>
    </w:p>
    <w:p>
      <w:pPr>
        <w:pStyle w:val="ListBullet"/>
      </w:pPr>
      <w:r>
        <w:t>Run the same procedure entirely against emulators, then with only the real field sensor, then with the real selected spectrometer.</w:t>
      </w:r>
    </w:p>
    <w:p>
      <w:pPr>
        <w:pStyle w:val="ListBullet"/>
      </w:pPr>
      <w:r>
        <w:t>Record structured progress, cancellation, failure, and final cleanup; do not include custom QWidget or arbitrary Python in the pilot.</w:t>
      </w:r>
    </w:p>
    <w:p>
      <w:pPr>
        <w:pStyle w:val="Heading2"/>
      </w:pPr>
      <w:r>
        <w:t>Pilot acceptance criteria</w:t>
      </w:r>
    </w:p>
    <w:p>
      <w:pPr>
        <w:pStyle w:val="ListBullet"/>
      </w:pPr>
      <w:r>
        <w:t>Discovery performs no plugin import or hardware I/O.</w:t>
      </w:r>
    </w:p>
    <w:p>
      <w:pPr>
        <w:pStyle w:val="ListBullet"/>
      </w:pPr>
      <w:r>
        <w:t>A missing/crashed field sensor cannot stop spectrum acquisition or freeze the GUI.</w:t>
      </w:r>
    </w:p>
    <w:p>
      <w:pPr>
        <w:pStyle w:val="ListBullet"/>
      </w:pPr>
      <w:r>
        <w:t>Procedure cancellation releases every lease and produces an explicit outcome.</w:t>
      </w:r>
    </w:p>
    <w:p>
      <w:pPr>
        <w:pStyle w:val="ListBullet"/>
      </w:pPr>
      <w:r>
        <w:t>The saved result distinguishes manual field, measured field, uncertainty, source identity, and read age after those metadata fields are approved.</w:t>
      </w:r>
    </w:p>
    <w:p>
      <w:pPr>
        <w:pStyle w:val="ListBullet"/>
      </w:pPr>
      <w:r>
        <w:t>The plugin/procedure API is versioned and covered by host-side contract tests before a second device type is attempted.</w:t>
      </w:r>
    </w:p>
    <w:p>
      <w:r>
        <w:br w:type="page"/>
      </w:r>
    </w:p>
    <w:p>
      <w:pPr>
        <w:pStyle w:val="Heading1"/>
      </w:pPr>
      <w:r>
        <w:t>Decisions incorporated on 2026 09 10</w:t>
      </w:r>
    </w:p>
    <w:p>
      <w:r>
        <w:t>The extension runtime remains deferred, but the answered design constraints now narrow the first implementation. The host continues to own acquisition leases, hazardous output cleanup, metadata, cancellation, and audit logs.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17324D"/>
            <w:tcMar>
              <w:top w:w="70" w:type="dxa"/>
              <w:start w:w="70" w:type="dxa"/>
              <w:bottom w:w="70" w:type="dxa"/>
              <w:end w:w="70" w:type="dxa"/>
            </w:tcMar>
          </w:tcPr>
          <w:p>
            <w:r>
              <w:rPr>
                <w:b/>
                <w:color w:val="FFFFFF"/>
                <w:sz w:val="14"/>
              </w:rPr>
              <w:t>Area</w:t>
            </w:r>
          </w:p>
        </w:tc>
        <w:tc>
          <w:tcPr>
            <w:tcW w:type="dxa" w:w="3816"/>
            <w:shd w:fill="17324D"/>
            <w:tcMar>
              <w:top w:w="70" w:type="dxa"/>
              <w:start w:w="70" w:type="dxa"/>
              <w:bottom w:w="70" w:type="dxa"/>
              <w:end w:w="70" w:type="dxa"/>
            </w:tcMar>
          </w:tcPr>
          <w:p>
            <w:r>
              <w:rPr>
                <w:b/>
                <w:color w:val="FFFFFF"/>
                <w:sz w:val="14"/>
              </w:rPr>
              <w:t>Selected direction</w:t>
            </w:r>
          </w:p>
        </w:tc>
        <w:tc>
          <w:tcPr>
            <w:tcW w:type="dxa" w:w="4608"/>
            <w:shd w:fill="17324D"/>
            <w:tcMar>
              <w:top w:w="70" w:type="dxa"/>
              <w:start w:w="70" w:type="dxa"/>
              <w:bottom w:w="70" w:type="dxa"/>
              <w:end w:w="70" w:type="dxa"/>
            </w:tcMar>
          </w:tcPr>
          <w:p>
            <w:r>
              <w:rPr>
                <w:b/>
                <w:color w:val="FFFFFF"/>
                <w:sz w:val="14"/>
              </w:rPr>
              <w:t>Implementation consequence</w:t>
            </w:r>
          </w:p>
        </w:tc>
      </w:tr>
      <w:tr>
        <w:trPr>
          <w:cantSplit/>
        </w:trPr>
        <w:tc>
          <w:tcPr>
            <w:tcW w:type="dxa" w:w="1944"/>
            <w:tcMar>
              <w:top w:w="65" w:type="dxa"/>
              <w:start w:w="65" w:type="dxa"/>
              <w:bottom w:w="65" w:type="dxa"/>
              <w:end w:w="65" w:type="dxa"/>
            </w:tcMar>
            <w:vAlign w:val="top"/>
          </w:tcPr>
          <w:p>
            <w:r>
              <w:rPr>
                <w:b/>
                <w:color w:val="17324D"/>
                <w:sz w:val="14"/>
              </w:rPr>
              <w:t>Install authority</w:t>
            </w:r>
          </w:p>
        </w:tc>
        <w:tc>
          <w:tcPr>
            <w:tcW w:type="dxa" w:w="3816"/>
            <w:tcMar>
              <w:top w:w="65" w:type="dxa"/>
              <w:start w:w="65" w:type="dxa"/>
              <w:bottom w:w="65" w:type="dxa"/>
              <w:end w:w="65" w:type="dxa"/>
            </w:tcMar>
            <w:vAlign w:val="top"/>
          </w:tcPr>
          <w:p>
            <w:r>
              <w:rPr>
                <w:sz w:val="14"/>
              </w:rPr>
              <w:t>Explicit administrative GUI mode such as --admin, combined with ordinary OS write permission.</w:t>
            </w:r>
          </w:p>
        </w:tc>
        <w:tc>
          <w:tcPr>
            <w:tcW w:type="dxa" w:w="4608"/>
            <w:tcMar>
              <w:top w:w="65" w:type="dxa"/>
              <w:start w:w="65" w:type="dxa"/>
              <w:bottom w:w="65" w:type="dxa"/>
              <w:end w:w="65" w:type="dxa"/>
            </w:tcMar>
            <w:vAlign w:val="top"/>
          </w:tcPr>
          <w:p>
            <w:r>
              <w:rPr>
                <w:sz w:val="14"/>
              </w:rPr>
              <w:t>Do not silently enable installation because a Windows account belongs to Administrators. Enabling an installed approved plugin can remain a normal user action.</w:t>
            </w:r>
          </w:p>
        </w:tc>
      </w:tr>
      <w:tr>
        <w:trPr>
          <w:cantSplit/>
        </w:trPr>
        <w:tc>
          <w:tcPr>
            <w:tcW w:type="dxa" w:w="1944"/>
            <w:tcMar>
              <w:top w:w="65" w:type="dxa"/>
              <w:start w:w="65" w:type="dxa"/>
              <w:bottom w:w="65" w:type="dxa"/>
              <w:end w:w="65" w:type="dxa"/>
            </w:tcMar>
            <w:vAlign w:val="top"/>
            <w:shd w:fill="F3F6F8"/>
          </w:tcPr>
          <w:p>
            <w:r>
              <w:rPr>
                <w:b/>
                <w:color w:val="17324D"/>
                <w:sz w:val="14"/>
              </w:rPr>
              <w:t>First plugin</w:t>
            </w:r>
          </w:p>
        </w:tc>
        <w:tc>
          <w:tcPr>
            <w:tcW w:type="dxa" w:w="3816"/>
            <w:tcMar>
              <w:top w:w="65" w:type="dxa"/>
              <w:start w:w="65" w:type="dxa"/>
              <w:bottom w:w="65" w:type="dxa"/>
              <w:end w:w="65" w:type="dxa"/>
            </w:tcMar>
            <w:vAlign w:val="top"/>
            <w:shd w:fill="F3F6F8"/>
          </w:tcPr>
          <w:p>
            <w:r>
              <w:rPr>
                <w:sz w:val="14"/>
              </w:rPr>
              <w:t>Read-only sensor, initially a magnetic-field instrument.</w:t>
            </w:r>
          </w:p>
        </w:tc>
        <w:tc>
          <w:tcPr>
            <w:tcW w:type="dxa" w:w="4608"/>
            <w:tcMar>
              <w:top w:w="65" w:type="dxa"/>
              <w:start w:w="65" w:type="dxa"/>
              <w:bottom w:w="65" w:type="dxa"/>
              <w:end w:w="65" w:type="dxa"/>
            </w:tcMar>
            <w:vAlign w:val="top"/>
            <w:shd w:fill="F3F6F8"/>
          </w:tcPr>
          <w:p>
            <w:r>
              <w:rPr>
                <w:sz w:val="14"/>
              </w:rPr>
              <w:t>Small capability surface, no actuation, immediate metadata use, and a safe conformance pilot.</w:t>
            </w:r>
          </w:p>
        </w:tc>
      </w:tr>
      <w:tr>
        <w:trPr>
          <w:cantSplit/>
        </w:trPr>
        <w:tc>
          <w:tcPr>
            <w:tcW w:type="dxa" w:w="1944"/>
            <w:tcMar>
              <w:top w:w="65" w:type="dxa"/>
              <w:start w:w="65" w:type="dxa"/>
              <w:bottom w:w="65" w:type="dxa"/>
              <w:end w:w="65" w:type="dxa"/>
            </w:tcMar>
            <w:vAlign w:val="top"/>
          </w:tcPr>
          <w:p>
            <w:r>
              <w:rPr>
                <w:b/>
                <w:color w:val="17324D"/>
                <w:sz w:val="14"/>
              </w:rPr>
              <w:t>Authoring</w:t>
            </w:r>
          </w:p>
        </w:tc>
        <w:tc>
          <w:tcPr>
            <w:tcW w:type="dxa" w:w="3816"/>
            <w:tcMar>
              <w:top w:w="65" w:type="dxa"/>
              <w:start w:w="65" w:type="dxa"/>
              <w:bottom w:w="65" w:type="dxa"/>
              <w:end w:w="65" w:type="dxa"/>
            </w:tcMar>
            <w:vAlign w:val="top"/>
          </w:tcPr>
          <w:p>
            <w:r>
              <w:rPr>
                <w:sz w:val="14"/>
              </w:rPr>
              <w:t>Schema-aware text editor with keyword highlighting, generated parameter form, validation, and emulator dry-run preview.</w:t>
            </w:r>
          </w:p>
        </w:tc>
        <w:tc>
          <w:tcPr>
            <w:tcW w:type="dxa" w:w="4608"/>
            <w:tcMar>
              <w:top w:w="65" w:type="dxa"/>
              <w:start w:w="65" w:type="dxa"/>
              <w:bottom w:w="65" w:type="dxa"/>
              <w:end w:w="65" w:type="dxa"/>
            </w:tcMar>
            <w:vAlign w:val="top"/>
          </w:tcPr>
          <w:p>
            <w:r>
              <w:rPr>
                <w:sz w:val="14"/>
              </w:rPr>
              <w:t>One canonical procedure document feeds both text and form views; neither executes while being edited.</w:t>
            </w:r>
          </w:p>
        </w:tc>
      </w:tr>
      <w:tr>
        <w:trPr>
          <w:cantSplit/>
        </w:trPr>
        <w:tc>
          <w:tcPr>
            <w:tcW w:type="dxa" w:w="1944"/>
            <w:tcMar>
              <w:top w:w="65" w:type="dxa"/>
              <w:start w:w="65" w:type="dxa"/>
              <w:bottom w:w="65" w:type="dxa"/>
              <w:end w:w="65" w:type="dxa"/>
            </w:tcMar>
            <w:vAlign w:val="top"/>
            <w:shd w:fill="F3F6F8"/>
          </w:tcPr>
          <w:p>
            <w:r>
              <w:rPr>
                <w:b/>
                <w:color w:val="17324D"/>
                <w:sz w:val="14"/>
              </w:rPr>
              <w:t>Remote scope</w:t>
            </w:r>
          </w:p>
        </w:tc>
        <w:tc>
          <w:tcPr>
            <w:tcW w:type="dxa" w:w="3816"/>
            <w:tcMar>
              <w:top w:w="65" w:type="dxa"/>
              <w:start w:w="65" w:type="dxa"/>
              <w:bottom w:w="65" w:type="dxa"/>
              <w:end w:w="65" w:type="dxa"/>
            </w:tcMar>
            <w:vAlign w:val="top"/>
            <w:shd w:fill="F3F6F8"/>
          </w:tcPr>
          <w:p>
            <w:r>
              <w:rPr>
                <w:sz w:val="14"/>
              </w:rPr>
              <w:t>Network-ready contracts are likely required.</w:t>
            </w:r>
          </w:p>
        </w:tc>
        <w:tc>
          <w:tcPr>
            <w:tcW w:type="dxa" w:w="4608"/>
            <w:tcMar>
              <w:top w:w="65" w:type="dxa"/>
              <w:start w:w="65" w:type="dxa"/>
              <w:bottom w:w="65" w:type="dxa"/>
              <w:end w:w="65" w:type="dxa"/>
            </w:tcMar>
            <w:vAlign w:val="top"/>
            <w:shd w:fill="F3F6F8"/>
          </w:tcPr>
          <w:p>
            <w:r>
              <w:rPr>
                <w:sz w:val="14"/>
              </w:rPr>
              <w:t>Use transport-neutral request/response/event models and avoid passing Python objects or local paths across the boundary.</w:t>
            </w:r>
          </w:p>
        </w:tc>
      </w:tr>
      <w:tr>
        <w:trPr>
          <w:cantSplit/>
        </w:trPr>
        <w:tc>
          <w:tcPr>
            <w:tcW w:type="dxa" w:w="1944"/>
            <w:tcMar>
              <w:top w:w="65" w:type="dxa"/>
              <w:start w:w="65" w:type="dxa"/>
              <w:bottom w:w="65" w:type="dxa"/>
              <w:end w:w="65" w:type="dxa"/>
            </w:tcMar>
            <w:vAlign w:val="top"/>
          </w:tcPr>
          <w:p>
            <w:r>
              <w:rPr>
                <w:b/>
                <w:color w:val="17324D"/>
                <w:sz w:val="14"/>
              </w:rPr>
              <w:t>Procedure language</w:t>
            </w:r>
          </w:p>
        </w:tc>
        <w:tc>
          <w:tcPr>
            <w:tcW w:type="dxa" w:w="3816"/>
            <w:tcMar>
              <w:top w:w="65" w:type="dxa"/>
              <w:start w:w="65" w:type="dxa"/>
              <w:bottom w:w="65" w:type="dxa"/>
              <w:end w:w="65" w:type="dxa"/>
            </w:tcMar>
            <w:vAlign w:val="top"/>
          </w:tcPr>
          <w:p>
            <w:r>
              <w:rPr>
                <w:sz w:val="14"/>
              </w:rPr>
              <w:t>Not yet selected.</w:t>
            </w:r>
          </w:p>
        </w:tc>
        <w:tc>
          <w:tcPr>
            <w:tcW w:type="dxa" w:w="4608"/>
            <w:tcMar>
              <w:top w:w="65" w:type="dxa"/>
              <w:start w:w="65" w:type="dxa"/>
              <w:bottom w:w="65" w:type="dxa"/>
              <w:end w:w="65" w:type="dxa"/>
            </w:tcMar>
            <w:vAlign w:val="top"/>
          </w:tcPr>
          <w:p>
            <w:r>
              <w:rPr>
                <w:sz w:val="14"/>
              </w:rPr>
              <w:t>Compare YAML and JSON source plus a typed internal plan before fixing v1 syntax.</w:t>
            </w:r>
          </w:p>
        </w:tc>
      </w:tr>
      <w:tr>
        <w:trPr>
          <w:cantSplit/>
        </w:trPr>
        <w:tc>
          <w:tcPr>
            <w:tcW w:type="dxa" w:w="1944"/>
            <w:tcMar>
              <w:top w:w="65" w:type="dxa"/>
              <w:start w:w="65" w:type="dxa"/>
              <w:bottom w:w="65" w:type="dxa"/>
              <w:end w:w="65" w:type="dxa"/>
            </w:tcMar>
            <w:vAlign w:val="top"/>
            <w:shd w:fill="F3F6F8"/>
          </w:tcPr>
          <w:p>
            <w:r>
              <w:rPr>
                <w:b/>
                <w:color w:val="17324D"/>
                <w:sz w:val="14"/>
              </w:rPr>
              <w:t>External automation</w:t>
            </w:r>
          </w:p>
        </w:tc>
        <w:tc>
          <w:tcPr>
            <w:tcW w:type="dxa" w:w="3816"/>
            <w:tcMar>
              <w:top w:w="65" w:type="dxa"/>
              <w:start w:w="65" w:type="dxa"/>
              <w:bottom w:w="65" w:type="dxa"/>
              <w:end w:w="65" w:type="dxa"/>
            </w:tcMar>
            <w:vAlign w:val="top"/>
            <w:shd w:fill="F3F6F8"/>
          </w:tcPr>
          <w:p>
            <w:r>
              <w:rPr>
                <w:sz w:val="14"/>
              </w:rPr>
              <w:t>Interaction model not yet selected.</w:t>
            </w:r>
          </w:p>
        </w:tc>
        <w:tc>
          <w:tcPr>
            <w:tcW w:type="dxa" w:w="4608"/>
            <w:tcMar>
              <w:top w:w="65" w:type="dxa"/>
              <w:start w:w="65" w:type="dxa"/>
              <w:bottom w:w="65" w:type="dxa"/>
              <w:end w:w="65" w:type="dxa"/>
            </w:tcMar>
            <w:vAlign w:val="top"/>
            <w:shd w:fill="F3F6F8"/>
          </w:tcPr>
          <w:p>
            <w:r>
              <w:rPr>
                <w:sz w:val="14"/>
              </w:rPr>
              <w:t>Compare GUI-hosted localhost API, headless service, queued jobs, and notebook/IDE clients before exposing commands.</w:t>
            </w:r>
          </w:p>
        </w:tc>
      </w:tr>
    </w:tbl>
    <w:p/>
    <w:p>
      <w:pPr>
        <w:pStyle w:val="Heading1"/>
      </w:pPr>
      <w:r>
        <w:t>Procedure source and execution options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656"/>
            <w:shd w:fill="17324D"/>
            <w:tcMar>
              <w:top w:w="70" w:type="dxa"/>
              <w:start w:w="70" w:type="dxa"/>
              <w:bottom w:w="70" w:type="dxa"/>
              <w:end w:w="70" w:type="dxa"/>
            </w:tcMar>
          </w:tcPr>
          <w:p>
            <w:r>
              <w:rPr>
                <w:b/>
                <w:color w:val="FFFFFF"/>
                <w:sz w:val="13"/>
              </w:rPr>
              <w:t>Option</w:t>
            </w:r>
          </w:p>
        </w:tc>
        <w:tc>
          <w:tcPr>
            <w:tcW w:type="dxa" w:w="2520"/>
            <w:shd w:fill="17324D"/>
            <w:tcMar>
              <w:top w:w="70" w:type="dxa"/>
              <w:start w:w="70" w:type="dxa"/>
              <w:bottom w:w="70" w:type="dxa"/>
              <w:end w:w="70" w:type="dxa"/>
            </w:tcMar>
          </w:tcPr>
          <w:p>
            <w:r>
              <w:rPr>
                <w:b/>
                <w:color w:val="FFFFFF"/>
                <w:sz w:val="13"/>
              </w:rPr>
              <w:t>User interaction</w:t>
            </w:r>
          </w:p>
        </w:tc>
        <w:tc>
          <w:tcPr>
            <w:tcW w:type="dxa" w:w="2088"/>
            <w:shd w:fill="17324D"/>
            <w:tcMar>
              <w:top w:w="70" w:type="dxa"/>
              <w:start w:w="70" w:type="dxa"/>
              <w:bottom w:w="70" w:type="dxa"/>
              <w:end w:w="70" w:type="dxa"/>
            </w:tcMar>
          </w:tcPr>
          <w:p>
            <w:r>
              <w:rPr>
                <w:b/>
                <w:color w:val="FFFFFF"/>
                <w:sz w:val="13"/>
              </w:rPr>
              <w:t>Advantages</w:t>
            </w:r>
          </w:p>
        </w:tc>
        <w:tc>
          <w:tcPr>
            <w:tcW w:type="dxa" w:w="2376"/>
            <w:shd w:fill="17324D"/>
            <w:tcMar>
              <w:top w:w="70" w:type="dxa"/>
              <w:start w:w="70" w:type="dxa"/>
              <w:bottom w:w="70" w:type="dxa"/>
              <w:end w:w="70" w:type="dxa"/>
            </w:tcMar>
          </w:tcPr>
          <w:p>
            <w:r>
              <w:rPr>
                <w:b/>
                <w:color w:val="FFFFFF"/>
                <w:sz w:val="13"/>
              </w:rPr>
              <w:t>Disadvantages</w:t>
            </w:r>
          </w:p>
        </w:tc>
        <w:tc>
          <w:tcPr>
            <w:tcW w:type="dxa" w:w="1800"/>
            <w:shd w:fill="17324D"/>
            <w:tcMar>
              <w:top w:w="70" w:type="dxa"/>
              <w:start w:w="70" w:type="dxa"/>
              <w:bottom w:w="70" w:type="dxa"/>
              <w:end w:w="70" w:type="dxa"/>
            </w:tcMar>
          </w:tcPr>
          <w:p>
            <w:r>
              <w:rPr>
                <w:b/>
                <w:color w:val="FFFFFF"/>
                <w:sz w:val="13"/>
              </w:rPr>
              <w:t>Recommendation</w:t>
            </w:r>
          </w:p>
        </w:tc>
      </w:tr>
      <w:tr>
        <w:trPr>
          <w:cantSplit/>
        </w:trPr>
        <w:tc>
          <w:tcPr>
            <w:tcW w:type="dxa" w:w="1656"/>
            <w:tcMar>
              <w:top w:w="65" w:type="dxa"/>
              <w:start w:w="65" w:type="dxa"/>
              <w:bottom w:w="65" w:type="dxa"/>
              <w:end w:w="65" w:type="dxa"/>
            </w:tcMar>
            <w:vAlign w:val="top"/>
          </w:tcPr>
          <w:p>
            <w:r>
              <w:rPr>
                <w:b/>
                <w:color w:val="17324D"/>
                <w:sz w:val="13"/>
              </w:rPr>
              <w:t>YAML source plus JSON Schema</w:t>
            </w:r>
          </w:p>
        </w:tc>
        <w:tc>
          <w:tcPr>
            <w:tcW w:type="dxa" w:w="2520"/>
            <w:tcMar>
              <w:top w:w="65" w:type="dxa"/>
              <w:start w:w="65" w:type="dxa"/>
              <w:bottom w:w="65" w:type="dxa"/>
              <w:end w:w="65" w:type="dxa"/>
            </w:tcMar>
            <w:vAlign w:val="top"/>
          </w:tcPr>
          <w:p>
            <w:r>
              <w:rPr>
                <w:sz w:val="13"/>
              </w:rPr>
              <w:t>Edit readable YAML; form edits the same model; validate/highlight continuously; dry-run compiles to a plan.</w:t>
            </w:r>
          </w:p>
        </w:tc>
        <w:tc>
          <w:tcPr>
            <w:tcW w:type="dxa" w:w="2088"/>
            <w:tcMar>
              <w:top w:w="65" w:type="dxa"/>
              <w:start w:w="65" w:type="dxa"/>
              <w:bottom w:w="65" w:type="dxa"/>
              <w:end w:w="65" w:type="dxa"/>
            </w:tcMar>
            <w:vAlign w:val="top"/>
          </w:tcPr>
          <w:p>
            <w:r>
              <w:rPr>
                <w:sz w:val="13"/>
              </w:rPr>
              <w:t>Readable units/comments; approachable; mature schema tooling.</w:t>
            </w:r>
          </w:p>
        </w:tc>
        <w:tc>
          <w:tcPr>
            <w:tcW w:type="dxa" w:w="2376"/>
            <w:tcMar>
              <w:top w:w="65" w:type="dxa"/>
              <w:start w:w="65" w:type="dxa"/>
              <w:bottom w:w="65" w:type="dxa"/>
              <w:end w:w="65" w:type="dxa"/>
            </w:tcMar>
            <w:vAlign w:val="top"/>
          </w:tcPr>
          <w:p>
            <w:r>
              <w:rPr>
                <w:sz w:val="13"/>
              </w:rPr>
              <w:t>Whitespace errors; YAML has surprising implicit types unless restricted.</w:t>
            </w:r>
          </w:p>
        </w:tc>
        <w:tc>
          <w:tcPr>
            <w:tcW w:type="dxa" w:w="1800"/>
            <w:tcMar>
              <w:top w:w="65" w:type="dxa"/>
              <w:start w:w="65" w:type="dxa"/>
              <w:bottom w:w="65" w:type="dxa"/>
              <w:end w:w="65" w:type="dxa"/>
            </w:tcMar>
            <w:vAlign w:val="top"/>
          </w:tcPr>
          <w:p>
            <w:r>
              <w:rPr>
                <w:sz w:val="13"/>
              </w:rPr>
              <w:t>Best human-authored v1 if parser uses a safe restricted subset.</w:t>
            </w:r>
          </w:p>
        </w:tc>
      </w:tr>
      <w:tr>
        <w:trPr>
          <w:cantSplit/>
        </w:trPr>
        <w:tc>
          <w:tcPr>
            <w:tcW w:type="dxa" w:w="1656"/>
            <w:tcMar>
              <w:top w:w="65" w:type="dxa"/>
              <w:start w:w="65" w:type="dxa"/>
              <w:bottom w:w="65" w:type="dxa"/>
              <w:end w:w="65" w:type="dxa"/>
            </w:tcMar>
            <w:vAlign w:val="top"/>
            <w:shd w:fill="F3F6F8"/>
          </w:tcPr>
          <w:p>
            <w:r>
              <w:rPr>
                <w:b/>
                <w:color w:val="17324D"/>
                <w:sz w:val="13"/>
              </w:rPr>
              <w:t>JSON source plus JSON Schema</w:t>
            </w:r>
          </w:p>
        </w:tc>
        <w:tc>
          <w:tcPr>
            <w:tcW w:type="dxa" w:w="2520"/>
            <w:tcMar>
              <w:top w:w="65" w:type="dxa"/>
              <w:start w:w="65" w:type="dxa"/>
              <w:bottom w:w="65" w:type="dxa"/>
              <w:end w:w="65" w:type="dxa"/>
            </w:tcMar>
            <w:vAlign w:val="top"/>
            <w:shd w:fill="F3F6F8"/>
          </w:tcPr>
          <w:p>
            <w:r>
              <w:rPr>
                <w:sz w:val="13"/>
              </w:rPr>
              <w:t>Edit strict JSON or use form; validate/highlight; dry-run compiles to the same plan.</w:t>
            </w:r>
          </w:p>
        </w:tc>
        <w:tc>
          <w:tcPr>
            <w:tcW w:type="dxa" w:w="2088"/>
            <w:tcMar>
              <w:top w:w="65" w:type="dxa"/>
              <w:start w:w="65" w:type="dxa"/>
              <w:bottom w:w="65" w:type="dxa"/>
              <w:end w:w="65" w:type="dxa"/>
            </w:tcMar>
            <w:vAlign w:val="top"/>
            <w:shd w:fill="F3F6F8"/>
          </w:tcPr>
          <w:p>
            <w:r>
              <w:rPr>
                <w:sz w:val="13"/>
              </w:rPr>
              <w:t>Unambiguous types; simple interchange; strong tooling.</w:t>
            </w:r>
          </w:p>
        </w:tc>
        <w:tc>
          <w:tcPr>
            <w:tcW w:type="dxa" w:w="2376"/>
            <w:tcMar>
              <w:top w:w="65" w:type="dxa"/>
              <w:start w:w="65" w:type="dxa"/>
              <w:bottom w:w="65" w:type="dxa"/>
              <w:end w:w="65" w:type="dxa"/>
            </w:tcMar>
            <w:vAlign w:val="top"/>
            <w:shd w:fill="F3F6F8"/>
          </w:tcPr>
          <w:p>
            <w:r>
              <w:rPr>
                <w:sz w:val="13"/>
              </w:rPr>
              <w:t>Verbose and less pleasant for long procedures; no comments in standard JSON.</w:t>
            </w:r>
          </w:p>
        </w:tc>
        <w:tc>
          <w:tcPr>
            <w:tcW w:type="dxa" w:w="1800"/>
            <w:tcMar>
              <w:top w:w="65" w:type="dxa"/>
              <w:start w:w="65" w:type="dxa"/>
              <w:bottom w:w="65" w:type="dxa"/>
              <w:end w:w="65" w:type="dxa"/>
            </w:tcMar>
            <w:vAlign w:val="top"/>
            <w:shd w:fill="F3F6F8"/>
          </w:tcPr>
          <w:p>
            <w:r>
              <w:rPr>
                <w:sz w:val="13"/>
              </w:rPr>
              <w:t>Support as canonical interchange even if YAML is primary.</w:t>
            </w:r>
          </w:p>
        </w:tc>
      </w:tr>
      <w:tr>
        <w:trPr>
          <w:cantSplit/>
        </w:trPr>
        <w:tc>
          <w:tcPr>
            <w:tcW w:type="dxa" w:w="1656"/>
            <w:tcMar>
              <w:top w:w="65" w:type="dxa"/>
              <w:start w:w="65" w:type="dxa"/>
              <w:bottom w:w="65" w:type="dxa"/>
              <w:end w:w="65" w:type="dxa"/>
            </w:tcMar>
            <w:vAlign w:val="top"/>
          </w:tcPr>
          <w:p>
            <w:r>
              <w:rPr>
                <w:b/>
                <w:color w:val="17324D"/>
                <w:sz w:val="13"/>
              </w:rPr>
              <w:t>Dual YAML and JSON</w:t>
            </w:r>
          </w:p>
        </w:tc>
        <w:tc>
          <w:tcPr>
            <w:tcW w:type="dxa" w:w="2520"/>
            <w:tcMar>
              <w:top w:w="65" w:type="dxa"/>
              <w:start w:w="65" w:type="dxa"/>
              <w:bottom w:w="65" w:type="dxa"/>
              <w:end w:w="65" w:type="dxa"/>
            </w:tcMar>
            <w:vAlign w:val="top"/>
          </w:tcPr>
          <w:p>
            <w:r>
              <w:rPr>
                <w:sz w:val="13"/>
              </w:rPr>
              <w:t>Open either format; normalize to one typed internal representation; save in chosen format.</w:t>
            </w:r>
          </w:p>
        </w:tc>
        <w:tc>
          <w:tcPr>
            <w:tcW w:type="dxa" w:w="2088"/>
            <w:tcMar>
              <w:top w:w="65" w:type="dxa"/>
              <w:start w:w="65" w:type="dxa"/>
              <w:bottom w:w="65" w:type="dxa"/>
              <w:end w:w="65" w:type="dxa"/>
            </w:tcMar>
            <w:vAlign w:val="top"/>
          </w:tcPr>
          <w:p>
            <w:r>
              <w:rPr>
                <w:sz w:val="13"/>
              </w:rPr>
              <w:t>Meets human and machine needs without two runtimes.</w:t>
            </w:r>
          </w:p>
        </w:tc>
        <w:tc>
          <w:tcPr>
            <w:tcW w:type="dxa" w:w="2376"/>
            <w:tcMar>
              <w:top w:w="65" w:type="dxa"/>
              <w:start w:w="65" w:type="dxa"/>
              <w:bottom w:w="65" w:type="dxa"/>
              <w:end w:w="65" w:type="dxa"/>
            </w:tcMar>
            <w:vAlign w:val="top"/>
          </w:tcPr>
          <w:p>
            <w:r>
              <w:rPr>
                <w:sz w:val="13"/>
              </w:rPr>
              <w:t>More parser/round-trip tests and formatting decisions.</w:t>
            </w:r>
          </w:p>
        </w:tc>
        <w:tc>
          <w:tcPr>
            <w:tcW w:type="dxa" w:w="1800"/>
            <w:tcMar>
              <w:top w:w="65" w:type="dxa"/>
              <w:start w:w="65" w:type="dxa"/>
              <w:bottom w:w="65" w:type="dxa"/>
              <w:end w:w="65" w:type="dxa"/>
            </w:tcMar>
            <w:vAlign w:val="top"/>
          </w:tcPr>
          <w:p>
            <w:r>
              <w:rPr>
                <w:sz w:val="13"/>
              </w:rPr>
              <w:t>Recommended if maintenance cost is acceptable.</w:t>
            </w:r>
          </w:p>
        </w:tc>
      </w:tr>
      <w:tr>
        <w:trPr>
          <w:cantSplit/>
        </w:trPr>
        <w:tc>
          <w:tcPr>
            <w:tcW w:type="dxa" w:w="1656"/>
            <w:tcMar>
              <w:top w:w="65" w:type="dxa"/>
              <w:start w:w="65" w:type="dxa"/>
              <w:bottom w:w="65" w:type="dxa"/>
              <w:end w:w="65" w:type="dxa"/>
            </w:tcMar>
            <w:vAlign w:val="top"/>
            <w:shd w:fill="F3F6F8"/>
          </w:tcPr>
          <w:p>
            <w:r>
              <w:rPr>
                <w:b/>
                <w:color w:val="17324D"/>
                <w:sz w:val="13"/>
              </w:rPr>
              <w:t>Visual graph builder</w:t>
            </w:r>
          </w:p>
        </w:tc>
        <w:tc>
          <w:tcPr>
            <w:tcW w:type="dxa" w:w="2520"/>
            <w:tcMar>
              <w:top w:w="65" w:type="dxa"/>
              <w:start w:w="65" w:type="dxa"/>
              <w:bottom w:w="65" w:type="dxa"/>
              <w:end w:w="65" w:type="dxa"/>
            </w:tcMar>
            <w:vAlign w:val="top"/>
            <w:shd w:fill="F3F6F8"/>
          </w:tcPr>
          <w:p>
            <w:r>
              <w:rPr>
                <w:sz w:val="13"/>
              </w:rPr>
              <w:t>Drag registered steps, connect branches, edit forms, then inspect generated source/plan.</w:t>
            </w:r>
          </w:p>
        </w:tc>
        <w:tc>
          <w:tcPr>
            <w:tcW w:type="dxa" w:w="2088"/>
            <w:tcMar>
              <w:top w:w="65" w:type="dxa"/>
              <w:start w:w="65" w:type="dxa"/>
              <w:bottom w:w="65" w:type="dxa"/>
              <w:end w:w="65" w:type="dxa"/>
            </w:tcMar>
            <w:vAlign w:val="top"/>
            <w:shd w:fill="F3F6F8"/>
          </w:tcPr>
          <w:p>
            <w:r>
              <w:rPr>
                <w:sz w:val="13"/>
              </w:rPr>
              <w:t>Accessible and discoverable.</w:t>
            </w:r>
          </w:p>
        </w:tc>
        <w:tc>
          <w:tcPr>
            <w:tcW w:type="dxa" w:w="2376"/>
            <w:tcMar>
              <w:top w:w="65" w:type="dxa"/>
              <w:start w:w="65" w:type="dxa"/>
              <w:bottom w:w="65" w:type="dxa"/>
              <w:end w:w="65" w:type="dxa"/>
            </w:tcMar>
            <w:vAlign w:val="top"/>
            <w:shd w:fill="F3F6F8"/>
          </w:tcPr>
          <w:p>
            <w:r>
              <w:rPr>
                <w:sz w:val="13"/>
              </w:rPr>
              <w:t>Large UI project; graph/source synchronization; poor first prototype.</w:t>
            </w:r>
          </w:p>
        </w:tc>
        <w:tc>
          <w:tcPr>
            <w:tcW w:type="dxa" w:w="1800"/>
            <w:tcMar>
              <w:top w:w="65" w:type="dxa"/>
              <w:start w:w="65" w:type="dxa"/>
              <w:bottom w:w="65" w:type="dxa"/>
              <w:end w:w="65" w:type="dxa"/>
            </w:tcMar>
            <w:vAlign w:val="top"/>
            <w:shd w:fill="F3F6F8"/>
          </w:tcPr>
          <w:p>
            <w:r>
              <w:rPr>
                <w:sz w:val="13"/>
              </w:rPr>
              <w:t>Add only after the step vocabulary stabilizes.</w:t>
            </w:r>
          </w:p>
        </w:tc>
      </w:tr>
      <w:tr>
        <w:trPr>
          <w:cantSplit/>
        </w:trPr>
        <w:tc>
          <w:tcPr>
            <w:tcW w:type="dxa" w:w="1656"/>
            <w:tcMar>
              <w:top w:w="65" w:type="dxa"/>
              <w:start w:w="65" w:type="dxa"/>
              <w:bottom w:w="65" w:type="dxa"/>
              <w:end w:w="65" w:type="dxa"/>
            </w:tcMar>
            <w:vAlign w:val="top"/>
          </w:tcPr>
          <w:p>
            <w:r>
              <w:rPr>
                <w:b/>
                <w:color w:val="17324D"/>
                <w:sz w:val="13"/>
              </w:rPr>
              <w:t>Python procedure SDK</w:t>
            </w:r>
          </w:p>
        </w:tc>
        <w:tc>
          <w:tcPr>
            <w:tcW w:type="dxa" w:w="2520"/>
            <w:tcMar>
              <w:top w:w="65" w:type="dxa"/>
              <w:start w:w="65" w:type="dxa"/>
              <w:bottom w:w="65" w:type="dxa"/>
              <w:end w:w="65" w:type="dxa"/>
            </w:tcMar>
            <w:vAlign w:val="top"/>
          </w:tcPr>
          <w:p>
            <w:r>
              <w:rPr>
                <w:sz w:val="13"/>
              </w:rPr>
              <w:t>Write code in VS Code/Jupyter and call a permissioned client API from a separate process.</w:t>
            </w:r>
          </w:p>
        </w:tc>
        <w:tc>
          <w:tcPr>
            <w:tcW w:type="dxa" w:w="2088"/>
            <w:tcMar>
              <w:top w:w="65" w:type="dxa"/>
              <w:start w:w="65" w:type="dxa"/>
              <w:bottom w:w="65" w:type="dxa"/>
              <w:end w:w="65" w:type="dxa"/>
            </w:tcMar>
            <w:vAlign w:val="top"/>
          </w:tcPr>
          <w:p>
            <w:r>
              <w:rPr>
                <w:sz w:val="13"/>
              </w:rPr>
              <w:t>Maximum flexibility and normal scientific tooling.</w:t>
            </w:r>
          </w:p>
        </w:tc>
        <w:tc>
          <w:tcPr>
            <w:tcW w:type="dxa" w:w="2376"/>
            <w:tcMar>
              <w:top w:w="65" w:type="dxa"/>
              <w:start w:w="65" w:type="dxa"/>
              <w:bottom w:w="65" w:type="dxa"/>
              <w:end w:w="65" w:type="dxa"/>
            </w:tcMar>
            <w:vAlign w:val="top"/>
          </w:tcPr>
          <w:p>
            <w:r>
              <w:rPr>
                <w:sz w:val="13"/>
              </w:rPr>
              <w:t>Harder reproducibility/cancellation; code can access the host OS; cannot be treated as safe declarative input.</w:t>
            </w:r>
          </w:p>
        </w:tc>
        <w:tc>
          <w:tcPr>
            <w:tcW w:type="dxa" w:w="1800"/>
            <w:tcMar>
              <w:top w:w="65" w:type="dxa"/>
              <w:start w:w="65" w:type="dxa"/>
              <w:bottom w:w="65" w:type="dxa"/>
              <w:end w:w="65" w:type="dxa"/>
            </w:tcMar>
            <w:vAlign w:val="top"/>
          </w:tcPr>
          <w:p>
            <w:r>
              <w:rPr>
                <w:sz w:val="13"/>
              </w:rPr>
              <w:t>Advanced opt-in after the external API is mature.</w:t>
            </w:r>
          </w:p>
        </w:tc>
      </w:tr>
    </w:tbl>
    <w:p/>
    <w:p>
      <w:r>
        <w:t>All source formats should compile into one typed, immutable procedure plan. The compiler resolves units, capabilities, bounded loops, estimated time, frames, memory, files, and leases without hardware side effects. The runner then executes that plan as an event-driven state machine with progress, abort, timeouts, and a mandatory finally cleanup path.</w:t>
      </w:r>
    </w:p>
    <w:p>
      <w:pPr>
        <w:pStyle w:val="Heading1"/>
      </w:pPr>
      <w:r>
        <w:t>External API deployment and interaction options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728"/>
            <w:shd w:fill="17324D"/>
            <w:tcMar>
              <w:top w:w="70" w:type="dxa"/>
              <w:start w:w="70" w:type="dxa"/>
              <w:bottom w:w="70" w:type="dxa"/>
              <w:end w:w="70" w:type="dxa"/>
            </w:tcMar>
          </w:tcPr>
          <w:p>
            <w:r>
              <w:rPr>
                <w:b/>
                <w:color w:val="FFFFFF"/>
                <w:sz w:val="13"/>
              </w:rPr>
              <w:t>Model</w:t>
            </w:r>
          </w:p>
        </w:tc>
        <w:tc>
          <w:tcPr>
            <w:tcW w:type="dxa" w:w="2736"/>
            <w:shd w:fill="17324D"/>
            <w:tcMar>
              <w:top w:w="70" w:type="dxa"/>
              <w:start w:w="70" w:type="dxa"/>
              <w:bottom w:w="70" w:type="dxa"/>
              <w:end w:w="70" w:type="dxa"/>
            </w:tcMar>
          </w:tcPr>
          <w:p>
            <w:r>
              <w:rPr>
                <w:b/>
                <w:color w:val="FFFFFF"/>
                <w:sz w:val="13"/>
              </w:rPr>
              <w:t>How a user works</w:t>
            </w:r>
          </w:p>
        </w:tc>
        <w:tc>
          <w:tcPr>
            <w:tcW w:type="dxa" w:w="2088"/>
            <w:shd w:fill="17324D"/>
            <w:tcMar>
              <w:top w:w="70" w:type="dxa"/>
              <w:start w:w="70" w:type="dxa"/>
              <w:bottom w:w="70" w:type="dxa"/>
              <w:end w:w="70" w:type="dxa"/>
            </w:tcMar>
          </w:tcPr>
          <w:p>
            <w:r>
              <w:rPr>
                <w:b/>
                <w:color w:val="FFFFFF"/>
                <w:sz w:val="13"/>
              </w:rPr>
              <w:t>Advantages</w:t>
            </w:r>
          </w:p>
        </w:tc>
        <w:tc>
          <w:tcPr>
            <w:tcW w:type="dxa" w:w="2448"/>
            <w:shd w:fill="17324D"/>
            <w:tcMar>
              <w:top w:w="70" w:type="dxa"/>
              <w:start w:w="70" w:type="dxa"/>
              <w:bottom w:w="70" w:type="dxa"/>
              <w:end w:w="70" w:type="dxa"/>
            </w:tcMar>
          </w:tcPr>
          <w:p>
            <w:r>
              <w:rPr>
                <w:b/>
                <w:color w:val="FFFFFF"/>
                <w:sz w:val="13"/>
              </w:rPr>
              <w:t>Risks and cost</w:t>
            </w:r>
          </w:p>
        </w:tc>
        <w:tc>
          <w:tcPr>
            <w:tcW w:type="dxa" w:w="1512"/>
            <w:shd w:fill="17324D"/>
            <w:tcMar>
              <w:top w:w="70" w:type="dxa"/>
              <w:start w:w="70" w:type="dxa"/>
              <w:bottom w:w="70" w:type="dxa"/>
              <w:end w:w="70" w:type="dxa"/>
            </w:tcMar>
          </w:tcPr>
          <w:p>
            <w:r>
              <w:rPr>
                <w:b/>
                <w:color w:val="FFFFFF"/>
                <w:sz w:val="13"/>
              </w:rPr>
              <w:t>Best use</w:t>
            </w:r>
          </w:p>
        </w:tc>
      </w:tr>
      <w:tr>
        <w:trPr>
          <w:cantSplit/>
        </w:trPr>
        <w:tc>
          <w:tcPr>
            <w:tcW w:type="dxa" w:w="1728"/>
            <w:tcMar>
              <w:top w:w="65" w:type="dxa"/>
              <w:start w:w="65" w:type="dxa"/>
              <w:bottom w:w="65" w:type="dxa"/>
              <w:end w:w="65" w:type="dxa"/>
            </w:tcMar>
            <w:vAlign w:val="top"/>
          </w:tcPr>
          <w:p>
            <w:r>
              <w:rPr>
                <w:b/>
                <w:color w:val="17324D"/>
                <w:sz w:val="13"/>
              </w:rPr>
              <w:t>GUI-hosted localhost API</w:t>
            </w:r>
          </w:p>
        </w:tc>
        <w:tc>
          <w:tcPr>
            <w:tcW w:type="dxa" w:w="2736"/>
            <w:tcMar>
              <w:top w:w="65" w:type="dxa"/>
              <w:start w:w="65" w:type="dxa"/>
              <w:bottom w:w="65" w:type="dxa"/>
              <w:end w:w="65" w:type="dxa"/>
            </w:tcMar>
            <w:vAlign w:val="top"/>
          </w:tcPr>
          <w:p>
            <w:r>
              <w:rPr>
                <w:sz w:val="13"/>
              </w:rPr>
              <w:t>Start GUI, enable API, connect from VS Code/Jupyter, inspect capabilities, submit a validated procedure, watch events, cancel.</w:t>
            </w:r>
          </w:p>
        </w:tc>
        <w:tc>
          <w:tcPr>
            <w:tcW w:type="dxa" w:w="2088"/>
            <w:tcMar>
              <w:top w:w="65" w:type="dxa"/>
              <w:start w:w="65" w:type="dxa"/>
              <w:bottom w:w="65" w:type="dxa"/>
              <w:end w:w="65" w:type="dxa"/>
            </w:tcMar>
            <w:vAlign w:val="top"/>
          </w:tcPr>
          <w:p>
            <w:r>
              <w:rPr>
                <w:sz w:val="13"/>
              </w:rPr>
              <w:t>Fastest path; reuses current runtime/arbiter and visible safety state.</w:t>
            </w:r>
          </w:p>
        </w:tc>
        <w:tc>
          <w:tcPr>
            <w:tcW w:type="dxa" w:w="2448"/>
            <w:tcMar>
              <w:top w:w="65" w:type="dxa"/>
              <w:start w:w="65" w:type="dxa"/>
              <w:bottom w:w="65" w:type="dxa"/>
              <w:end w:w="65" w:type="dxa"/>
            </w:tcMar>
            <w:vAlign w:val="top"/>
          </w:tcPr>
          <w:p>
            <w:r>
              <w:rPr>
                <w:sz w:val="13"/>
              </w:rPr>
              <w:t>Automation dies with GUI; port/auth/lifecycle UX; remote use requires care.</w:t>
            </w:r>
          </w:p>
        </w:tc>
        <w:tc>
          <w:tcPr>
            <w:tcW w:type="dxa" w:w="1512"/>
            <w:tcMar>
              <w:top w:w="65" w:type="dxa"/>
              <w:start w:w="65" w:type="dxa"/>
              <w:bottom w:w="65" w:type="dxa"/>
              <w:end w:w="65" w:type="dxa"/>
            </w:tcMar>
            <w:vAlign w:val="top"/>
          </w:tcPr>
          <w:p>
            <w:r>
              <w:rPr>
                <w:sz w:val="13"/>
              </w:rPr>
              <w:t>Local advanced-user pilot.</w:t>
            </w:r>
          </w:p>
        </w:tc>
      </w:tr>
      <w:tr>
        <w:trPr>
          <w:cantSplit/>
        </w:trPr>
        <w:tc>
          <w:tcPr>
            <w:tcW w:type="dxa" w:w="1728"/>
            <w:tcMar>
              <w:top w:w="65" w:type="dxa"/>
              <w:start w:w="65" w:type="dxa"/>
              <w:bottom w:w="65" w:type="dxa"/>
              <w:end w:w="65" w:type="dxa"/>
            </w:tcMar>
            <w:vAlign w:val="top"/>
            <w:shd w:fill="F3F6F8"/>
          </w:tcPr>
          <w:p>
            <w:r>
              <w:rPr>
                <w:b/>
                <w:color w:val="17324D"/>
                <w:sz w:val="13"/>
              </w:rPr>
              <w:t>Headless measurement service plus GUI client</w:t>
            </w:r>
          </w:p>
        </w:tc>
        <w:tc>
          <w:tcPr>
            <w:tcW w:type="dxa" w:w="2736"/>
            <w:tcMar>
              <w:top w:w="65" w:type="dxa"/>
              <w:start w:w="65" w:type="dxa"/>
              <w:bottom w:w="65" w:type="dxa"/>
              <w:end w:w="65" w:type="dxa"/>
            </w:tcMar>
            <w:vAlign w:val="top"/>
            <w:shd w:fill="F3F6F8"/>
          </w:tcPr>
          <w:p>
            <w:r>
              <w:rPr>
                <w:sz w:val="13"/>
              </w:rPr>
              <w:t>Start managed service at instrument PC; GUI/notebook/remote client authenticates and submits jobs.</w:t>
            </w:r>
          </w:p>
        </w:tc>
        <w:tc>
          <w:tcPr>
            <w:tcW w:type="dxa" w:w="2088"/>
            <w:tcMar>
              <w:top w:w="65" w:type="dxa"/>
              <w:start w:w="65" w:type="dxa"/>
              <w:bottom w:w="65" w:type="dxa"/>
              <w:end w:w="65" w:type="dxa"/>
            </w:tcMar>
            <w:vAlign w:val="top"/>
            <w:shd w:fill="F3F6F8"/>
          </w:tcPr>
          <w:p>
            <w:r>
              <w:rPr>
                <w:sz w:val="13"/>
              </w:rPr>
              <w:t>Clean remote model; GUI restart does not kill service; multiple clients can queue.</w:t>
            </w:r>
          </w:p>
        </w:tc>
        <w:tc>
          <w:tcPr>
            <w:tcW w:type="dxa" w:w="2448"/>
            <w:tcMar>
              <w:top w:w="65" w:type="dxa"/>
              <w:start w:w="65" w:type="dxa"/>
              <w:bottom w:w="65" w:type="dxa"/>
              <w:end w:w="65" w:type="dxa"/>
            </w:tcMar>
            <w:vAlign w:val="top"/>
            <w:shd w:fill="F3F6F8"/>
          </w:tcPr>
          <w:p>
            <w:r>
              <w:rPr>
                <w:sz w:val="13"/>
              </w:rPr>
              <w:t>Largest refactor; service deployment, ownership, authorization, upgrades, and physical-presence policy.</w:t>
            </w:r>
          </w:p>
        </w:tc>
        <w:tc>
          <w:tcPr>
            <w:tcW w:type="dxa" w:w="1512"/>
            <w:tcMar>
              <w:top w:w="65" w:type="dxa"/>
              <w:start w:w="65" w:type="dxa"/>
              <w:bottom w:w="65" w:type="dxa"/>
              <w:end w:w="65" w:type="dxa"/>
            </w:tcMar>
            <w:vAlign w:val="top"/>
            <w:shd w:fill="F3F6F8"/>
          </w:tcPr>
          <w:p>
            <w:r>
              <w:rPr>
                <w:sz w:val="13"/>
              </w:rPr>
              <w:t>Recommended long-term remote architecture.</w:t>
            </w:r>
          </w:p>
        </w:tc>
      </w:tr>
      <w:tr>
        <w:trPr>
          <w:cantSplit/>
        </w:trPr>
        <w:tc>
          <w:tcPr>
            <w:tcW w:type="dxa" w:w="1728"/>
            <w:tcMar>
              <w:top w:w="65" w:type="dxa"/>
              <w:start w:w="65" w:type="dxa"/>
              <w:bottom w:w="65" w:type="dxa"/>
              <w:end w:w="65" w:type="dxa"/>
            </w:tcMar>
            <w:vAlign w:val="top"/>
          </w:tcPr>
          <w:p>
            <w:r>
              <w:rPr>
                <w:b/>
                <w:color w:val="17324D"/>
                <w:sz w:val="13"/>
              </w:rPr>
              <w:t>Queued job directory or broker</w:t>
            </w:r>
          </w:p>
        </w:tc>
        <w:tc>
          <w:tcPr>
            <w:tcW w:type="dxa" w:w="2736"/>
            <w:tcMar>
              <w:top w:w="65" w:type="dxa"/>
              <w:start w:w="65" w:type="dxa"/>
              <w:bottom w:w="65" w:type="dxa"/>
              <w:end w:w="65" w:type="dxa"/>
            </w:tcMar>
            <w:vAlign w:val="top"/>
          </w:tcPr>
          <w:p>
            <w:r>
              <w:rPr>
                <w:sz w:val="13"/>
              </w:rPr>
              <w:t>Export signed/validated procedure job; service accepts it and writes progress/results.</w:t>
            </w:r>
          </w:p>
        </w:tc>
        <w:tc>
          <w:tcPr>
            <w:tcW w:type="dxa" w:w="2088"/>
            <w:tcMar>
              <w:top w:w="65" w:type="dxa"/>
              <w:start w:w="65" w:type="dxa"/>
              <w:bottom w:w="65" w:type="dxa"/>
              <w:end w:w="65" w:type="dxa"/>
            </w:tcMar>
            <w:vAlign w:val="top"/>
          </w:tcPr>
          <w:p>
            <w:r>
              <w:rPr>
                <w:sz w:val="13"/>
              </w:rPr>
              <w:t>Simple disconnection tolerance and audit trail.</w:t>
            </w:r>
          </w:p>
        </w:tc>
        <w:tc>
          <w:tcPr>
            <w:tcW w:type="dxa" w:w="2448"/>
            <w:tcMar>
              <w:top w:w="65" w:type="dxa"/>
              <w:start w:w="65" w:type="dxa"/>
              <w:bottom w:w="65" w:type="dxa"/>
              <w:end w:w="65" w:type="dxa"/>
            </w:tcMar>
            <w:vAlign w:val="top"/>
          </w:tcPr>
          <w:p>
            <w:r>
              <w:rPr>
                <w:sz w:val="13"/>
              </w:rPr>
              <w:t>Not interactive; cancellation/status latency; file/broker security.</w:t>
            </w:r>
          </w:p>
        </w:tc>
        <w:tc>
          <w:tcPr>
            <w:tcW w:type="dxa" w:w="1512"/>
            <w:tcMar>
              <w:top w:w="65" w:type="dxa"/>
              <w:start w:w="65" w:type="dxa"/>
              <w:bottom w:w="65" w:type="dxa"/>
              <w:end w:w="65" w:type="dxa"/>
            </w:tcMar>
            <w:vAlign w:val="top"/>
          </w:tcPr>
          <w:p>
            <w:r>
              <w:rPr>
                <w:sz w:val="13"/>
              </w:rPr>
              <w:t>Batch facilities or intermittent links.</w:t>
            </w:r>
          </w:p>
        </w:tc>
      </w:tr>
      <w:tr>
        <w:trPr>
          <w:cantSplit/>
        </w:trPr>
        <w:tc>
          <w:tcPr>
            <w:tcW w:type="dxa" w:w="1728"/>
            <w:tcMar>
              <w:top w:w="65" w:type="dxa"/>
              <w:start w:w="65" w:type="dxa"/>
              <w:bottom w:w="65" w:type="dxa"/>
              <w:end w:w="65" w:type="dxa"/>
            </w:tcMar>
            <w:vAlign w:val="top"/>
            <w:shd w:fill="F3F6F8"/>
          </w:tcPr>
          <w:p>
            <w:r>
              <w:rPr>
                <w:b/>
                <w:color w:val="17324D"/>
                <w:sz w:val="13"/>
              </w:rPr>
              <w:t>Direct plugin RPC only</w:t>
            </w:r>
          </w:p>
        </w:tc>
        <w:tc>
          <w:tcPr>
            <w:tcW w:type="dxa" w:w="2736"/>
            <w:tcMar>
              <w:top w:w="65" w:type="dxa"/>
              <w:start w:w="65" w:type="dxa"/>
              <w:bottom w:w="65" w:type="dxa"/>
              <w:end w:w="65" w:type="dxa"/>
            </w:tcMar>
            <w:vAlign w:val="top"/>
            <w:shd w:fill="F3F6F8"/>
          </w:tcPr>
          <w:p>
            <w:r>
              <w:rPr>
                <w:sz w:val="13"/>
              </w:rPr>
              <w:t>Each remote instrument exposes capability RPC; local GUI still coordinates workflows.</w:t>
            </w:r>
          </w:p>
        </w:tc>
        <w:tc>
          <w:tcPr>
            <w:tcW w:type="dxa" w:w="2088"/>
            <w:tcMar>
              <w:top w:w="65" w:type="dxa"/>
              <w:start w:w="65" w:type="dxa"/>
              <w:bottom w:w="65" w:type="dxa"/>
              <w:end w:w="65" w:type="dxa"/>
            </w:tcMar>
            <w:vAlign w:val="top"/>
            <w:shd w:fill="F3F6F8"/>
          </w:tcPr>
          <w:p>
            <w:r>
              <w:rPr>
                <w:sz w:val="13"/>
              </w:rPr>
              <w:t>Incremental remote devices and language independence.</w:t>
            </w:r>
          </w:p>
        </w:tc>
        <w:tc>
          <w:tcPr>
            <w:tcW w:type="dxa" w:w="2448"/>
            <w:tcMar>
              <w:top w:w="65" w:type="dxa"/>
              <w:start w:w="65" w:type="dxa"/>
              <w:bottom w:w="65" w:type="dxa"/>
              <w:end w:w="65" w:type="dxa"/>
            </w:tcMar>
            <w:vAlign w:val="top"/>
            <w:shd w:fill="F3F6F8"/>
          </w:tcPr>
          <w:p>
            <w:r>
              <w:rPr>
                <w:sz w:val="13"/>
              </w:rPr>
              <w:t>Network jitter enters cross-device timing; distributed cleanup and clock semantics are difficult.</w:t>
            </w:r>
          </w:p>
        </w:tc>
        <w:tc>
          <w:tcPr>
            <w:tcW w:type="dxa" w:w="1512"/>
            <w:tcMar>
              <w:top w:w="65" w:type="dxa"/>
              <w:start w:w="65" w:type="dxa"/>
              <w:bottom w:w="65" w:type="dxa"/>
              <w:end w:w="65" w:type="dxa"/>
            </w:tcMar>
            <w:vAlign w:val="top"/>
            <w:shd w:fill="F3F6F8"/>
          </w:tcPr>
          <w:p>
            <w:r>
              <w:rPr>
                <w:sz w:val="13"/>
              </w:rPr>
              <w:t>Remote non-time-critical sensors first.</w:t>
            </w:r>
          </w:p>
        </w:tc>
      </w:tr>
      <w:tr>
        <w:trPr>
          <w:cantSplit/>
        </w:trPr>
        <w:tc>
          <w:tcPr>
            <w:tcW w:type="dxa" w:w="1728"/>
            <w:tcMar>
              <w:top w:w="65" w:type="dxa"/>
              <w:start w:w="65" w:type="dxa"/>
              <w:bottom w:w="65" w:type="dxa"/>
              <w:end w:w="65" w:type="dxa"/>
            </w:tcMar>
            <w:vAlign w:val="top"/>
          </w:tcPr>
          <w:p>
            <w:r>
              <w:rPr>
                <w:b/>
                <w:color w:val="17324D"/>
                <w:sz w:val="13"/>
              </w:rPr>
              <w:t>Integrated Python IDE</w:t>
            </w:r>
          </w:p>
        </w:tc>
        <w:tc>
          <w:tcPr>
            <w:tcW w:type="dxa" w:w="2736"/>
            <w:tcMar>
              <w:top w:w="65" w:type="dxa"/>
              <w:start w:w="65" w:type="dxa"/>
              <w:bottom w:w="65" w:type="dxa"/>
              <w:end w:w="65" w:type="dxa"/>
            </w:tcMar>
            <w:vAlign w:val="top"/>
          </w:tcPr>
          <w:p>
            <w:r>
              <w:rPr>
                <w:sz w:val="13"/>
              </w:rPr>
              <w:t>Write and execute arbitrary Python inside the GUI.</w:t>
            </w:r>
          </w:p>
        </w:tc>
        <w:tc>
          <w:tcPr>
            <w:tcW w:type="dxa" w:w="2088"/>
            <w:tcMar>
              <w:top w:w="65" w:type="dxa"/>
              <w:start w:w="65" w:type="dxa"/>
              <w:bottom w:w="65" w:type="dxa"/>
              <w:end w:w="65" w:type="dxa"/>
            </w:tcMar>
            <w:vAlign w:val="top"/>
          </w:tcPr>
          <w:p>
            <w:r>
              <w:rPr>
                <w:sz w:val="13"/>
              </w:rPr>
              <w:t>Single-window convenience.</w:t>
            </w:r>
          </w:p>
        </w:tc>
        <w:tc>
          <w:tcPr>
            <w:tcW w:type="dxa" w:w="2448"/>
            <w:tcMar>
              <w:top w:w="65" w:type="dxa"/>
              <w:start w:w="65" w:type="dxa"/>
              <w:bottom w:w="65" w:type="dxa"/>
              <w:end w:w="65" w:type="dxa"/>
            </w:tcMar>
            <w:vAlign w:val="top"/>
          </w:tcPr>
          <w:p>
            <w:r>
              <w:rPr>
                <w:sz w:val="13"/>
              </w:rPr>
              <w:t>Can freeze UI, bypass safety/metadata, and creates a full editor/debugger/environment product.</w:t>
            </w:r>
          </w:p>
        </w:tc>
        <w:tc>
          <w:tcPr>
            <w:tcW w:type="dxa" w:w="1512"/>
            <w:tcMar>
              <w:top w:w="65" w:type="dxa"/>
              <w:start w:w="65" w:type="dxa"/>
              <w:bottom w:w="65" w:type="dxa"/>
              <w:end w:w="65" w:type="dxa"/>
            </w:tcMar>
            <w:vAlign w:val="top"/>
          </w:tcPr>
          <w:p>
            <w:r>
              <w:rPr>
                <w:sz w:val="13"/>
              </w:rPr>
              <w:t>Do not prioritize.</w:t>
            </w:r>
          </w:p>
        </w:tc>
      </w:tr>
    </w:tbl>
    <w:p/>
    <w:p>
      <w:pPr>
        <w:pStyle w:val="ListBullet"/>
      </w:pPr>
      <w:r>
        <w:t>Local API v1 should expose identity/capability discovery, procedure validation and dry run, job submission, progress/events, cancellation, result references, and connection state. It should not expose raw MainWindow or vendor objects.</w:t>
      </w:r>
    </w:p>
    <w:p>
      <w:pPr>
        <w:pStyle w:val="ListBullet"/>
      </w:pPr>
      <w:r>
        <w:t>Remote requests need authentication, TLS or an authenticated tunnel, named user/session identity, explicit resource leases, replay-resistant command IDs, deadlines, and a host-side laser policy.</w:t>
      </w:r>
    </w:p>
    <w:p>
      <w:pPr>
        <w:pStyle w:val="ListBullet"/>
      </w:pPr>
      <w:r>
        <w:t>Time-sensitive multi-instrument steps should execute on the instrument host. A remote client submits a plan; it must not issue millisecond laser and detector commands over the network.</w:t>
      </w:r>
    </w:p>
    <w:p>
      <w:pPr>
        <w:pStyle w:val="ListBullet"/>
      </w:pPr>
      <w:r>
        <w:t>Large spectra/images should use bounded streaming or shared/object storage references rather than embedding arrays in control messages.</w:t>
      </w:r>
    </w:p>
    <w:p>
      <w:pPr>
        <w:pStyle w:val="Heading1"/>
      </w:pPr>
      <w:r>
        <w:t>Revised implementation roadmap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008"/>
            <w:shd w:fill="17324D"/>
            <w:tcMar>
              <w:top w:w="70" w:type="dxa"/>
              <w:start w:w="70" w:type="dxa"/>
              <w:bottom w:w="70" w:type="dxa"/>
              <w:end w:w="70" w:type="dxa"/>
            </w:tcMar>
          </w:tcPr>
          <w:p>
            <w:r>
              <w:rPr>
                <w:b/>
                <w:color w:val="FFFFFF"/>
                <w:sz w:val="14"/>
              </w:rPr>
              <w:t>Stage</w:t>
            </w:r>
          </w:p>
        </w:tc>
        <w:tc>
          <w:tcPr>
            <w:tcW w:type="dxa" w:w="6552"/>
            <w:shd w:fill="17324D"/>
            <w:tcMar>
              <w:top w:w="70" w:type="dxa"/>
              <w:start w:w="70" w:type="dxa"/>
              <w:bottom w:w="70" w:type="dxa"/>
              <w:end w:w="70" w:type="dxa"/>
            </w:tcMar>
          </w:tcPr>
          <w:p>
            <w:r>
              <w:rPr>
                <w:b/>
                <w:color w:val="FFFFFF"/>
                <w:sz w:val="14"/>
              </w:rPr>
              <w:t>Implementation</w:t>
            </w:r>
          </w:p>
        </w:tc>
        <w:tc>
          <w:tcPr>
            <w:tcW w:type="dxa" w:w="3096"/>
            <w:shd w:fill="17324D"/>
            <w:tcMar>
              <w:top w:w="70" w:type="dxa"/>
              <w:start w:w="70" w:type="dxa"/>
              <w:bottom w:w="70" w:type="dxa"/>
              <w:end w:w="70" w:type="dxa"/>
            </w:tcMar>
          </w:tcPr>
          <w:p>
            <w:r>
              <w:rPr>
                <w:b/>
                <w:color w:val="FFFFFF"/>
                <w:sz w:val="14"/>
              </w:rPr>
              <w:t>Exit evidence</w:t>
            </w:r>
          </w:p>
        </w:tc>
      </w:tr>
      <w:tr>
        <w:trPr>
          <w:cantSplit/>
        </w:trPr>
        <w:tc>
          <w:tcPr>
            <w:tcW w:type="dxa" w:w="1008"/>
            <w:tcMar>
              <w:top w:w="65" w:type="dxa"/>
              <w:start w:w="65" w:type="dxa"/>
              <w:bottom w:w="65" w:type="dxa"/>
              <w:end w:w="65" w:type="dxa"/>
            </w:tcMar>
            <w:vAlign w:val="top"/>
          </w:tcPr>
          <w:p>
            <w:r>
              <w:rPr>
                <w:b/>
                <w:color w:val="17324D"/>
                <w:sz w:val="14"/>
              </w:rPr>
              <w:t>One</w:t>
            </w:r>
          </w:p>
        </w:tc>
        <w:tc>
          <w:tcPr>
            <w:tcW w:type="dxa" w:w="6552"/>
            <w:tcMar>
              <w:top w:w="65" w:type="dxa"/>
              <w:start w:w="65" w:type="dxa"/>
              <w:bottom w:w="65" w:type="dxa"/>
              <w:end w:w="65" w:type="dxa"/>
            </w:tcMar>
            <w:vAlign w:val="top"/>
          </w:tcPr>
          <w:p>
            <w:r>
              <w:rPr>
                <w:sz w:val="14"/>
              </w:rPr>
              <w:t>Extract stable identity, connection, read-only sensor, spectrometer, power, laser, progress, error, and cancellation contracts from built-ins.</w:t>
            </w:r>
          </w:p>
        </w:tc>
        <w:tc>
          <w:tcPr>
            <w:tcW w:type="dxa" w:w="3096"/>
            <w:tcMar>
              <w:top w:w="65" w:type="dxa"/>
              <w:start w:w="65" w:type="dxa"/>
              <w:bottom w:w="65" w:type="dxa"/>
              <w:end w:w="65" w:type="dxa"/>
            </w:tcMar>
            <w:vAlign w:val="top"/>
          </w:tcPr>
          <w:p>
            <w:r>
              <w:rPr>
                <w:sz w:val="14"/>
              </w:rPr>
              <w:t>Built-ins pass contract tests without dynamic loading.</w:t>
            </w:r>
          </w:p>
        </w:tc>
      </w:tr>
      <w:tr>
        <w:trPr>
          <w:cantSplit/>
        </w:trPr>
        <w:tc>
          <w:tcPr>
            <w:tcW w:type="dxa" w:w="1008"/>
            <w:tcMar>
              <w:top w:w="65" w:type="dxa"/>
              <w:start w:w="65" w:type="dxa"/>
              <w:bottom w:w="65" w:type="dxa"/>
              <w:end w:w="65" w:type="dxa"/>
            </w:tcMar>
            <w:vAlign w:val="top"/>
            <w:shd w:fill="F3F6F8"/>
          </w:tcPr>
          <w:p>
            <w:r>
              <w:rPr>
                <w:b/>
                <w:color w:val="17324D"/>
                <w:sz w:val="14"/>
              </w:rPr>
              <w:t>Two</w:t>
            </w:r>
          </w:p>
        </w:tc>
        <w:tc>
          <w:tcPr>
            <w:tcW w:type="dxa" w:w="6552"/>
            <w:tcMar>
              <w:top w:w="65" w:type="dxa"/>
              <w:start w:w="65" w:type="dxa"/>
              <w:bottom w:w="65" w:type="dxa"/>
              <w:end w:w="65" w:type="dxa"/>
            </w:tcMar>
            <w:vAlign w:val="top"/>
            <w:shd w:fill="F3F6F8"/>
          </w:tcPr>
          <w:p>
            <w:r>
              <w:rPr>
                <w:sz w:val="14"/>
              </w:rPr>
              <w:t>Add ExtensionCatalog manifest validation and --admin install/remove flow; normal users enable only installed approved entries.</w:t>
            </w:r>
          </w:p>
        </w:tc>
        <w:tc>
          <w:tcPr>
            <w:tcW w:type="dxa" w:w="3096"/>
            <w:tcMar>
              <w:top w:w="65" w:type="dxa"/>
              <w:start w:w="65" w:type="dxa"/>
              <w:bottom w:w="65" w:type="dxa"/>
              <w:end w:w="65" w:type="dxa"/>
            </w:tcMar>
            <w:vAlign w:val="top"/>
            <w:shd w:fill="F3F6F8"/>
          </w:tcPr>
          <w:p>
            <w:r>
              <w:rPr>
                <w:sz w:val="14"/>
              </w:rPr>
              <w:t>Discovery performs no import or hardware I/O; incompatible entries remain diagnosable.</w:t>
            </w:r>
          </w:p>
        </w:tc>
      </w:tr>
      <w:tr>
        <w:trPr>
          <w:cantSplit/>
        </w:trPr>
        <w:tc>
          <w:tcPr>
            <w:tcW w:type="dxa" w:w="1008"/>
            <w:tcMar>
              <w:top w:w="65" w:type="dxa"/>
              <w:start w:w="65" w:type="dxa"/>
              <w:bottom w:w="65" w:type="dxa"/>
              <w:end w:w="65" w:type="dxa"/>
            </w:tcMar>
            <w:vAlign w:val="top"/>
          </w:tcPr>
          <w:p>
            <w:r>
              <w:rPr>
                <w:b/>
                <w:color w:val="17324D"/>
                <w:sz w:val="14"/>
              </w:rPr>
              <w:t>Three</w:t>
            </w:r>
          </w:p>
        </w:tc>
        <w:tc>
          <w:tcPr>
            <w:tcW w:type="dxa" w:w="6552"/>
            <w:tcMar>
              <w:top w:w="65" w:type="dxa"/>
              <w:start w:w="65" w:type="dxa"/>
              <w:bottom w:w="65" w:type="dxa"/>
              <w:end w:w="65" w:type="dxa"/>
            </w:tcMar>
            <w:vAlign w:val="top"/>
          </w:tcPr>
          <w:p>
            <w:r>
              <w:rPr>
                <w:sz w:val="14"/>
              </w:rPr>
              <w:t>Implement field_sensor.v1 in-process for a trusted built-in and through a supervised fake subprocess.</w:t>
            </w:r>
          </w:p>
        </w:tc>
        <w:tc>
          <w:tcPr>
            <w:tcW w:type="dxa" w:w="3096"/>
            <w:tcMar>
              <w:top w:w="65" w:type="dxa"/>
              <w:start w:w="65" w:type="dxa"/>
              <w:bottom w:w="65" w:type="dxa"/>
              <w:end w:w="65" w:type="dxa"/>
            </w:tcMar>
            <w:vAlign w:val="top"/>
          </w:tcPr>
          <w:p>
            <w:r>
              <w:rPr>
                <w:sz w:val="14"/>
              </w:rPr>
              <w:t>Sensor loss cannot freeze acquisition; value/source/age are available to a record builder but not yet persisted without approval.</w:t>
            </w:r>
          </w:p>
        </w:tc>
      </w:tr>
      <w:tr>
        <w:trPr>
          <w:cantSplit/>
        </w:trPr>
        <w:tc>
          <w:tcPr>
            <w:tcW w:type="dxa" w:w="1008"/>
            <w:tcMar>
              <w:top w:w="65" w:type="dxa"/>
              <w:start w:w="65" w:type="dxa"/>
              <w:bottom w:w="65" w:type="dxa"/>
              <w:end w:w="65" w:type="dxa"/>
            </w:tcMar>
            <w:vAlign w:val="top"/>
            <w:shd w:fill="F3F6F8"/>
          </w:tcPr>
          <w:p>
            <w:r>
              <w:rPr>
                <w:b/>
                <w:color w:val="17324D"/>
                <w:sz w:val="14"/>
              </w:rPr>
              <w:t>Four</w:t>
            </w:r>
          </w:p>
        </w:tc>
        <w:tc>
          <w:tcPr>
            <w:tcW w:type="dxa" w:w="6552"/>
            <w:tcMar>
              <w:top w:w="65" w:type="dxa"/>
              <w:start w:w="65" w:type="dxa"/>
              <w:bottom w:w="65" w:type="dxa"/>
              <w:end w:w="65" w:type="dxa"/>
            </w:tcMar>
            <w:vAlign w:val="top"/>
            <w:shd w:fill="F3F6F8"/>
          </w:tcPr>
          <w:p>
            <w:r>
              <w:rPr>
                <w:sz w:val="14"/>
              </w:rPr>
              <w:t>Define restricted YAML/JSON Schema, typed internal plan, step registry, compiler, form/text synchronization, highlighting, and emulator dry run.</w:t>
            </w:r>
          </w:p>
        </w:tc>
        <w:tc>
          <w:tcPr>
            <w:tcW w:type="dxa" w:w="3096"/>
            <w:tcMar>
              <w:top w:w="65" w:type="dxa"/>
              <w:start w:w="65" w:type="dxa"/>
              <w:bottom w:w="65" w:type="dxa"/>
              <w:end w:w="65" w:type="dxa"/>
            </w:tcMar>
            <w:vAlign w:val="top"/>
            <w:shd w:fill="F3F6F8"/>
          </w:tcPr>
          <w:p>
            <w:r>
              <w:rPr>
                <w:sz w:val="14"/>
              </w:rPr>
              <w:t>A read-field then acquire then save procedure validates and previews without side effects.</w:t>
            </w:r>
          </w:p>
        </w:tc>
      </w:tr>
      <w:tr>
        <w:trPr>
          <w:cantSplit/>
        </w:trPr>
        <w:tc>
          <w:tcPr>
            <w:tcW w:type="dxa" w:w="1008"/>
            <w:tcMar>
              <w:top w:w="65" w:type="dxa"/>
              <w:start w:w="65" w:type="dxa"/>
              <w:bottom w:w="65" w:type="dxa"/>
              <w:end w:w="65" w:type="dxa"/>
            </w:tcMar>
            <w:vAlign w:val="top"/>
          </w:tcPr>
          <w:p>
            <w:r>
              <w:rPr>
                <w:b/>
                <w:color w:val="17324D"/>
                <w:sz w:val="14"/>
              </w:rPr>
              <w:t>Five</w:t>
            </w:r>
          </w:p>
        </w:tc>
        <w:tc>
          <w:tcPr>
            <w:tcW w:type="dxa" w:w="6552"/>
            <w:tcMar>
              <w:top w:w="65" w:type="dxa"/>
              <w:start w:w="65" w:type="dxa"/>
              <w:bottom w:w="65" w:type="dxa"/>
              <w:end w:w="65" w:type="dxa"/>
            </w:tcMar>
            <w:vAlign w:val="top"/>
          </w:tcPr>
          <w:p>
            <w:r>
              <w:rPr>
                <w:sz w:val="14"/>
              </w:rPr>
              <w:t>Add ProcedureRunner using ResourceManager leases, current SequenceArbiter, progress, cancellation, retry policy, and finally cleanup.</w:t>
            </w:r>
          </w:p>
        </w:tc>
        <w:tc>
          <w:tcPr>
            <w:tcW w:type="dxa" w:w="3096"/>
            <w:tcMar>
              <w:top w:w="65" w:type="dxa"/>
              <w:start w:w="65" w:type="dxa"/>
              <w:bottom w:w="65" w:type="dxa"/>
              <w:end w:w="65" w:type="dxa"/>
            </w:tcMar>
            <w:vAlign w:val="top"/>
          </w:tcPr>
          <w:p>
            <w:r>
              <w:rPr>
                <w:sz w:val="14"/>
              </w:rPr>
              <w:t>Emulated and real read-only pilot runs are reproducible and cancellation releases all resources.</w:t>
            </w:r>
          </w:p>
        </w:tc>
      </w:tr>
      <w:tr>
        <w:trPr>
          <w:cantSplit/>
        </w:trPr>
        <w:tc>
          <w:tcPr>
            <w:tcW w:type="dxa" w:w="1008"/>
            <w:tcMar>
              <w:top w:w="65" w:type="dxa"/>
              <w:start w:w="65" w:type="dxa"/>
              <w:bottom w:w="65" w:type="dxa"/>
              <w:end w:w="65" w:type="dxa"/>
            </w:tcMar>
            <w:vAlign w:val="top"/>
            <w:shd w:fill="F3F6F8"/>
          </w:tcPr>
          <w:p>
            <w:r>
              <w:rPr>
                <w:b/>
                <w:color w:val="17324D"/>
                <w:sz w:val="14"/>
              </w:rPr>
              <w:t>Six</w:t>
            </w:r>
          </w:p>
        </w:tc>
        <w:tc>
          <w:tcPr>
            <w:tcW w:type="dxa" w:w="6552"/>
            <w:tcMar>
              <w:top w:w="65" w:type="dxa"/>
              <w:start w:w="65" w:type="dxa"/>
              <w:bottom w:w="65" w:type="dxa"/>
              <w:end w:w="65" w:type="dxa"/>
            </w:tcMar>
            <w:vAlign w:val="top"/>
            <w:shd w:fill="F3F6F8"/>
          </w:tcPr>
          <w:p>
            <w:r>
              <w:rPr>
                <w:sz w:val="14"/>
              </w:rPr>
              <w:t>Expose the same services through a permissioned localhost API and normal VS Code/Jupyter client library.</w:t>
            </w:r>
          </w:p>
        </w:tc>
        <w:tc>
          <w:tcPr>
            <w:tcW w:type="dxa" w:w="3096"/>
            <w:tcMar>
              <w:top w:w="65" w:type="dxa"/>
              <w:start w:w="65" w:type="dxa"/>
              <w:bottom w:w="65" w:type="dxa"/>
              <w:end w:w="65" w:type="dxa"/>
            </w:tcMar>
            <w:vAlign w:val="top"/>
            <w:shd w:fill="F3F6F8"/>
          </w:tcPr>
          <w:p>
            <w:r>
              <w:rPr>
                <w:sz w:val="14"/>
              </w:rPr>
              <w:t>API cannot bypass leases, validation, metadata, or laser cleanup.</w:t>
            </w:r>
          </w:p>
        </w:tc>
      </w:tr>
      <w:tr>
        <w:trPr>
          <w:cantSplit/>
        </w:trPr>
        <w:tc>
          <w:tcPr>
            <w:tcW w:type="dxa" w:w="1008"/>
            <w:tcMar>
              <w:top w:w="65" w:type="dxa"/>
              <w:start w:w="65" w:type="dxa"/>
              <w:bottom w:w="65" w:type="dxa"/>
              <w:end w:w="65" w:type="dxa"/>
            </w:tcMar>
            <w:vAlign w:val="top"/>
          </w:tcPr>
          <w:p>
            <w:r>
              <w:rPr>
                <w:b/>
                <w:color w:val="17324D"/>
                <w:sz w:val="14"/>
              </w:rPr>
              <w:t>Seven</w:t>
            </w:r>
          </w:p>
        </w:tc>
        <w:tc>
          <w:tcPr>
            <w:tcW w:type="dxa" w:w="6552"/>
            <w:tcMar>
              <w:top w:w="65" w:type="dxa"/>
              <w:start w:w="65" w:type="dxa"/>
              <w:bottom w:w="65" w:type="dxa"/>
              <w:end w:w="65" w:type="dxa"/>
            </w:tcMar>
            <w:vAlign w:val="top"/>
          </w:tcPr>
          <w:p>
            <w:r>
              <w:rPr>
                <w:sz w:val="14"/>
              </w:rPr>
              <w:t>Generalize transport for remote read-only instruments, then evaluate a headless measurement service for remote actuation.</w:t>
            </w:r>
          </w:p>
        </w:tc>
        <w:tc>
          <w:tcPr>
            <w:tcW w:type="dxa" w:w="3096"/>
            <w:tcMar>
              <w:top w:w="65" w:type="dxa"/>
              <w:start w:w="65" w:type="dxa"/>
              <w:bottom w:w="65" w:type="dxa"/>
              <w:end w:w="65" w:type="dxa"/>
            </w:tcMar>
            <w:vAlign w:val="top"/>
          </w:tcPr>
          <w:p>
            <w:r>
              <w:rPr>
                <w:sz w:val="14"/>
              </w:rPr>
              <w:t>Authenticated failure/reconnect/upgrade/clock behavior passes an integration matrix.</w:t>
            </w:r>
          </w:p>
        </w:tc>
      </w:tr>
      <w:tr>
        <w:trPr>
          <w:cantSplit/>
        </w:trPr>
        <w:tc>
          <w:tcPr>
            <w:tcW w:type="dxa" w:w="1008"/>
            <w:tcMar>
              <w:top w:w="65" w:type="dxa"/>
              <w:start w:w="65" w:type="dxa"/>
              <w:bottom w:w="65" w:type="dxa"/>
              <w:end w:w="65" w:type="dxa"/>
            </w:tcMar>
            <w:vAlign w:val="top"/>
            <w:shd w:fill="F3F6F8"/>
          </w:tcPr>
          <w:p>
            <w:r>
              <w:rPr>
                <w:b/>
                <w:color w:val="17324D"/>
                <w:sz w:val="14"/>
              </w:rPr>
              <w:t>Eight</w:t>
            </w:r>
          </w:p>
        </w:tc>
        <w:tc>
          <w:tcPr>
            <w:tcW w:type="dxa" w:w="6552"/>
            <w:tcMar>
              <w:top w:w="65" w:type="dxa"/>
              <w:start w:w="65" w:type="dxa"/>
              <w:bottom w:w="65" w:type="dxa"/>
              <w:end w:w="65" w:type="dxa"/>
            </w:tcMar>
            <w:vAlign w:val="top"/>
            <w:shd w:fill="F3F6F8"/>
          </w:tcPr>
          <w:p>
            <w:r>
              <w:rPr>
                <w:sz w:val="14"/>
              </w:rPr>
              <w:t>Add third-party subprocess packages, signing/trust labels, dependency isolation, update/rollback, conformance tools, and documentation.</w:t>
            </w:r>
          </w:p>
        </w:tc>
        <w:tc>
          <w:tcPr>
            <w:tcW w:type="dxa" w:w="3096"/>
            <w:tcMar>
              <w:top w:w="65" w:type="dxa"/>
              <w:start w:w="65" w:type="dxa"/>
              <w:bottom w:w="65" w:type="dxa"/>
              <w:end w:w="65" w:type="dxa"/>
            </w:tcMar>
            <w:vAlign w:val="top"/>
            <w:shd w:fill="F3F6F8"/>
          </w:tcPr>
          <w:p>
            <w:r>
              <w:rPr>
                <w:sz w:val="14"/>
              </w:rPr>
              <w:t>A plugin crash is contained and recoverable with complete diagnostics.</w:t>
            </w:r>
          </w:p>
        </w:tc>
      </w:tr>
    </w:tbl>
    <w:p/>
    <w:p>
      <w:r>
        <w:t>The remaining decisions are collected in QUESTIONS_20260910.docx. No plugin loader, procedure executor, remote listener, or arbitrary Python execution is included in the current GUI source.</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2026-09-10  •  Internal engineering handoff     </w:t>
    </w:r>
    <w: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87E8B"/>
      </w:rPr>
      <w:t>SPECTROMETER GUI  |  ENGINEERING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2434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Display" w:hAnsi="Aptos Display"/>
      <w:b/>
      <w:bCs/>
      <w:color w:val="087E8B"/>
      <w:sz w:val="25"/>
      <w:szCs w:val="26"/>
    </w:rPr>
  </w:style>
  <w:style w:type="paragraph" w:styleId="Heading3">
    <w:name w:val="heading 3"/>
    <w:basedOn w:val="Normal"/>
    <w:next w:val="Normal"/>
    <w:link w:val="Heading3Char"/>
    <w:uiPriority w:val="9"/>
    <w:unhideWhenUsed/>
    <w:qFormat/>
    <w:rsid w:val="00FC693F"/>
    <w:pPr>
      <w:keepNext/>
      <w:keepLines/>
      <w:spacing w:before="60" w:after="80"/>
      <w:outlineLvl w:val="2"/>
    </w:pPr>
    <w:rPr>
      <w:rFonts w:asciiTheme="majorHAnsi" w:eastAsiaTheme="majorEastAsia" w:hAnsiTheme="majorHAnsi" w:cstheme="majorBidi" w:ascii="Aptos Display" w:hAnsi="Aptos Display"/>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80"/>
    </w:pPr>
    <w:rPr>
      <w:rFonts w:asciiTheme="majorHAnsi" w:eastAsiaTheme="majorEastAsia" w:hAnsiTheme="majorHAnsi" w:cstheme="majorBidi" w:ascii="Aptos Display" w:hAnsi="Aptos Display"/>
      <w:b w:val="0"/>
      <w:i/>
      <w:iCs/>
      <w:color w:val="087E8B"/>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17" w:right="216"/>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