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Spectrometer GUI: implementation and verification</w:t>
      </w:r>
    </w:p>
    <w:p>
      <w:r>
        <w:t>September 14 baseline → October 6 candidate</w:t>
      </w:r>
    </w:p>
    <w:p>
      <w:r>
        <w:t>Revision: 2026-10-06</w:t>
      </w:r>
    </w:p>
    <w:p>
      <w:r>
        <w:t>Implemented candidate with offline verification. Gated acquisition algorithms were retained. Graphical and physical-instrument acceptance remains outstanding; see the ordered checklist below.</w:t>
      </w:r>
    </w:p>
    <w:p>
      <w:pPr>
        <w:pStyle w:val="Heading1"/>
      </w:pPr>
      <w:r>
        <w:t>Changes</w:t>
      </w:r>
    </w:p>
    <w:tbl>
      <w:tblPr>
        <w:tblStyle w:val="LightShading-Accent1"/>
        <w:tblW w:type="auto" w:w="0"/>
        <w:tblLook w:firstColumn="1" w:firstRow="1" w:lastColumn="0" w:lastRow="0" w:noHBand="0" w:noVBand="1" w:val="04A0"/>
      </w:tblPr>
      <w:tblGrid>
        <w:gridCol w:w="5112"/>
        <w:gridCol w:w="5112"/>
      </w:tblGrid>
      <w:tr>
        <w:trPr>
          <w:cantSplit/>
        </w:trPr>
        <w:tc>
          <w:tcPr>
            <w:tcW w:type="dxa" w:w="5112"/>
          </w:tcPr>
          <w:p>
            <w:r>
              <w:t>Area</w:t>
            </w:r>
          </w:p>
        </w:tc>
        <w:tc>
          <w:tcPr>
            <w:tcW w:type="dxa" w:w="5112"/>
          </w:tcPr>
          <w:p>
            <w:r>
              <w:t>Result</w:t>
            </w:r>
          </w:p>
        </w:tc>
      </w:tr>
      <w:tr>
        <w:trPr>
          <w:cantSplit/>
        </w:trPr>
        <w:tc>
          <w:tcPr>
            <w:tcW w:type="dxa" w:w="5112"/>
          </w:tcPr>
          <w:p>
            <w:r>
              <w:t>Power channels</w:t>
            </w:r>
          </w:p>
        </w:tc>
        <w:tc>
          <w:tcPr>
            <w:tcW w:type="dxa" w:w="5112"/>
          </w:tcPr>
          <w:p>
            <w:r>
              <w:t>Both monitors have independent Channel 1/2 selectors. Selecting only one spectrum-associated channel selects it in both monitors. With both channels associated, each monitor keeps its explicit display selection. Power statistics, normalization, power axes, field-power maps, 3D values, toolbar readout and exported monitor display values use the selected channel. A channel absent from a spectrum association is unknown, not a fallback to channel 1.</w:t>
            </w:r>
          </w:p>
        </w:tc>
      </w:tr>
      <w:tr>
        <w:trPr>
          <w:cantSplit/>
        </w:trPr>
        <w:tc>
          <w:tcPr>
            <w:tcW w:type="dxa" w:w="5112"/>
          </w:tcPr>
          <w:p>
            <w:r>
              <w:t>Monitor timers</w:t>
            </w:r>
          </w:p>
        </w:tc>
        <w:tc>
          <w:tcPr>
            <w:tcW w:type="dxa" w:w="5112"/>
          </w:tcPr>
          <w:p>
            <w:r>
              <w:t>Reset timer sets zero to the current monotonic time and rebases retained history to negative elapsed times. New readings use that origin. Clear remains a separate action. UTC acquisition timestamps, scan clocks, and full-run power logging are unchanged.</w:t>
            </w:r>
          </w:p>
        </w:tc>
      </w:tr>
      <w:tr>
        <w:trPr>
          <w:cantSplit/>
        </w:trPr>
        <w:tc>
          <w:tcPr>
            <w:tcW w:type="dxa" w:w="5112"/>
          </w:tcPr>
          <w:p>
            <w:r>
              <w:t>Smoothing display</w:t>
            </w:r>
          </w:p>
        </w:tc>
        <w:tc>
          <w:tcPr>
            <w:tcW w:type="dxa" w:w="5112"/>
          </w:tcPr>
          <w:p>
            <w:r>
              <w:t>The spectrum plot retains a colored unsmoothed trace alongside the final smoothed curve. Unsmoothed means after background subtraction but before smoothing. Both stages are saved and restored in new spectrum files. Older files with background subtraction cannot reconstruct this stage; no substitute curve is fabricated.</w:t>
            </w:r>
          </w:p>
        </w:tc>
      </w:tr>
      <w:tr>
        <w:trPr>
          <w:cantSplit/>
        </w:trPr>
        <w:tc>
          <w:tcPr>
            <w:tcW w:type="dxa" w:w="5112"/>
          </w:tcPr>
          <w:p>
            <w:r>
              <w:t>Background controls</w:t>
            </w:r>
          </w:p>
        </w:tc>
        <w:tc>
          <w:tcPr>
            <w:tcW w:type="dxa" w:w="5112"/>
          </w:tcPr>
          <w:p>
            <w:r>
              <w:t>Save background exports capture counts, counts/s, exposure, averaging, correction flags, timestamp and strict compatibility signature. Plot background overlays the captured counts on its own wavelength grid and labels them as capture counts. Startup subtraction is disabled until an in-memory background exists. Loading a saved background for reuse is a future task.</w:t>
            </w:r>
          </w:p>
        </w:tc>
      </w:tr>
      <w:tr>
        <w:trPr>
          <w:cantSplit/>
        </w:trPr>
        <w:tc>
          <w:tcPr>
            <w:tcW w:type="dxa" w:w="5112"/>
          </w:tcPr>
          <w:p>
            <w:r>
              <w:t>Andor details</w:t>
            </w:r>
          </w:p>
        </w:tc>
        <w:tc>
          <w:tcPr>
            <w:tcW w:type="dxa" w:w="5112"/>
          </w:tcPr>
          <w:p>
            <w:r>
              <w:t>Timing labels and integration-limit text refresh in the open dialog after Apply and verify succeeds. Values describe the applied configuration; editing a speed alone does not command the camera. Minimum frame period remains distinct from applied minimum exposure.</w:t>
            </w:r>
          </w:p>
        </w:tc>
      </w:tr>
      <w:tr>
        <w:trPr>
          <w:cantSplit/>
        </w:trPr>
        <w:tc>
          <w:tcPr>
            <w:tcW w:type="dxa" w:w="5112"/>
          </w:tcPr>
          <w:p>
            <w:r>
              <w:t>Toolbar and layout</w:t>
            </w:r>
          </w:p>
        </w:tc>
        <w:tc>
          <w:tcPr>
            <w:tcW w:type="dxa" w:w="5112"/>
          </w:tcPr>
          <w:p>
            <w:r>
              <w:t>The acquisition toolbar contains the base filename and Autosave checkbox, synchronized with existing file settings. Suffixes, paths, enumeration and other options remain in Application Settings. The laser table is capped at 130 logical pixels, approximately two-thirds of its former default table height; scrolling retains access to all rows.</w:t>
            </w:r>
          </w:p>
        </w:tc>
      </w:tr>
      <w:tr>
        <w:trPr>
          <w:cantSplit/>
        </w:trPr>
        <w:tc>
          <w:tcPr>
            <w:tcW w:type="dxa" w:w="5112"/>
          </w:tcPr>
          <w:p>
            <w:r>
              <w:t>Ordinary parameter scans</w:t>
            </w:r>
          </w:p>
        </w:tc>
        <w:tc>
          <w:tcPr>
            <w:tcW w:type="dxa" w:w="5112"/>
          </w:tcPr>
          <w:p>
            <w:r>
              <w:t>A new Parameter scans tab provides exposure, Kymera center, scheduled-time and temperature-target scans. Custom lists, linear/logarithmic point generation, repeats and settling are supported, with a maximum of 10000 acquisitions. Generated exposures are rounded to whole milliseconds. Existing power scans and gated coordinators remain separate.</w:t>
            </w:r>
          </w:p>
        </w:tc>
      </w:tr>
      <w:tr>
        <w:trPr>
          <w:cantSplit/>
        </w:trPr>
        <w:tc>
          <w:tcPr>
            <w:tcW w:type="dxa" w:w="5112"/>
          </w:tcPr>
          <w:p>
            <w:r>
              <w:t>Temperature monitoring</w:t>
            </w:r>
          </w:p>
        </w:tc>
        <w:tc>
          <w:tcPr>
            <w:tcW w:type="dxa" w:w="5112"/>
          </w:tcPr>
          <w:p>
            <w:r>
              <w:t>A separate Temperature tab connects explicitly to a Lake Shore 335 USB virtual COM port or emulator. It displays channels A/B in kelvin, status and reading age, and exports a bounded history. Its independent worker sends identification and reading/status queries only; it never changes heaters, PID settings or temperature setpoints.</w:t>
            </w:r>
          </w:p>
        </w:tc>
      </w:tr>
    </w:tbl>
    <w:p/>
    <w:p>
      <w:pPr>
        <w:pStyle w:val="Heading1"/>
      </w:pPr>
      <w:r>
        <w:t>Scan behavior and examples</w:t>
      </w:r>
    </w:p>
    <w:tbl>
      <w:tblPr>
        <w:tblStyle w:val="LightShading-Accent1"/>
        <w:tblW w:type="auto" w:w="0"/>
        <w:tblLook w:firstColumn="1" w:firstRow="1" w:lastColumn="0" w:lastRow="0" w:noHBand="0" w:noVBand="1" w:val="04A0"/>
      </w:tblPr>
      <w:tblGrid>
        <w:gridCol w:w="5112"/>
        <w:gridCol w:w="5112"/>
      </w:tblGrid>
      <w:tr>
        <w:trPr>
          <w:cantSplit/>
        </w:trPr>
        <w:tc>
          <w:tcPr>
            <w:tcW w:type="dxa" w:w="5112"/>
          </w:tcPr>
          <w:p>
            <w:r>
              <w:t>Workflow</w:t>
            </w:r>
          </w:p>
        </w:tc>
        <w:tc>
          <w:tcPr>
            <w:tcW w:type="dxa" w:w="5112"/>
          </w:tcPr>
          <w:p>
            <w:r>
              <w:t>Contract</w:t>
            </w:r>
          </w:p>
        </w:tc>
      </w:tr>
      <w:tr>
        <w:trPr>
          <w:cantSplit/>
        </w:trPr>
        <w:tc>
          <w:tcPr>
            <w:tcW w:type="dxa" w:w="5112"/>
          </w:tcPr>
          <w:p>
            <w:r>
              <w:t>Exposure</w:t>
            </w:r>
          </w:p>
        </w:tc>
        <w:tc>
          <w:tcPr>
            <w:tcW w:type="dxa" w:w="5112"/>
          </w:tcPr>
          <w:p>
            <w:r>
              <w:t>Points are positive integer milliseconds within the active acquisition UI limits. Settings are frozen per run; subsequent manual acquisition reapplies the original UI exposure. A strict background cannot be reused across this sweep, so subtraction must be off.</w:t>
            </w:r>
          </w:p>
        </w:tc>
      </w:tr>
      <w:tr>
        <w:trPr>
          <w:cantSplit/>
        </w:trPr>
        <w:tc>
          <w:tcPr>
            <w:tcW w:type="dxa" w:w="5112"/>
          </w:tcPr>
          <w:p>
            <w:r>
              <w:t>Kymera center</w:t>
            </w:r>
          </w:p>
        </w:tc>
        <w:tc>
          <w:tcPr>
            <w:tcW w:type="dxa" w:w="5112"/>
          </w:tcPr>
          <w:p>
            <w:r>
              <w:t>Each center uses the existing worker transaction and calibration/readback refresh before settling and acquisition. The current grating limits are preflighted when available. Optional restore is checked by default and retains the lease until the restore transaction returns. This acquires separate spectra; it does not stitch them.</w:t>
            </w:r>
          </w:p>
        </w:tc>
      </w:tr>
      <w:tr>
        <w:trPr>
          <w:cantSplit/>
        </w:trPr>
        <w:tc>
          <w:tcPr>
            <w:tcW w:type="dxa" w:w="5112"/>
          </w:tcPr>
          <w:p>
            <w:r>
              <w:t>Scheduled times</w:t>
            </w:r>
          </w:p>
        </w:tc>
        <w:tc>
          <w:tcPr>
            <w:tcW w:type="dxa" w:w="5112"/>
          </w:tcPr>
          <w:p>
            <w:r>
              <w:t>Points are strictly increasing nonnegative offsets from Start, such as 0, 10, 20 seconds. Repeats is one. No laser transitions occur during the run. Acquisitions are serialized; missed deadlines run late and are recorded, with no dropped point or overlapping acquisition. Scheduling uses a 100 ms GUI check and is not a physical exposure trigger.</w:t>
            </w:r>
          </w:p>
        </w:tc>
      </w:tr>
      <w:tr>
        <w:trPr>
          <w:cantSplit/>
        </w:trPr>
        <w:tc>
          <w:tcPr>
            <w:tcW w:type="dxa" w:w="5112"/>
          </w:tcPr>
          <w:p>
            <w:r>
              <w:t>Temperature targets</w:t>
            </w:r>
          </w:p>
        </w:tc>
        <w:tc>
          <w:tcPr>
            <w:tcW w:type="dxa" w:w="5112"/>
          </w:tcPr>
          <w:p>
            <w:r>
              <w:t>CCD values use degrees Celsius; Lake Shore A/B use kelvin. A new reading must remain inside the tolerance for the requested dwell, with no stale/invalid samples or excessive sample gap. Cached copies of one reading cannot satisfy dwell. Each point, including repeats, requires a new qualification. Timeout bounds the wait. The saved trigger is evidence at request time, not proof of temperature stability throughout exposure.</w:t>
            </w:r>
          </w:p>
        </w:tc>
      </w:tr>
      <w:tr>
        <w:trPr>
          <w:cantSplit/>
        </w:trPr>
        <w:tc>
          <w:tcPr>
            <w:tcW w:type="dxa" w:w="5112"/>
          </w:tcPr>
          <w:p>
            <w:r>
              <w:t>Lasers</w:t>
            </w:r>
          </w:p>
        </w:tc>
        <w:tc>
          <w:tcPr>
            <w:tcW w:type="dxa" w:w="5112"/>
          </w:tcPr>
          <w:p>
            <w:r>
              <w:t>The scan does not turn lasers on or change their power. Set the desired emission before Start. Turn lasers off at end defaults on and can be unchecked for normal completion; abort/failure requests Disable All. This command uses existing OBIS behavior and does not resolve the historical physical-key/interlock limitation.</w:t>
            </w:r>
          </w:p>
        </w:tc>
      </w:tr>
      <w:tr>
        <w:trPr>
          <w:cantSplit/>
        </w:trPr>
        <w:tc>
          <w:tcPr>
            <w:tcW w:type="dxa" w:w="5112"/>
          </w:tcPr>
          <w:p>
            <w:r>
              <w:t>Ownership and cancellation</w:t>
            </w:r>
          </w:p>
        </w:tc>
        <w:tc>
          <w:tcPr>
            <w:tcW w:type="dxa" w:w="5112"/>
          </w:tcPr>
          <w:p>
            <w:r>
              <w:t>The parameter_scan lease excludes Live, manual/background acquisition, power/calibration scans, gated runs and auto-tuning. Abort drains an in-flight spectrum or settings command before release; a returned spectrum is saved once with termination metadata. Window close waits for that drain. A confirmed spectrometer disconnect ends the run without issuing a restore to an unavailable instrument.</w:t>
            </w:r>
          </w:p>
        </w:tc>
      </w:tr>
      <w:tr>
        <w:trPr>
          <w:cantSplit/>
        </w:trPr>
        <w:tc>
          <w:tcPr>
            <w:tcW w:type="dxa" w:w="5112"/>
          </w:tcPr>
          <w:p>
            <w:r>
              <w:t>Saving</w:t>
            </w:r>
          </w:p>
        </w:tc>
        <w:tc>
          <w:tcPr>
            <w:tcW w:type="dxa" w:w="5112"/>
          </w:tcPr>
          <w:p>
            <w:r>
              <w:t>Every acquired scan spectrum is queued once through the ordered writer regardless of the toolbar Autosave checkbox. A UUID ties point metadata to a terminal JSON summary containing the full plan, completed acquisition count and termination reason. Completion refers to acquisition completion; disk failures are separately reported and abort an active scan. The terminal summary is not crash-recovery journaling.</w:t>
            </w:r>
          </w:p>
        </w:tc>
      </w:tr>
      <w:tr>
        <w:trPr>
          <w:cantSplit/>
        </w:trPr>
        <w:tc>
          <w:tcPr>
            <w:tcW w:type="dxa" w:w="5112"/>
          </w:tcPr>
          <w:p>
            <w:r>
              <w:t>Temperature history</w:t>
            </w:r>
          </w:p>
        </w:tc>
        <w:tc>
          <w:tcPr>
            <w:tcW w:type="dxa" w:w="5112"/>
          </w:tcPr>
          <w:p>
            <w:r>
              <w:t>The Lake Shore worker polls at nominal 1 Hz with 1 s serial read/write timeouts. The display retains 20000 channel readings, roughly 2.8 hours for two channels at 1 Hz. Export before older entries roll out; continuous full-run temperature logging remains future work. Emulator values are fixed at 4.2 K and 4.3 K and identified as simulated.</w:t>
            </w:r>
          </w:p>
        </w:tc>
      </w:tr>
    </w:tbl>
    <w:p/>
    <w:p>
      <w:r>
        <w:t>Examples: exposure custom points 10, 50, 100 ms; Kymera custom centers 500, 550, 600 nm (only if within the active grating range); scheduled times linear Start 0, Stop 100, Count 11 for one spectrum every 10 s; Lake Shore emulator A target 4.2 K with tolerance 0.1 K and dwell 2 s.</w:t>
      </w:r>
    </w:p>
    <w:p>
      <w:pPr>
        <w:pStyle w:val="Heading1"/>
      </w:pPr>
      <w:r>
        <w:t>Verification evidence</w:t>
      </w:r>
    </w:p>
    <w:tbl>
      <w:tblPr>
        <w:tblStyle w:val="LightShading-Accent1"/>
        <w:tblW w:type="auto" w:w="0"/>
        <w:tblLook w:firstColumn="1" w:firstRow="1" w:lastColumn="0" w:lastRow="0" w:noHBand="0" w:noVBand="1" w:val="04A0"/>
      </w:tblPr>
      <w:tblGrid>
        <w:gridCol w:w="5112"/>
        <w:gridCol w:w="5112"/>
      </w:tblGrid>
      <w:tr>
        <w:trPr>
          <w:cantSplit/>
        </w:trPr>
        <w:tc>
          <w:tcPr>
            <w:tcW w:type="dxa" w:w="5112"/>
          </w:tcPr>
          <w:p>
            <w:r>
              <w:t>Check</w:t>
            </w:r>
          </w:p>
        </w:tc>
        <w:tc>
          <w:tcPr>
            <w:tcW w:type="dxa" w:w="5112"/>
          </w:tcPr>
          <w:p>
            <w:r>
              <w:t>Result and scope</w:t>
            </w:r>
          </w:p>
        </w:tc>
      </w:tr>
      <w:tr>
        <w:trPr>
          <w:cantSplit/>
        </w:trPr>
        <w:tc>
          <w:tcPr>
            <w:tcW w:type="dxa" w:w="5112"/>
          </w:tcPr>
          <w:p>
            <w:r>
              <w:t>Python compilation</w:t>
            </w:r>
          </w:p>
        </w:tc>
        <w:tc>
          <w:tcPr>
            <w:tcW w:type="dxa" w:w="5112"/>
          </w:tcPr>
          <w:p>
            <w:r>
              <w:t>All delivered Python sources compiled under CPython 3.12.14. The project target remains Python 3.14; target-interpreter validation is outstanding.</w:t>
            </w:r>
          </w:p>
        </w:tc>
      </w:tr>
      <w:tr>
        <w:trPr>
          <w:cantSplit/>
        </w:trPr>
        <w:tc>
          <w:tcPr>
            <w:tcW w:type="dxa" w:w="5112"/>
          </w:tcPr>
          <w:p>
            <w:r>
              <w:t>Hardware-independent suite</w:t>
            </w:r>
          </w:p>
        </w:tc>
        <w:tc>
          <w:tcPr>
            <w:tcW w:type="dxa" w:w="5112"/>
          </w:tcPr>
          <w:p>
            <w:r>
              <w:t>155 invocations passed with the repository-specific offline compatibility runner. This includes all 145 original invocations plus 10 added checks. The runner supplies only the pytest constructs used here (raises, scalar approx, parametrization, temporary paths); it is not an installed pytest run.</w:t>
            </w:r>
          </w:p>
        </w:tc>
      </w:tr>
      <w:tr>
        <w:trPr>
          <w:cantSplit/>
        </w:trPr>
        <w:tc>
          <w:tcPr>
            <w:tcW w:type="dxa" w:w="5112"/>
          </w:tcPr>
          <w:p>
            <w:r>
              <w:t>Coordinator and worker logic</w:t>
            </w:r>
          </w:p>
        </w:tc>
        <w:tc>
          <w:tcPr>
            <w:tcW w:type="dxa" w:w="5112"/>
          </w:tcPr>
          <w:p>
            <w:r>
              <w:t>9 checks passed with a synchronous signal/timer harness: eight scan state-machine tests and one real emulator-backed DeviceController processing test. This validates explicit transitions and arrays, not Qt queued delivery, QThread behavior or rendering.</w:t>
            </w:r>
          </w:p>
        </w:tc>
      </w:tr>
      <w:tr>
        <w:trPr>
          <w:cantSplit/>
        </w:trPr>
        <w:tc>
          <w:tcPr>
            <w:tcW w:type="dxa" w:w="5112"/>
          </w:tcPr>
          <w:p>
            <w:r>
              <w:t>Qt/UI checks</w:t>
            </w:r>
          </w:p>
        </w:tc>
        <w:tc>
          <w:tcPr>
            <w:tcW w:type="dxa" w:w="5112"/>
          </w:tcPr>
          <w:p>
            <w:r>
              <w:t>Four target-environment Qt tests were added for power channel/timer behavior, smoothing overlay, monitor map/export, and timing-label refresh. They were not executed here. Full MainWindow startup and interactive workflow checks remain required.</w:t>
            </w:r>
          </w:p>
        </w:tc>
      </w:tr>
      <w:tr>
        <w:trPr>
          <w:cantSplit/>
        </w:trPr>
        <w:tc>
          <w:tcPr>
            <w:tcW w:type="dxa" w:w="5112"/>
          </w:tcPr>
          <w:p>
            <w:r>
              <w:t>Environment limitation</w:t>
            </w:r>
          </w:p>
        </w:tc>
        <w:tc>
          <w:tcPr>
            <w:tcW w:type="dxa" w:w="5112"/>
          </w:tcPr>
          <w:p>
            <w:r>
              <w:t>PySide6, pyqtgraph, pytest and pyserial were unavailable. Attempts to install dependencies from the configured package source failed. No vendor DLL or physical instrument was available; hardware and graphical results are not claimed.</w:t>
            </w:r>
          </w:p>
        </w:tc>
      </w:tr>
    </w:tbl>
    <w:p/>
    <w:p>
      <w:pPr>
        <w:pStyle w:val="Heading1"/>
      </w:pPr>
      <w:r>
        <w:t>What to test next</w:t>
      </w:r>
    </w:p>
    <w:p>
      <w:pPr>
        <w:pStyle w:val="ListNumber"/>
      </w:pPr>
      <w:r>
        <w:t>Start the candidate using the existing emulator mode on the lab Python 3.14/PySide6 environment. Run python -m pytest -q, including the new Qt tests. Check full MainWindow startup and shutdown before connecting real instruments.</w:t>
      </w:r>
    </w:p>
    <w:p>
      <w:pPr>
        <w:pStyle w:val="ListNumber"/>
      </w:pPr>
      <w:r>
        <w:t>Use different known powers on channels 1/2. Switch each monitor and spectrum association among channel 1, channel 2 and both. Check normalization, power axes, map/3D values, statistics, toolbar labels, and exported display columns. Verify an unassociated channel gives no fabricated spectrum metric.</w:t>
      </w:r>
    </w:p>
    <w:p>
      <w:pPr>
        <w:pStyle w:val="ListNumber"/>
      </w:pPr>
      <w:r>
        <w:t>Use Reset timer before and during data collection. Confirm retained points become negative, new points advance from zero, Clear does not reset the origin, and full-run power logs retain their original timeline.</w:t>
      </w:r>
    </w:p>
    <w:p>
      <w:pPr>
        <w:pStyle w:val="ListNumber"/>
      </w:pPr>
      <w:r>
        <w:t>Capture a background, export it, and overlay it. Acquire with background subtraction and smoothing; confirm both traces and all three CSV stages. Reopen that CSV. Change exposure and confirm strict mismatch handling rather than silent scaling.</w:t>
      </w:r>
    </w:p>
    <w:p>
      <w:pPr>
        <w:pStyle w:val="ListNumber"/>
      </w:pPr>
      <w:r>
        <w:t>Apply horizontal/vertical speed changes on the iDus. Confirm the timing labels update without closing Details and agree with capability readback. Test filename and Autosave changes from both toolbar and settings.</w:t>
      </w:r>
    </w:p>
    <w:p>
      <w:pPr>
        <w:pStyle w:val="ListNumber"/>
      </w:pPr>
      <w:r>
        <w:t>Run a short exposure sweep and a time series at 0, 10, 20 s. Then deliberately use an acquisition longer than the schedule interval: verify one file per point, no overlap, positive recorded lateness and a matching summary UUID/count.</w:t>
      </w:r>
    </w:p>
    <w:p>
      <w:pPr>
        <w:pStyle w:val="ListNumber"/>
      </w:pPr>
      <w:r>
        <w:t>Run a small reversible Kymera center sweep. Abort once during motion and once during exposure; verify ownership remains locked until completion and optional center restoration. Confirm saved grids/calibration/state match each applied center. Check close during a running scan.</w:t>
      </w:r>
    </w:p>
    <w:p>
      <w:pPr>
        <w:pStyle w:val="ListNumber"/>
      </w:pPr>
      <w:r>
        <w:t>Connect the actual Lake Shore 335 COM port, compare A/B and units with its front panel, then test disconnect/reconnect and invalid-sensor status. Confirm no setpoints, heater ranges or outputs change. Test temperature trigger tolerance, dwell, timeout, stale readings and CCD temperature queries.</w:t>
      </w:r>
    </w:p>
    <w:p>
      <w:pPr>
        <w:pStyle w:val="ListNumber"/>
      </w:pPr>
      <w:r>
        <w:t>Keep the pre-existing outstanding hardware checklist. This release does not close QEPro reconnect/buffer validation, broader Andor owner regression, cooler-warning/restart issues, OBIS physical interlock truth, or detector/output-port mapping. Gated timing development is deferred at the user’s request.</w:t>
      </w:r>
    </w:p>
    <w:p>
      <w:pPr>
        <w:pStyle w:val="Heading1"/>
      </w:pPr>
      <w:r>
        <w:t>Complementary future additions</w:t>
      </w:r>
    </w:p>
    <w:tbl>
      <w:tblPr>
        <w:tblStyle w:val="LightShading-Accent1"/>
        <w:tblW w:type="auto" w:w="0"/>
        <w:tblLook w:firstColumn="1" w:firstRow="1" w:lastColumn="0" w:lastRow="0" w:noHBand="0" w:noVBand="1" w:val="04A0"/>
      </w:tblPr>
      <w:tblGrid>
        <w:gridCol w:w="3408"/>
        <w:gridCol w:w="3408"/>
        <w:gridCol w:w="3408"/>
      </w:tblGrid>
      <w:tr>
        <w:trPr>
          <w:cantSplit/>
        </w:trPr>
        <w:tc>
          <w:tcPr>
            <w:tcW w:type="dxa" w:w="3408"/>
          </w:tcPr>
          <w:p>
            <w:r>
              <w:t>Priority</w:t>
            </w:r>
          </w:p>
        </w:tc>
        <w:tc>
          <w:tcPr>
            <w:tcW w:type="dxa" w:w="3408"/>
          </w:tcPr>
          <w:p>
            <w:r>
              <w:t>Addition</w:t>
            </w:r>
          </w:p>
        </w:tc>
        <w:tc>
          <w:tcPr>
            <w:tcW w:type="dxa" w:w="3408"/>
          </w:tcPr>
          <w:p>
            <w:r>
              <w:t>Fit and comparison</w:t>
            </w:r>
          </w:p>
        </w:tc>
      </w:tr>
      <w:tr>
        <w:trPr>
          <w:cantSplit/>
        </w:trPr>
        <w:tc>
          <w:tcPr>
            <w:tcW w:type="dxa" w:w="3408"/>
          </w:tcPr>
          <w:p>
            <w:r>
              <w:t>High</w:t>
            </w:r>
          </w:p>
        </w:tc>
        <w:tc>
          <w:tcPr>
            <w:tcW w:type="dxa" w:w="3408"/>
          </w:tcPr>
          <w:p>
            <w:r>
              <w:t>Response-calibrated spectra</w:t>
            </w:r>
          </w:p>
        </w:tc>
        <w:tc>
          <w:tcPr>
            <w:tcW w:type="dxa" w:w="3408"/>
          </w:tcPr>
          <w:p>
            <w:r>
              <w:t>Add validated wavelength-dependent system response, calibration provenance and uncertainty while preserving raw counts. OceanView provides relative/absolute irradiance workflows; Andor documents relative efficiency correction. [1, 2]</w:t>
            </w:r>
          </w:p>
        </w:tc>
      </w:tr>
      <w:tr>
        <w:trPr>
          <w:cantSplit/>
        </w:trPr>
        <w:tc>
          <w:tcPr>
            <w:tcW w:type="dxa" w:w="3408"/>
          </w:tcPr>
          <w:p>
            <w:r>
              <w:t>High</w:t>
            </w:r>
          </w:p>
        </w:tc>
        <w:tc>
          <w:tcPr>
            <w:tcW w:type="dxa" w:w="3408"/>
          </w:tcPr>
          <w:p>
            <w:r>
              <w:t>Multi-spectrum overlays and residuals</w:t>
            </w:r>
          </w:p>
        </w:tc>
        <w:tc>
          <w:tcPr>
            <w:tcW w:type="dxa" w:w="3408"/>
          </w:tcPr>
          <w:p>
            <w:r>
              <w:t>Compare references, normalized spectra and differences with linked wavelength cursors; add stacked/waterfall views for temperature/time runs. Solis documents stacked and overlaid views. [2]</w:t>
            </w:r>
          </w:p>
        </w:tc>
      </w:tr>
      <w:tr>
        <w:trPr>
          <w:cantSplit/>
        </w:trPr>
        <w:tc>
          <w:tcPr>
            <w:tcW w:type="dxa" w:w="3408"/>
          </w:tcPr>
          <w:p>
            <w:r>
              <w:t>High</w:t>
            </w:r>
          </w:p>
        </w:tc>
        <w:tc>
          <w:tcPr>
            <w:tcW w:type="dxa" w:w="3408"/>
          </w:tcPr>
          <w:p>
            <w:r>
              <w:t>Peak and band analysis</w:t>
            </w:r>
          </w:p>
        </w:tc>
        <w:tc>
          <w:tcPr>
            <w:tcW w:type="dxa" w:w="3408"/>
          </w:tcPr>
          <w:p>
            <w:r>
              <w:t>Track fitted peak position, centroid, FWHM, integrated bands and uncertainties with explicit baseline models. OceanView documents peak metrics including FWHM, centroid and integration. [1]</w:t>
            </w:r>
          </w:p>
        </w:tc>
      </w:tr>
      <w:tr>
        <w:trPr>
          <w:cantSplit/>
        </w:trPr>
        <w:tc>
          <w:tcPr>
            <w:tcW w:type="dxa" w:w="3408"/>
          </w:tcPr>
          <w:p>
            <w:r>
              <w:t>High</w:t>
            </w:r>
          </w:p>
        </w:tc>
        <w:tc>
          <w:tcPr>
            <w:tcW w:type="dxa" w:w="3408"/>
          </w:tcPr>
          <w:p>
            <w:r>
              <w:t>Drift-aware scan ordering</w:t>
            </w:r>
          </w:p>
        </w:tc>
        <w:tc>
          <w:tcPr>
            <w:tcW w:type="dxa" w:w="3408"/>
          </w:tcPr>
          <w:p>
            <w:r>
              <w:t>Add randomized/bidirectional order, interleaved reference points and zero-field blocks. This recommendation follows the project’s magneto-PL use case; it is not claimed as a feature verified in the comparison products.</w:t>
            </w:r>
          </w:p>
        </w:tc>
      </w:tr>
      <w:tr>
        <w:trPr>
          <w:cantSplit/>
        </w:trPr>
        <w:tc>
          <w:tcPr>
            <w:tcW w:type="dxa" w:w="3408"/>
          </w:tcPr>
          <w:p>
            <w:r>
              <w:t>Medium</w:t>
            </w:r>
          </w:p>
        </w:tc>
        <w:tc>
          <w:tcPr>
            <w:tcW w:type="dxa" w:w="3408"/>
          </w:tcPr>
          <w:p>
            <w:r>
              <w:t>Saved experiment recipes</w:t>
            </w:r>
          </w:p>
        </w:tc>
        <w:tc>
          <w:tcPr>
            <w:tcW w:type="dxa" w:w="3408"/>
          </w:tcPr>
          <w:p>
            <w:r>
              <w:t>Save validated plans, acquisition settings, sensor conditions and processing choices; provide a preview and emulator dry run. OceanView supports reusable project settings and a visual processing schematic. [1, 3]</w:t>
            </w:r>
          </w:p>
        </w:tc>
      </w:tr>
      <w:tr>
        <w:trPr>
          <w:cantSplit/>
        </w:trPr>
        <w:tc>
          <w:tcPr>
            <w:tcW w:type="dxa" w:w="3408"/>
          </w:tcPr>
          <w:p>
            <w:r>
              <w:t>Medium</w:t>
            </w:r>
          </w:p>
        </w:tc>
        <w:tc>
          <w:tcPr>
            <w:tcW w:type="dxa" w:w="3408"/>
          </w:tcPr>
          <w:p>
            <w:r>
              <w:t>Background/reference library</w:t>
            </w:r>
          </w:p>
        </w:tc>
        <w:tc>
          <w:tcPr>
            <w:tcW w:type="dxa" w:w="3408"/>
          </w:tcPr>
          <w:p>
            <w:r>
              <w:t>Load backgrounds only after strict identity/grid/settings validation; support a bank indexed by exposure/readout and background age checks. This is a project recommendation extending the current strict-signature path.</w:t>
            </w:r>
          </w:p>
        </w:tc>
      </w:tr>
      <w:tr>
        <w:trPr>
          <w:cantSplit/>
        </w:trPr>
        <w:tc>
          <w:tcPr>
            <w:tcW w:type="dxa" w:w="3408"/>
          </w:tcPr>
          <w:p>
            <w:r>
              <w:t>Medium</w:t>
            </w:r>
          </w:p>
        </w:tc>
        <w:tc>
          <w:tcPr>
            <w:tcW w:type="dxa" w:w="3408"/>
          </w:tcPr>
          <w:p>
            <w:r>
              <w:t>Absorbance/transmission workflows</w:t>
            </w:r>
          </w:p>
        </w:tc>
        <w:tc>
          <w:tcPr>
            <w:tcW w:type="dxa" w:w="3408"/>
          </w:tcPr>
          <w:p>
            <w:r>
              <w:t>Acquire explicit sample/reference/dark sets and expose reference validity. OceanView documents reference/background workflows for transmission and related applications. [1]</w:t>
            </w:r>
          </w:p>
        </w:tc>
      </w:tr>
      <w:tr>
        <w:trPr>
          <w:cantSplit/>
        </w:trPr>
        <w:tc>
          <w:tcPr>
            <w:tcW w:type="dxa" w:w="3408"/>
          </w:tcPr>
          <w:p>
            <w:r>
              <w:t>Later</w:t>
            </w:r>
          </w:p>
        </w:tc>
        <w:tc>
          <w:tcPr>
            <w:tcW w:type="dxa" w:w="3408"/>
          </w:tcPr>
          <w:p>
            <w:r>
              <w:t>Calibrated spectral stitching</w:t>
            </w:r>
          </w:p>
        </w:tc>
        <w:tc>
          <w:tcPr>
            <w:tcW w:type="dxa" w:w="3408"/>
          </w:tcPr>
          <w:p>
            <w:r>
              <w:t>Build overlap diagnostics, grating/response correction and uncertainty before stitching the new center-wavelength scans. Current code acquires segments only; this recommendation is not an implemented capability.</w:t>
            </w:r>
          </w:p>
        </w:tc>
      </w:tr>
      <w:tr>
        <w:trPr>
          <w:cantSplit/>
        </w:trPr>
        <w:tc>
          <w:tcPr>
            <w:tcW w:type="dxa" w:w="3408"/>
          </w:tcPr>
          <w:p>
            <w:r>
              <w:t>Later</w:t>
            </w:r>
          </w:p>
        </w:tc>
        <w:tc>
          <w:tcPr>
            <w:tcW w:type="dxa" w:w="3408"/>
          </w:tcPr>
          <w:p>
            <w:r>
              <w:t>Long-run temperature logging and thermal maps</w:t>
            </w:r>
          </w:p>
        </w:tc>
        <w:tc>
          <w:tcPr>
            <w:tcW w:type="dxa" w:w="3408"/>
          </w:tcPr>
          <w:p>
            <w:r>
              <w:t>Stream full-run readings to disk, link spectra to cached temperature windows, and add wavelength–temperature intensity maps. Current monitoring exports only the retained history; temperature control remains separate.</w:t>
            </w:r>
          </w:p>
        </w:tc>
      </w:tr>
    </w:tbl>
    <w:p/>
    <w:p>
      <w:pPr>
        <w:pStyle w:val="Heading1"/>
      </w:pPr>
      <w:r>
        <w:t>Sources</w:t>
      </w:r>
    </w:p>
    <w:p>
      <w:r>
        <w:t>[1] Ocean Optics. OceanView Installation and Operation Manual. https://www.oceanoptics.com/wp-content/uploads/2024/05/oceanviewioperation-manual.pdf</w:t>
      </w:r>
    </w:p>
    <w:p>
      <w:r>
        <w:t>[2] Oxford Instruments Andor. Solis S. https://andor.oxinst.com/products/solis-software/solis-s</w:t>
      </w:r>
    </w:p>
    <w:p>
      <w:r>
        <w:t>[3] Ocean Optics. OceanView 2.0. https://www.oceanoptics.com/software/oceanview/</w:t>
      </w:r>
    </w:p>
    <w:p>
      <w:r>
        <w:t>[4] Lake Shore Cryotronics. Model 335 Python Driver documentation. https://lake-shore-python-driver.readthedocs.io/en/latest/model_335.html</w:t>
      </w:r>
    </w:p>
    <w:p>
      <w:r>
        <w:t>[5] Lake Shore Cryotronics. Model 335 User’s Manual, USB communication section. https://www.lakeshore.com/docs/default-source/product-downloads/335_manual.pdf?sfvrsn=9f5c5b7f_7</w:t>
      </w:r>
    </w:p>
    <w:p>
      <w:r>
        <w:t>Vendor pages were checked on 2026-10-06. Product features above are distinguished from project-specific recommendations. No claim is made that a vendor implements the proposed scan policy.</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Spectrometer GUI · 2026-10-06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7365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