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Outstanding work and known issues</w:t>
      </w:r>
    </w:p>
    <w:p>
      <w:pPr>
        <w:jc w:val="left"/>
      </w:pPr>
      <w:r>
        <w:rPr>
          <w:b/>
          <w:color w:val="1E7A78"/>
          <w:sz w:val="22"/>
        </w:rPr>
        <w:t>Complete task register and recommended execution order</w:t>
      </w:r>
    </w:p>
    <w:p>
      <w:r>
        <w:rPr>
          <w:color w:val="61717F"/>
        </w:rPr>
        <w:t>Revision date: 2026-09-14</w:t>
      </w:r>
    </w:p>
    <w:p/>
    <w:tbl>
      <w:tblPr>
        <w:tblW w:type="auto" w:w="0"/>
        <w:jc w:val="center"/>
        <w:tblLook w:firstColumn="1" w:firstRow="1" w:lastColumn="0" w:lastRow="0" w:noHBand="0" w:noVBand="1" w:val="04A0"/>
      </w:tblPr>
      <w:tblGrid>
        <w:gridCol w:w="13968"/>
      </w:tblGrid>
      <w:tr>
        <w:tc>
          <w:tcPr>
            <w:tcW w:type="dxa" w:w="13968"/>
            <w:shd w:fill="E8F0F7"/>
            <w:tcMar>
              <w:top w:w="110" w:type="dxa"/>
              <w:start w:w="130" w:type="dxa"/>
              <w:bottom w:w="110" w:type="dxa"/>
              <w:end w:w="130" w:type="dxa"/>
            </w:tcMar>
          </w:tcPr>
          <w:p>
            <w:r>
              <w:rPr>
                <w:b/>
                <w:color w:val="17324D"/>
              </w:rPr>
              <w:t>Current position</w:t>
              <w:br/>
            </w:r>
            <w:r>
              <w:rPr>
                <w:sz w:val="18"/>
              </w:rPr>
              <w:t>Core Andor streaming, repeated Live/gated acquisition, supported settings, Newport hot reconnect, background performance, and midpoint eligibility have lab evidence. The next functional gates are fixed-window retention, physical laser timing calibration, cooler-close state handling, and truthful short-exposure presentation.</w:t>
            </w:r>
          </w:p>
        </w:tc>
      </w:tr>
    </w:tbl>
    <w:p/>
    <w:tbl>
      <w:tblPr>
        <w:tblStyle w:val="TableGrid"/>
        <w:tblW w:type="auto" w:w="0"/>
        <w:jc w:val="center"/>
        <w:tblLayout w:type="fixed"/>
        <w:tblLook w:firstColumn="1" w:firstRow="1" w:lastColumn="0" w:lastRow="0" w:noHBand="0" w:noVBand="1" w:val="04A0"/>
      </w:tblPr>
      <w:tblGrid>
        <w:gridCol w:w="6984"/>
        <w:gridCol w:w="6984"/>
      </w:tblGrid>
      <w:tr>
        <w:trPr>
          <w:tblHeader w:val="true"/>
        </w:trPr>
        <w:tc>
          <w:tcPr>
            <w:tcW w:type="dxa" w:w="1656"/>
            <w:shd w:fill="17324D"/>
            <w:tcMar>
              <w:top w:w="70" w:type="dxa"/>
              <w:start w:w="80" w:type="dxa"/>
              <w:bottom w:w="70" w:type="dxa"/>
              <w:end w:w="80" w:type="dxa"/>
            </w:tcMar>
            <w:vAlign w:val="center"/>
          </w:tcPr>
          <w:p>
            <w:r>
              <w:rPr>
                <w:b/>
                <w:color w:val="FFFFFF"/>
                <w:sz w:val="16"/>
              </w:rPr>
              <w:t>Status</w:t>
            </w:r>
          </w:p>
        </w:tc>
        <w:tc>
          <w:tcPr>
            <w:tcW w:type="dxa" w:w="8496"/>
            <w:shd w:fill="17324D"/>
            <w:tcMar>
              <w:top w:w="70" w:type="dxa"/>
              <w:start w:w="80" w:type="dxa"/>
              <w:bottom w:w="70" w:type="dxa"/>
              <w:end w:w="80" w:type="dxa"/>
            </w:tcMar>
            <w:vAlign w:val="center"/>
          </w:tcPr>
          <w:p>
            <w:r>
              <w:rPr>
                <w:b/>
                <w:color w:val="FFFFFF"/>
                <w:sz w:val="16"/>
              </w:rPr>
              <w:t>Meaning</w:t>
            </w:r>
          </w:p>
        </w:tc>
      </w:tr>
      <w:tr>
        <w:tc>
          <w:tcPr>
            <w:tcW w:type="dxa" w:w="1656"/>
            <w:tcMar>
              <w:top w:w="70" w:type="dxa"/>
              <w:start w:w="80" w:type="dxa"/>
              <w:bottom w:w="70" w:type="dxa"/>
              <w:end w:w="80" w:type="dxa"/>
            </w:tcMar>
            <w:vAlign w:val="top"/>
          </w:tcPr>
          <w:p>
            <w:pPr>
              <w:spacing w:after="0"/>
            </w:pPr>
            <w:r>
              <w:rPr>
                <w:sz w:val="16"/>
              </w:rPr>
              <w:t>Complete</w:t>
            </w:r>
          </w:p>
        </w:tc>
        <w:tc>
          <w:tcPr>
            <w:tcW w:type="dxa" w:w="8496"/>
            <w:tcMar>
              <w:top w:w="70" w:type="dxa"/>
              <w:start w:w="80" w:type="dxa"/>
              <w:bottom w:w="70" w:type="dxa"/>
              <w:end w:w="80" w:type="dxa"/>
            </w:tcMar>
            <w:vAlign w:val="top"/>
          </w:tcPr>
          <w:p>
            <w:pPr>
              <w:spacing w:after="0"/>
            </w:pPr>
            <w:r>
              <w:rPr>
                <w:sz w:val="16"/>
              </w:rPr>
              <w:t>Implemented and supported by source/offline tests or supplied lab evidence.</w:t>
            </w:r>
          </w:p>
        </w:tc>
      </w:tr>
      <w:tr>
        <w:tc>
          <w:tcPr>
            <w:tcW w:type="dxa" w:w="1656"/>
            <w:shd w:fill="EEF1F4"/>
            <w:tcMar>
              <w:top w:w="70" w:type="dxa"/>
              <w:start w:w="80" w:type="dxa"/>
              <w:bottom w:w="70" w:type="dxa"/>
              <w:end w:w="80" w:type="dxa"/>
            </w:tcMar>
            <w:vAlign w:val="top"/>
          </w:tcPr>
          <w:p>
            <w:pPr>
              <w:spacing w:after="0"/>
            </w:pPr>
            <w:r>
              <w:rPr>
                <w:sz w:val="16"/>
              </w:rPr>
              <w:t>Partial</w:t>
            </w:r>
          </w:p>
        </w:tc>
        <w:tc>
          <w:tcPr>
            <w:tcW w:type="dxa" w:w="8496"/>
            <w:shd w:fill="EEF1F4"/>
            <w:tcMar>
              <w:top w:w="70" w:type="dxa"/>
              <w:start w:w="80" w:type="dxa"/>
              <w:bottom w:w="70" w:type="dxa"/>
              <w:end w:w="80" w:type="dxa"/>
            </w:tcMar>
            <w:vAlign w:val="top"/>
          </w:tcPr>
          <w:p>
            <w:pPr>
              <w:spacing w:after="0"/>
            </w:pPr>
            <w:r>
              <w:rPr>
                <w:sz w:val="16"/>
              </w:rPr>
              <w:t>Implementation exists, but a defined hardware/Qt acceptance test remains.</w:t>
            </w:r>
          </w:p>
        </w:tc>
      </w:tr>
      <w:tr>
        <w:tc>
          <w:tcPr>
            <w:tcW w:type="dxa" w:w="1656"/>
            <w:tcMar>
              <w:top w:w="70" w:type="dxa"/>
              <w:start w:w="80" w:type="dxa"/>
              <w:bottom w:w="70" w:type="dxa"/>
              <w:end w:w="80" w:type="dxa"/>
            </w:tcMar>
            <w:vAlign w:val="top"/>
          </w:tcPr>
          <w:p>
            <w:pPr>
              <w:spacing w:after="0"/>
            </w:pPr>
            <w:r>
              <w:rPr>
                <w:sz w:val="16"/>
              </w:rPr>
              <w:t>Open</w:t>
            </w:r>
          </w:p>
        </w:tc>
        <w:tc>
          <w:tcPr>
            <w:tcW w:type="dxa" w:w="8496"/>
            <w:tcMar>
              <w:top w:w="70" w:type="dxa"/>
              <w:start w:w="80" w:type="dxa"/>
              <w:bottom w:w="70" w:type="dxa"/>
              <w:end w:w="80" w:type="dxa"/>
            </w:tcMar>
            <w:vAlign w:val="top"/>
          </w:tcPr>
          <w:p>
            <w:pPr>
              <w:spacing w:after="0"/>
            </w:pPr>
            <w:r>
              <w:rPr>
                <w:sz w:val="16"/>
              </w:rPr>
              <w:t>Not yet implemented or requires a design/measurement decision first.</w:t>
            </w:r>
          </w:p>
        </w:tc>
      </w:tr>
      <w:tr>
        <w:tc>
          <w:tcPr>
            <w:tcW w:type="dxa" w:w="1656"/>
            <w:shd w:fill="EEF1F4"/>
            <w:tcMar>
              <w:top w:w="70" w:type="dxa"/>
              <w:start w:w="80" w:type="dxa"/>
              <w:bottom w:w="70" w:type="dxa"/>
              <w:end w:w="80" w:type="dxa"/>
            </w:tcMar>
            <w:vAlign w:val="top"/>
          </w:tcPr>
          <w:p>
            <w:pPr>
              <w:spacing w:after="0"/>
            </w:pPr>
            <w:r>
              <w:rPr>
                <w:sz w:val="16"/>
              </w:rPr>
              <w:t>Deferred</w:t>
            </w:r>
          </w:p>
        </w:tc>
        <w:tc>
          <w:tcPr>
            <w:tcW w:type="dxa" w:w="8496"/>
            <w:shd w:fill="EEF1F4"/>
            <w:tcMar>
              <w:top w:w="70" w:type="dxa"/>
              <w:start w:w="80" w:type="dxa"/>
              <w:bottom w:w="70" w:type="dxa"/>
              <w:end w:w="80" w:type="dxa"/>
            </w:tcMar>
            <w:vAlign w:val="top"/>
          </w:tcPr>
          <w:p>
            <w:pPr>
              <w:spacing w:after="0"/>
            </w:pPr>
            <w:r>
              <w:rPr>
                <w:sz w:val="16"/>
              </w:rPr>
              <w:t>Intentionally postponed until prerequisite hardware or architecture work is stable.</w:t>
            </w:r>
          </w:p>
        </w:tc>
      </w:tr>
    </w:tbl>
    <w:p/>
    <w:p>
      <w:pPr>
        <w:pStyle w:val="Heading1"/>
      </w:pPr>
      <w:r>
        <w:t>Recommended priority</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rPr>
          <w:tblHeader w:val="true"/>
        </w:trPr>
        <w:tc>
          <w:tcPr>
            <w:tcW w:type="dxa" w:w="936"/>
            <w:shd w:fill="17324D"/>
            <w:tcMar>
              <w:top w:w="70" w:type="dxa"/>
              <w:start w:w="80" w:type="dxa"/>
              <w:bottom w:w="70" w:type="dxa"/>
              <w:end w:w="80" w:type="dxa"/>
            </w:tcMar>
            <w:vAlign w:val="center"/>
          </w:tcPr>
          <w:p>
            <w:r>
              <w:rPr>
                <w:b/>
                <w:color w:val="FFFFFF"/>
                <w:sz w:val="14"/>
              </w:rPr>
              <w:t>Priority</w:t>
            </w:r>
          </w:p>
        </w:tc>
        <w:tc>
          <w:tcPr>
            <w:tcW w:type="dxa" w:w="3312"/>
            <w:shd w:fill="17324D"/>
            <w:tcMar>
              <w:top w:w="70" w:type="dxa"/>
              <w:start w:w="80" w:type="dxa"/>
              <w:bottom w:w="70" w:type="dxa"/>
              <w:end w:w="80" w:type="dxa"/>
            </w:tcMar>
            <w:vAlign w:val="center"/>
          </w:tcPr>
          <w:p>
            <w:r>
              <w:rPr>
                <w:b/>
                <w:color w:val="FFFFFF"/>
                <w:sz w:val="14"/>
              </w:rPr>
              <w:t>Work item</w:t>
            </w:r>
          </w:p>
        </w:tc>
        <w:tc>
          <w:tcPr>
            <w:tcW w:type="dxa" w:w="1224"/>
            <w:shd w:fill="17324D"/>
            <w:tcMar>
              <w:top w:w="70" w:type="dxa"/>
              <w:start w:w="80" w:type="dxa"/>
              <w:bottom w:w="70" w:type="dxa"/>
              <w:end w:w="80" w:type="dxa"/>
            </w:tcMar>
            <w:vAlign w:val="center"/>
          </w:tcPr>
          <w:p>
            <w:r>
              <w:rPr>
                <w:b/>
                <w:color w:val="FFFFFF"/>
                <w:sz w:val="14"/>
              </w:rPr>
              <w:t>Status</w:t>
            </w:r>
          </w:p>
        </w:tc>
        <w:tc>
          <w:tcPr>
            <w:tcW w:type="dxa" w:w="8208"/>
            <w:shd w:fill="17324D"/>
            <w:tcMar>
              <w:top w:w="70" w:type="dxa"/>
              <w:start w:w="80" w:type="dxa"/>
              <w:bottom w:w="70" w:type="dxa"/>
              <w:end w:w="80" w:type="dxa"/>
            </w:tcMar>
            <w:vAlign w:val="center"/>
          </w:tcPr>
          <w:p>
            <w:r>
              <w:rPr>
                <w:b/>
                <w:color w:val="FFFFFF"/>
                <w:sz w:val="14"/>
              </w:rPr>
              <w:t>Acceptance condition</w:t>
            </w:r>
          </w:p>
        </w:tc>
      </w:tr>
      <w:tr>
        <w:tc>
          <w:tcPr>
            <w:tcW w:type="dxa" w:w="936"/>
            <w:tcMar>
              <w:top w:w="70" w:type="dxa"/>
              <w:start w:w="80" w:type="dxa"/>
              <w:bottom w:w="70" w:type="dxa"/>
              <w:end w:w="80" w:type="dxa"/>
            </w:tcMar>
            <w:vAlign w:val="top"/>
          </w:tcPr>
          <w:p>
            <w:pPr>
              <w:spacing w:after="0"/>
            </w:pPr>
            <w:r>
              <w:rPr>
                <w:sz w:val="14"/>
              </w:rPr>
              <w:t>P0</w:t>
            </w:r>
          </w:p>
        </w:tc>
        <w:tc>
          <w:tcPr>
            <w:tcW w:type="dxa" w:w="3312"/>
            <w:tcMar>
              <w:top w:w="70" w:type="dxa"/>
              <w:start w:w="80" w:type="dxa"/>
              <w:bottom w:w="70" w:type="dxa"/>
              <w:end w:w="80" w:type="dxa"/>
            </w:tcMar>
            <w:vAlign w:val="top"/>
          </w:tcPr>
          <w:p>
            <w:pPr>
              <w:spacing w:after="0"/>
            </w:pPr>
            <w:r>
              <w:rPr>
                <w:sz w:val="14"/>
              </w:rPr>
              <w:t>Retention-mode bench test</w:t>
            </w:r>
          </w:p>
        </w:tc>
        <w:tc>
          <w:tcPr>
            <w:tcW w:type="dxa" w:w="1224"/>
            <w:tcMar>
              <w:top w:w="70" w:type="dxa"/>
              <w:start w:w="80" w:type="dxa"/>
              <w:bottom w:w="70" w:type="dxa"/>
              <w:end w:w="80" w:type="dxa"/>
            </w:tcMar>
            <w:vAlign w:val="top"/>
          </w:tcPr>
          <w:p>
            <w:pPr>
              <w:spacing w:after="0"/>
            </w:pPr>
            <w:r>
              <w:rPr>
                <w:sz w:val="14"/>
              </w:rPr>
              <w:t>Partial</w:t>
            </w:r>
          </w:p>
        </w:tc>
        <w:tc>
          <w:tcPr>
            <w:tcW w:type="dxa" w:w="8208"/>
            <w:tcMar>
              <w:top w:w="70" w:type="dxa"/>
              <w:start w:w="80" w:type="dxa"/>
              <w:bottom w:w="70" w:type="dxa"/>
              <w:end w:w="80" w:type="dxa"/>
            </w:tcMar>
            <w:vAlign w:val="top"/>
          </w:tcPr>
          <w:p>
            <w:pPr>
              <w:spacing w:after="0"/>
            </w:pPr>
            <w:r>
              <w:rPr>
                <w:sz w:val="14"/>
              </w:rPr>
              <w:t>Exactly N accepted per trace; rejected spectra absent from average/file; finite ceiling and partial reason correct; abort/disconnect leaves laser OFF.</w:t>
            </w:r>
          </w:p>
        </w:tc>
      </w:tr>
      <w:tr>
        <w:tc>
          <w:tcPr>
            <w:tcW w:type="dxa" w:w="936"/>
            <w:shd w:fill="EEF1F4"/>
            <w:tcMar>
              <w:top w:w="70" w:type="dxa"/>
              <w:start w:w="80" w:type="dxa"/>
              <w:bottom w:w="70" w:type="dxa"/>
              <w:end w:w="80" w:type="dxa"/>
            </w:tcMar>
            <w:vAlign w:val="top"/>
          </w:tcPr>
          <w:p>
            <w:pPr>
              <w:spacing w:after="0"/>
            </w:pPr>
            <w:r>
              <w:rPr>
                <w:sz w:val="14"/>
              </w:rPr>
              <w:t>P0</w:t>
            </w:r>
          </w:p>
        </w:tc>
        <w:tc>
          <w:tcPr>
            <w:tcW w:type="dxa" w:w="3312"/>
            <w:shd w:fill="EEF1F4"/>
            <w:tcMar>
              <w:top w:w="70" w:type="dxa"/>
              <w:start w:w="80" w:type="dxa"/>
              <w:bottom w:w="70" w:type="dxa"/>
              <w:end w:w="80" w:type="dxa"/>
            </w:tcMar>
            <w:vAlign w:val="top"/>
          </w:tcPr>
          <w:p>
            <w:pPr>
              <w:spacing w:after="0"/>
            </w:pPr>
            <w:r>
              <w:rPr>
                <w:sz w:val="14"/>
              </w:rPr>
              <w:t>Physical laser timing calibration</w:t>
            </w:r>
          </w:p>
        </w:tc>
        <w:tc>
          <w:tcPr>
            <w:tcW w:type="dxa" w:w="1224"/>
            <w:shd w:fill="EEF1F4"/>
            <w:tcMar>
              <w:top w:w="70" w:type="dxa"/>
              <w:start w:w="80" w:type="dxa"/>
              <w:bottom w:w="70" w:type="dxa"/>
              <w:end w:w="80" w:type="dxa"/>
            </w:tcMar>
            <w:vAlign w:val="top"/>
          </w:tcPr>
          <w:p>
            <w:pPr>
              <w:spacing w:after="0"/>
            </w:pPr>
            <w:r>
              <w:rPr>
                <w:sz w:val="14"/>
              </w:rPr>
              <w:t>Open</w:t>
            </w:r>
          </w:p>
        </w:tc>
        <w:tc>
          <w:tcPr>
            <w:tcW w:type="dxa" w:w="8208"/>
            <w:shd w:fill="EEF1F4"/>
            <w:tcMar>
              <w:top w:w="70" w:type="dxa"/>
              <w:start w:w="80" w:type="dxa"/>
              <w:bottom w:w="70" w:type="dxa"/>
              <w:end w:w="80" w:type="dxa"/>
            </w:tcMar>
            <w:vAlign w:val="top"/>
          </w:tcPr>
          <w:p>
            <w:pPr>
              <w:spacing w:after="0"/>
            </w:pPr>
            <w:r>
              <w:rPr>
                <w:sz w:val="14"/>
              </w:rPr>
              <w:t>Photodiode/DAQ or documented hardware edge establishes command-to-optical OFF offset and jitter for each box/channel.</w:t>
            </w:r>
          </w:p>
        </w:tc>
      </w:tr>
      <w:tr>
        <w:tc>
          <w:tcPr>
            <w:tcW w:type="dxa" w:w="936"/>
            <w:tcMar>
              <w:top w:w="70" w:type="dxa"/>
              <w:start w:w="80" w:type="dxa"/>
              <w:bottom w:w="70" w:type="dxa"/>
              <w:end w:w="80" w:type="dxa"/>
            </w:tcMar>
            <w:vAlign w:val="top"/>
          </w:tcPr>
          <w:p>
            <w:pPr>
              <w:spacing w:after="0"/>
            </w:pPr>
            <w:r>
              <w:rPr>
                <w:sz w:val="14"/>
              </w:rPr>
              <w:t>P1</w:t>
            </w:r>
          </w:p>
        </w:tc>
        <w:tc>
          <w:tcPr>
            <w:tcW w:type="dxa" w:w="3312"/>
            <w:tcMar>
              <w:top w:w="70" w:type="dxa"/>
              <w:start w:w="80" w:type="dxa"/>
              <w:bottom w:w="70" w:type="dxa"/>
              <w:end w:w="80" w:type="dxa"/>
            </w:tcMar>
            <w:vAlign w:val="top"/>
          </w:tcPr>
          <w:p>
            <w:pPr>
              <w:spacing w:after="0"/>
            </w:pPr>
            <w:r>
              <w:rPr>
                <w:sz w:val="14"/>
              </w:rPr>
              <w:t>Cooler close/restart state machine</w:t>
            </w:r>
          </w:p>
        </w:tc>
        <w:tc>
          <w:tcPr>
            <w:tcW w:type="dxa" w:w="1224"/>
            <w:tcMar>
              <w:top w:w="70" w:type="dxa"/>
              <w:start w:w="80" w:type="dxa"/>
              <w:bottom w:w="70" w:type="dxa"/>
              <w:end w:w="80" w:type="dxa"/>
            </w:tcMar>
            <w:vAlign w:val="top"/>
          </w:tcPr>
          <w:p>
            <w:pPr>
              <w:spacing w:after="0"/>
            </w:pPr>
            <w:r>
              <w:rPr>
                <w:sz w:val="14"/>
              </w:rPr>
              <w:t>Partial</w:t>
            </w:r>
          </w:p>
        </w:tc>
        <w:tc>
          <w:tcPr>
            <w:tcW w:type="dxa" w:w="8208"/>
            <w:tcMar>
              <w:top w:w="70" w:type="dxa"/>
              <w:start w:w="80" w:type="dxa"/>
              <w:bottom w:w="70" w:type="dxa"/>
              <w:end w:w="80" w:type="dxa"/>
            </w:tcMar>
            <w:vAlign w:val="top"/>
          </w:tcPr>
          <w:p>
            <w:pPr>
              <w:spacing w:after="0"/>
            </w:pPr>
            <w:r>
              <w:rPr>
                <w:sz w:val="14"/>
              </w:rPr>
              <w:t>One warning flow only; theme restart bypasses normal quit warning safely; X/cancel/warm-up/emergency each has one coherent transition.</w:t>
            </w:r>
          </w:p>
        </w:tc>
      </w:tr>
      <w:tr>
        <w:tc>
          <w:tcPr>
            <w:tcW w:type="dxa" w:w="936"/>
            <w:shd w:fill="EEF1F4"/>
            <w:tcMar>
              <w:top w:w="70" w:type="dxa"/>
              <w:start w:w="80" w:type="dxa"/>
              <w:bottom w:w="70" w:type="dxa"/>
              <w:end w:w="80" w:type="dxa"/>
            </w:tcMar>
            <w:vAlign w:val="top"/>
          </w:tcPr>
          <w:p>
            <w:pPr>
              <w:spacing w:after="0"/>
            </w:pPr>
            <w:r>
              <w:rPr>
                <w:sz w:val="14"/>
              </w:rPr>
              <w:t>P1</w:t>
            </w:r>
          </w:p>
        </w:tc>
        <w:tc>
          <w:tcPr>
            <w:tcW w:type="dxa" w:w="3312"/>
            <w:shd w:fill="EEF1F4"/>
            <w:tcMar>
              <w:top w:w="70" w:type="dxa"/>
              <w:start w:w="80" w:type="dxa"/>
              <w:bottom w:w="70" w:type="dxa"/>
              <w:end w:w="80" w:type="dxa"/>
            </w:tcMar>
            <w:vAlign w:val="top"/>
          </w:tcPr>
          <w:p>
            <w:pPr>
              <w:spacing w:after="0"/>
            </w:pPr>
            <w:r>
              <w:rPr>
                <w:sz w:val="14"/>
              </w:rPr>
              <w:t>Short mode-5 exposure truth/display</w:t>
            </w:r>
          </w:p>
        </w:tc>
        <w:tc>
          <w:tcPr>
            <w:tcW w:type="dxa" w:w="1224"/>
            <w:shd w:fill="EEF1F4"/>
            <w:tcMar>
              <w:top w:w="70" w:type="dxa"/>
              <w:start w:w="80" w:type="dxa"/>
              <w:bottom w:w="70" w:type="dxa"/>
              <w:end w:w="80" w:type="dxa"/>
            </w:tcMar>
            <w:vAlign w:val="top"/>
          </w:tcPr>
          <w:p>
            <w:pPr>
              <w:spacing w:after="0"/>
            </w:pPr>
            <w:r>
              <w:rPr>
                <w:sz w:val="14"/>
              </w:rPr>
              <w:t>Partial</w:t>
            </w:r>
          </w:p>
        </w:tc>
        <w:tc>
          <w:tcPr>
            <w:tcW w:type="dxa" w:w="8208"/>
            <w:shd w:fill="EEF1F4"/>
            <w:tcMar>
              <w:top w:w="70" w:type="dxa"/>
              <w:start w:w="80" w:type="dxa"/>
              <w:bottom w:w="70" w:type="dxa"/>
              <w:end w:w="80" w:type="dxa"/>
            </w:tcMar>
            <w:vAlign w:val="top"/>
          </w:tcPr>
          <w:p>
            <w:pPr>
              <w:spacing w:after="0"/>
            </w:pPr>
            <w:r>
              <w:rPr>
                <w:sz w:val="14"/>
              </w:rPr>
              <w:t>1/5/10 ms matrix records request, applied exposure, kinetic period; GUI shows applied value when different.</w:t>
            </w:r>
          </w:p>
        </w:tc>
      </w:tr>
      <w:tr>
        <w:tc>
          <w:tcPr>
            <w:tcW w:type="dxa" w:w="936"/>
            <w:tcMar>
              <w:top w:w="70" w:type="dxa"/>
              <w:start w:w="80" w:type="dxa"/>
              <w:bottom w:w="70" w:type="dxa"/>
              <w:end w:w="80" w:type="dxa"/>
            </w:tcMar>
            <w:vAlign w:val="top"/>
          </w:tcPr>
          <w:p>
            <w:pPr>
              <w:spacing w:after="0"/>
            </w:pPr>
            <w:r>
              <w:rPr>
                <w:sz w:val="14"/>
              </w:rPr>
              <w:t>P1</w:t>
            </w:r>
          </w:p>
        </w:tc>
        <w:tc>
          <w:tcPr>
            <w:tcW w:type="dxa" w:w="3312"/>
            <w:tcMar>
              <w:top w:w="70" w:type="dxa"/>
              <w:start w:w="80" w:type="dxa"/>
              <w:bottom w:w="70" w:type="dxa"/>
              <w:end w:w="80" w:type="dxa"/>
            </w:tcMar>
            <w:vAlign w:val="top"/>
          </w:tcPr>
          <w:p>
            <w:pPr>
              <w:spacing w:after="0"/>
            </w:pPr>
            <w:r>
              <w:rPr>
                <w:sz w:val="14"/>
              </w:rPr>
              <w:t>Focus and FVB capability resolution</w:t>
            </w:r>
          </w:p>
        </w:tc>
        <w:tc>
          <w:tcPr>
            <w:tcW w:type="dxa" w:w="1224"/>
            <w:tcMar>
              <w:top w:w="70" w:type="dxa"/>
              <w:start w:w="80" w:type="dxa"/>
              <w:bottom w:w="70" w:type="dxa"/>
              <w:end w:w="80" w:type="dxa"/>
            </w:tcMar>
            <w:vAlign w:val="top"/>
          </w:tcPr>
          <w:p>
            <w:pPr>
              <w:spacing w:after="0"/>
            </w:pPr>
            <w:r>
              <w:rPr>
                <w:sz w:val="14"/>
              </w:rPr>
              <w:t>Partial</w:t>
            </w:r>
          </w:p>
        </w:tc>
        <w:tc>
          <w:tcPr>
            <w:tcW w:type="dxa" w:w="8208"/>
            <w:tcMar>
              <w:top w:w="70" w:type="dxa"/>
              <w:start w:w="80" w:type="dxa"/>
              <w:bottom w:w="70" w:type="dxa"/>
              <w:end w:w="80" w:type="dxa"/>
            </w:tcMar>
            <w:vAlign w:val="top"/>
          </w:tcPr>
          <w:p>
            <w:pPr>
              <w:spacing w:after="0"/>
            </w:pPr>
            <w:r>
              <w:rPr>
                <w:sz w:val="14"/>
              </w:rPr>
              <w:t>Documented focus range/semantics confirmed before editor returns; any binning &gt;1 must prove accepted mode, array shape, restore, and calibration.</w:t>
            </w:r>
          </w:p>
        </w:tc>
      </w:tr>
      <w:tr>
        <w:tc>
          <w:tcPr>
            <w:tcW w:type="dxa" w:w="936"/>
            <w:shd w:fill="EEF1F4"/>
            <w:tcMar>
              <w:top w:w="70" w:type="dxa"/>
              <w:start w:w="80" w:type="dxa"/>
              <w:bottom w:w="70" w:type="dxa"/>
              <w:end w:w="80" w:type="dxa"/>
            </w:tcMar>
            <w:vAlign w:val="top"/>
          </w:tcPr>
          <w:p>
            <w:pPr>
              <w:spacing w:after="0"/>
            </w:pPr>
            <w:r>
              <w:rPr>
                <w:sz w:val="14"/>
              </w:rPr>
              <w:t>P1</w:t>
            </w:r>
          </w:p>
        </w:tc>
        <w:tc>
          <w:tcPr>
            <w:tcW w:type="dxa" w:w="3312"/>
            <w:shd w:fill="EEF1F4"/>
            <w:tcMar>
              <w:top w:w="70" w:type="dxa"/>
              <w:start w:w="80" w:type="dxa"/>
              <w:bottom w:w="70" w:type="dxa"/>
              <w:end w:w="80" w:type="dxa"/>
            </w:tcMar>
            <w:vAlign w:val="top"/>
          </w:tcPr>
          <w:p>
            <w:pPr>
              <w:spacing w:after="0"/>
            </w:pPr>
            <w:r>
              <w:rPr>
                <w:sz w:val="14"/>
              </w:rPr>
              <w:t>QEPro post-change freshness</w:t>
            </w:r>
          </w:p>
        </w:tc>
        <w:tc>
          <w:tcPr>
            <w:tcW w:type="dxa" w:w="1224"/>
            <w:shd w:fill="EEF1F4"/>
            <w:tcMar>
              <w:top w:w="70" w:type="dxa"/>
              <w:start w:w="80" w:type="dxa"/>
              <w:bottom w:w="70" w:type="dxa"/>
              <w:end w:w="80" w:type="dxa"/>
            </w:tcMar>
            <w:vAlign w:val="top"/>
          </w:tcPr>
          <w:p>
            <w:pPr>
              <w:spacing w:after="0"/>
            </w:pPr>
            <w:r>
              <w:rPr>
                <w:sz w:val="14"/>
              </w:rPr>
              <w:t>Partial</w:t>
            </w:r>
          </w:p>
        </w:tc>
        <w:tc>
          <w:tcPr>
            <w:tcW w:type="dxa" w:w="8208"/>
            <w:shd w:fill="EEF1F4"/>
            <w:tcMar>
              <w:top w:w="70" w:type="dxa"/>
              <w:start w:w="80" w:type="dxa"/>
              <w:bottom w:w="70" w:type="dxa"/>
              <w:end w:w="80" w:type="dxa"/>
            </w:tcMar>
            <w:vAlign w:val="top"/>
          </w:tcPr>
          <w:p>
            <w:pPr>
              <w:spacing w:after="0"/>
            </w:pPr>
            <w:r>
              <w:rPr>
                <w:sz w:val="14"/>
              </w:rPr>
              <w:t>First frame after large exposure/average/correction changes reflects new settings with no steady-state discard cost.</w:t>
            </w:r>
          </w:p>
        </w:tc>
      </w:tr>
      <w:tr>
        <w:tc>
          <w:tcPr>
            <w:tcW w:type="dxa" w:w="936"/>
            <w:tcMar>
              <w:top w:w="70" w:type="dxa"/>
              <w:start w:w="80" w:type="dxa"/>
              <w:bottom w:w="70" w:type="dxa"/>
              <w:end w:w="80" w:type="dxa"/>
            </w:tcMar>
            <w:vAlign w:val="top"/>
          </w:tcPr>
          <w:p>
            <w:pPr>
              <w:spacing w:after="0"/>
            </w:pPr>
            <w:r>
              <w:rPr>
                <w:sz w:val="14"/>
              </w:rPr>
              <w:t>P2</w:t>
            </w:r>
          </w:p>
        </w:tc>
        <w:tc>
          <w:tcPr>
            <w:tcW w:type="dxa" w:w="3312"/>
            <w:tcMar>
              <w:top w:w="70" w:type="dxa"/>
              <w:start w:w="80" w:type="dxa"/>
              <w:bottom w:w="70" w:type="dxa"/>
              <w:end w:w="80" w:type="dxa"/>
            </w:tcMar>
            <w:vAlign w:val="top"/>
          </w:tcPr>
          <w:p>
            <w:pPr>
              <w:spacing w:after="0"/>
            </w:pPr>
            <w:r>
              <w:rPr>
                <w:sz w:val="14"/>
              </w:rPr>
              <w:t>Low-light paired phase cycling</w:t>
            </w:r>
          </w:p>
        </w:tc>
        <w:tc>
          <w:tcPr>
            <w:tcW w:type="dxa" w:w="1224"/>
            <w:tcMar>
              <w:top w:w="70" w:type="dxa"/>
              <w:start w:w="80" w:type="dxa"/>
              <w:bottom w:w="70" w:type="dxa"/>
              <w:end w:w="80" w:type="dxa"/>
            </w:tcMar>
            <w:vAlign w:val="top"/>
          </w:tcPr>
          <w:p>
            <w:pPr>
              <w:spacing w:after="0"/>
            </w:pPr>
            <w:r>
              <w:rPr>
                <w:sz w:val="14"/>
              </w:rPr>
              <w:t>Open</w:t>
            </w:r>
          </w:p>
        </w:tc>
        <w:tc>
          <w:tcPr>
            <w:tcW w:type="dxa" w:w="8208"/>
            <w:tcMar>
              <w:top w:w="70" w:type="dxa"/>
              <w:start w:w="80" w:type="dxa"/>
              <w:bottom w:w="70" w:type="dxa"/>
              <w:end w:w="80" w:type="dxa"/>
            </w:tcMar>
            <w:vAlign w:val="top"/>
          </w:tcPr>
          <w:p>
            <w:pPr>
              <w:spacing w:after="0"/>
            </w:pPr>
            <w:r>
              <w:rPr>
                <w:sz w:val="14"/>
              </w:rPr>
              <w:t>Matched signal/reference frames, pair subtraction, propagated variance, raw/audit provenance, and simulated/hardware SNR comparison.</w:t>
            </w:r>
          </w:p>
        </w:tc>
      </w:tr>
      <w:tr>
        <w:tc>
          <w:tcPr>
            <w:tcW w:type="dxa" w:w="936"/>
            <w:shd w:fill="EEF1F4"/>
            <w:tcMar>
              <w:top w:w="70" w:type="dxa"/>
              <w:start w:w="80" w:type="dxa"/>
              <w:bottom w:w="70" w:type="dxa"/>
              <w:end w:w="80" w:type="dxa"/>
            </w:tcMar>
            <w:vAlign w:val="top"/>
          </w:tcPr>
          <w:p>
            <w:pPr>
              <w:spacing w:after="0"/>
            </w:pPr>
            <w:r>
              <w:rPr>
                <w:sz w:val="14"/>
              </w:rPr>
              <w:t>P2</w:t>
            </w:r>
          </w:p>
        </w:tc>
        <w:tc>
          <w:tcPr>
            <w:tcW w:type="dxa" w:w="3312"/>
            <w:shd w:fill="EEF1F4"/>
            <w:tcMar>
              <w:top w:w="70" w:type="dxa"/>
              <w:start w:w="80" w:type="dxa"/>
              <w:bottom w:w="70" w:type="dxa"/>
              <w:end w:w="80" w:type="dxa"/>
            </w:tcMar>
            <w:vAlign w:val="top"/>
          </w:tcPr>
          <w:p>
            <w:pPr>
              <w:spacing w:after="0"/>
            </w:pPr>
            <w:r>
              <w:rPr>
                <w:sz w:val="14"/>
              </w:rPr>
              <w:t>Broader Andor owner regression</w:t>
            </w:r>
          </w:p>
        </w:tc>
        <w:tc>
          <w:tcPr>
            <w:tcW w:type="dxa" w:w="1224"/>
            <w:shd w:fill="EEF1F4"/>
            <w:tcMar>
              <w:top w:w="70" w:type="dxa"/>
              <w:start w:w="80" w:type="dxa"/>
              <w:bottom w:w="70" w:type="dxa"/>
              <w:end w:w="80" w:type="dxa"/>
            </w:tcMar>
            <w:vAlign w:val="top"/>
          </w:tcPr>
          <w:p>
            <w:pPr>
              <w:spacing w:after="0"/>
            </w:pPr>
            <w:r>
              <w:rPr>
                <w:sz w:val="14"/>
              </w:rPr>
              <w:t>Partial</w:t>
            </w:r>
          </w:p>
        </w:tc>
        <w:tc>
          <w:tcPr>
            <w:tcW w:type="dxa" w:w="8208"/>
            <w:shd w:fill="EEF1F4"/>
            <w:tcMar>
              <w:top w:w="70" w:type="dxa"/>
              <w:start w:w="80" w:type="dxa"/>
              <w:bottom w:w="70" w:type="dxa"/>
              <w:end w:w="80" w:type="dxa"/>
            </w:tcMar>
            <w:vAlign w:val="top"/>
          </w:tcPr>
          <w:p>
            <w:pPr>
              <w:spacing w:after="0"/>
            </w:pPr>
            <w:r>
              <w:rPr>
                <w:sz w:val="14"/>
              </w:rPr>
              <w:t>Power scan, auto-tune, explicit multi-average, cancel/reconnect, overflow, and settings changes all preserve stream/session invariants.</w:t>
            </w:r>
          </w:p>
        </w:tc>
      </w:tr>
      <w:tr>
        <w:tc>
          <w:tcPr>
            <w:tcW w:type="dxa" w:w="936"/>
            <w:tcMar>
              <w:top w:w="70" w:type="dxa"/>
              <w:start w:w="80" w:type="dxa"/>
              <w:bottom w:w="70" w:type="dxa"/>
              <w:end w:w="80" w:type="dxa"/>
            </w:tcMar>
            <w:vAlign w:val="top"/>
          </w:tcPr>
          <w:p>
            <w:pPr>
              <w:spacing w:after="0"/>
            </w:pPr>
            <w:r>
              <w:rPr>
                <w:sz w:val="14"/>
              </w:rPr>
              <w:t>P2</w:t>
            </w:r>
          </w:p>
        </w:tc>
        <w:tc>
          <w:tcPr>
            <w:tcW w:type="dxa" w:w="3312"/>
            <w:tcMar>
              <w:top w:w="70" w:type="dxa"/>
              <w:start w:w="80" w:type="dxa"/>
              <w:bottom w:w="70" w:type="dxa"/>
              <w:end w:w="80" w:type="dxa"/>
            </w:tcMar>
            <w:vAlign w:val="top"/>
          </w:tcPr>
          <w:p>
            <w:pPr>
              <w:spacing w:after="0"/>
            </w:pPr>
            <w:r>
              <w:rPr>
                <w:sz w:val="14"/>
              </w:rPr>
              <w:t>Background-state UX</w:t>
            </w:r>
          </w:p>
        </w:tc>
        <w:tc>
          <w:tcPr>
            <w:tcW w:type="dxa" w:w="1224"/>
            <w:tcMar>
              <w:top w:w="70" w:type="dxa"/>
              <w:start w:w="80" w:type="dxa"/>
              <w:bottom w:w="70" w:type="dxa"/>
              <w:end w:w="80" w:type="dxa"/>
            </w:tcMar>
            <w:vAlign w:val="top"/>
          </w:tcPr>
          <w:p>
            <w:pPr>
              <w:spacing w:after="0"/>
            </w:pPr>
            <w:r>
              <w:rPr>
                <w:sz w:val="14"/>
              </w:rPr>
              <w:t>Open</w:t>
            </w:r>
          </w:p>
        </w:tc>
        <w:tc>
          <w:tcPr>
            <w:tcW w:type="dxa" w:w="8208"/>
            <w:tcMar>
              <w:top w:w="70" w:type="dxa"/>
              <w:start w:w="80" w:type="dxa"/>
              <w:bottom w:w="70" w:type="dxa"/>
              <w:end w:w="80" w:type="dxa"/>
            </w:tcMar>
            <w:vAlign w:val="top"/>
          </w:tcPr>
          <w:p>
            <w:pPr>
              <w:spacing w:after="0"/>
            </w:pPr>
            <w:r>
              <w:rPr>
                <w:sz w:val="14"/>
              </w:rPr>
              <w:t>Persisted subtraction request cannot appear active without a compatible in-memory background; clear explanation/status provided.</w:t>
            </w:r>
          </w:p>
        </w:tc>
      </w:tr>
      <w:tr>
        <w:tc>
          <w:tcPr>
            <w:tcW w:type="dxa" w:w="936"/>
            <w:shd w:fill="EEF1F4"/>
            <w:tcMar>
              <w:top w:w="70" w:type="dxa"/>
              <w:start w:w="80" w:type="dxa"/>
              <w:bottom w:w="70" w:type="dxa"/>
              <w:end w:w="80" w:type="dxa"/>
            </w:tcMar>
            <w:vAlign w:val="top"/>
          </w:tcPr>
          <w:p>
            <w:pPr>
              <w:spacing w:after="0"/>
            </w:pPr>
            <w:r>
              <w:rPr>
                <w:sz w:val="14"/>
              </w:rPr>
              <w:t>P3</w:t>
            </w:r>
          </w:p>
        </w:tc>
        <w:tc>
          <w:tcPr>
            <w:tcW w:type="dxa" w:w="3312"/>
            <w:shd w:fill="EEF1F4"/>
            <w:tcMar>
              <w:top w:w="70" w:type="dxa"/>
              <w:start w:w="80" w:type="dxa"/>
              <w:bottom w:w="70" w:type="dxa"/>
              <w:end w:w="80" w:type="dxa"/>
            </w:tcMar>
            <w:vAlign w:val="top"/>
          </w:tcPr>
          <w:p>
            <w:pPr>
              <w:spacing w:after="0"/>
            </w:pPr>
            <w:r>
              <w:rPr>
                <w:sz w:val="14"/>
              </w:rPr>
              <w:t>Theme/status/layout polish</w:t>
            </w:r>
          </w:p>
        </w:tc>
        <w:tc>
          <w:tcPr>
            <w:tcW w:type="dxa" w:w="1224"/>
            <w:shd w:fill="EEF1F4"/>
            <w:tcMar>
              <w:top w:w="70" w:type="dxa"/>
              <w:start w:w="80" w:type="dxa"/>
              <w:bottom w:w="70" w:type="dxa"/>
              <w:end w:w="80" w:type="dxa"/>
            </w:tcMar>
            <w:vAlign w:val="top"/>
          </w:tcPr>
          <w:p>
            <w:pPr>
              <w:spacing w:after="0"/>
            </w:pPr>
            <w:r>
              <w:rPr>
                <w:sz w:val="14"/>
              </w:rPr>
              <w:t>Open</w:t>
            </w:r>
          </w:p>
        </w:tc>
        <w:tc>
          <w:tcPr>
            <w:tcW w:type="dxa" w:w="8208"/>
            <w:shd w:fill="EEF1F4"/>
            <w:tcMar>
              <w:top w:w="70" w:type="dxa"/>
              <w:start w:w="80" w:type="dxa"/>
              <w:bottom w:w="70" w:type="dxa"/>
              <w:end w:w="80" w:type="dxa"/>
            </w:tcMar>
            <w:vAlign w:val="top"/>
          </w:tcPr>
          <w:p>
            <w:pPr>
              <w:spacing w:after="0"/>
            </w:pPr>
            <w:r>
              <w:rPr>
                <w:sz w:val="14"/>
              </w:rPr>
              <w:t>Cross-theme preview isolation, disabled checked-state visibility, spin arrows, row spacing, status priority, and progress placement pass visual matrix.</w:t>
            </w:r>
          </w:p>
        </w:tc>
      </w:tr>
    </w:tbl>
    <w:p/>
    <w:p>
      <w:pPr>
        <w:pStyle w:val="Heading1"/>
      </w:pPr>
      <w:r>
        <w:t>Known bugs and limitations not fully represented by one task</w:t>
      </w:r>
    </w:p>
    <w:tbl>
      <w:tblPr>
        <w:tblStyle w:val="TableGrid"/>
        <w:tblW w:type="auto" w:w="0"/>
        <w:jc w:val="center"/>
        <w:tblLayout w:type="fixed"/>
        <w:tblLook w:firstColumn="1" w:firstRow="1" w:lastColumn="0" w:lastRow="0" w:noHBand="0" w:noVBand="1" w:val="04A0"/>
      </w:tblPr>
      <w:tblGrid>
        <w:gridCol w:w="3492"/>
        <w:gridCol w:w="3492"/>
        <w:gridCol w:w="3492"/>
        <w:gridCol w:w="3492"/>
      </w:tblGrid>
      <w:tr>
        <w:trPr>
          <w:tblHeader w:val="true"/>
        </w:trPr>
        <w:tc>
          <w:tcPr>
            <w:tcW w:type="dxa" w:w="2088"/>
            <w:shd w:fill="17324D"/>
            <w:tcMar>
              <w:top w:w="70" w:type="dxa"/>
              <w:start w:w="80" w:type="dxa"/>
              <w:bottom w:w="70" w:type="dxa"/>
              <w:end w:w="80" w:type="dxa"/>
            </w:tcMar>
            <w:vAlign w:val="center"/>
          </w:tcPr>
          <w:p>
            <w:r>
              <w:rPr>
                <w:b/>
                <w:color w:val="FFFFFF"/>
                <w:sz w:val="14"/>
              </w:rPr>
              <w:t>Area</w:t>
            </w:r>
          </w:p>
        </w:tc>
        <w:tc>
          <w:tcPr>
            <w:tcW w:type="dxa" w:w="5904"/>
            <w:shd w:fill="17324D"/>
            <w:tcMar>
              <w:top w:w="70" w:type="dxa"/>
              <w:start w:w="80" w:type="dxa"/>
              <w:bottom w:w="70" w:type="dxa"/>
              <w:end w:w="80" w:type="dxa"/>
            </w:tcMar>
            <w:vAlign w:val="center"/>
          </w:tcPr>
          <w:p>
            <w:r>
              <w:rPr>
                <w:b/>
                <w:color w:val="FFFFFF"/>
                <w:sz w:val="14"/>
              </w:rPr>
              <w:t>Issue</w:t>
            </w:r>
          </w:p>
        </w:tc>
        <w:tc>
          <w:tcPr>
            <w:tcW w:type="dxa" w:w="3312"/>
            <w:shd w:fill="17324D"/>
            <w:tcMar>
              <w:top w:w="70" w:type="dxa"/>
              <w:start w:w="80" w:type="dxa"/>
              <w:bottom w:w="70" w:type="dxa"/>
              <w:end w:w="80" w:type="dxa"/>
            </w:tcMar>
            <w:vAlign w:val="center"/>
          </w:tcPr>
          <w:p>
            <w:r>
              <w:rPr>
                <w:b/>
                <w:color w:val="FFFFFF"/>
                <w:sz w:val="14"/>
              </w:rPr>
              <w:t>Impact</w:t>
            </w:r>
          </w:p>
        </w:tc>
        <w:tc>
          <w:tcPr>
            <w:tcW w:type="dxa" w:w="2376"/>
            <w:shd w:fill="17324D"/>
            <w:tcMar>
              <w:top w:w="70" w:type="dxa"/>
              <w:start w:w="80" w:type="dxa"/>
              <w:bottom w:w="70" w:type="dxa"/>
              <w:end w:w="80" w:type="dxa"/>
            </w:tcMar>
            <w:vAlign w:val="center"/>
          </w:tcPr>
          <w:p>
            <w:r>
              <w:rPr>
                <w:b/>
                <w:color w:val="FFFFFF"/>
                <w:sz w:val="14"/>
              </w:rPr>
              <w:t>Current state</w:t>
            </w:r>
          </w:p>
        </w:tc>
      </w:tr>
      <w:tr>
        <w:tc>
          <w:tcPr>
            <w:tcW w:type="dxa" w:w="2088"/>
            <w:tcMar>
              <w:top w:w="70" w:type="dxa"/>
              <w:start w:w="80" w:type="dxa"/>
              <w:bottom w:w="70" w:type="dxa"/>
              <w:end w:w="80" w:type="dxa"/>
            </w:tcMar>
            <w:vAlign w:val="top"/>
          </w:tcPr>
          <w:p>
            <w:pPr>
              <w:spacing w:after="0"/>
            </w:pPr>
            <w:r>
              <w:rPr>
                <w:sz w:val="14"/>
              </w:rPr>
              <w:t>Cooler warning</w:t>
            </w:r>
          </w:p>
        </w:tc>
        <w:tc>
          <w:tcPr>
            <w:tcW w:type="dxa" w:w="5904"/>
            <w:tcMar>
              <w:top w:w="70" w:type="dxa"/>
              <w:start w:w="80" w:type="dxa"/>
              <w:bottom w:w="70" w:type="dxa"/>
              <w:end w:w="80" w:type="dxa"/>
            </w:tcMar>
            <w:vAlign w:val="top"/>
          </w:tcPr>
          <w:p>
            <w:pPr>
              <w:spacing w:after="0"/>
            </w:pPr>
            <w:r>
              <w:rPr>
                <w:sz w:val="14"/>
              </w:rPr>
              <w:t>Window-close/emergency sequences can open overlapping or repeated dialogs; theme restart can trigger a temperature warning.</w:t>
            </w:r>
          </w:p>
        </w:tc>
        <w:tc>
          <w:tcPr>
            <w:tcW w:type="dxa" w:w="3312"/>
            <w:tcMar>
              <w:top w:w="70" w:type="dxa"/>
              <w:start w:w="80" w:type="dxa"/>
              <w:bottom w:w="70" w:type="dxa"/>
              <w:end w:w="80" w:type="dxa"/>
            </w:tcMar>
            <w:vAlign w:val="top"/>
          </w:tcPr>
          <w:p>
            <w:pPr>
              <w:spacing w:after="0"/>
            </w:pPr>
            <w:r>
              <w:rPr>
                <w:sz w:val="14"/>
              </w:rPr>
              <w:t>Functional/safety UX</w:t>
            </w:r>
          </w:p>
        </w:tc>
        <w:tc>
          <w:tcPr>
            <w:tcW w:type="dxa" w:w="2376"/>
            <w:tcMar>
              <w:top w:w="70" w:type="dxa"/>
              <w:start w:w="80" w:type="dxa"/>
              <w:bottom w:w="70" w:type="dxa"/>
              <w:end w:w="80" w:type="dxa"/>
            </w:tcMar>
            <w:vAlign w:val="top"/>
          </w:tcPr>
          <w:p>
            <w:pPr>
              <w:spacing w:after="0"/>
            </w:pPr>
            <w:r>
              <w:rPr>
                <w:sz w:val="14"/>
              </w:rPr>
              <w:t>Open</w:t>
            </w:r>
          </w:p>
        </w:tc>
      </w:tr>
      <w:tr>
        <w:tc>
          <w:tcPr>
            <w:tcW w:type="dxa" w:w="2088"/>
            <w:shd w:fill="EEF1F4"/>
            <w:tcMar>
              <w:top w:w="70" w:type="dxa"/>
              <w:start w:w="80" w:type="dxa"/>
              <w:bottom w:w="70" w:type="dxa"/>
              <w:end w:w="80" w:type="dxa"/>
            </w:tcMar>
            <w:vAlign w:val="top"/>
          </w:tcPr>
          <w:p>
            <w:pPr>
              <w:spacing w:after="0"/>
            </w:pPr>
            <w:r>
              <w:rPr>
                <w:sz w:val="14"/>
              </w:rPr>
              <w:t>Applied exposure UI</w:t>
            </w:r>
          </w:p>
        </w:tc>
        <w:tc>
          <w:tcPr>
            <w:tcW w:type="dxa" w:w="5904"/>
            <w:shd w:fill="EEF1F4"/>
            <w:tcMar>
              <w:top w:w="70" w:type="dxa"/>
              <w:start w:w="80" w:type="dxa"/>
              <w:bottom w:w="70" w:type="dxa"/>
              <w:end w:w="80" w:type="dxa"/>
            </w:tcMar>
            <w:vAlign w:val="top"/>
          </w:tcPr>
          <w:p>
            <w:pPr>
              <w:spacing w:after="0"/>
            </w:pPr>
            <w:r>
              <w:rPr>
                <w:sz w:val="14"/>
              </w:rPr>
              <w:t>Below the configuration limit, the request can remain visible although saved metadata correctly uses SDK-applied exposure.</w:t>
            </w:r>
          </w:p>
        </w:tc>
        <w:tc>
          <w:tcPr>
            <w:tcW w:type="dxa" w:w="3312"/>
            <w:shd w:fill="EEF1F4"/>
            <w:tcMar>
              <w:top w:w="70" w:type="dxa"/>
              <w:start w:w="80" w:type="dxa"/>
              <w:bottom w:w="70" w:type="dxa"/>
              <w:end w:w="80" w:type="dxa"/>
            </w:tcMar>
            <w:vAlign w:val="top"/>
          </w:tcPr>
          <w:p>
            <w:pPr>
              <w:spacing w:after="0"/>
            </w:pPr>
            <w:r>
              <w:rPr>
                <w:sz w:val="14"/>
              </w:rPr>
              <w:t>Data is truthful; live UI can mislead</w:t>
            </w:r>
          </w:p>
        </w:tc>
        <w:tc>
          <w:tcPr>
            <w:tcW w:type="dxa" w:w="2376"/>
            <w:shd w:fill="EEF1F4"/>
            <w:tcMar>
              <w:top w:w="70" w:type="dxa"/>
              <w:start w:w="80" w:type="dxa"/>
              <w:bottom w:w="70" w:type="dxa"/>
              <w:end w:w="80" w:type="dxa"/>
            </w:tcMar>
            <w:vAlign w:val="top"/>
          </w:tcPr>
          <w:p>
            <w:pPr>
              <w:spacing w:after="0"/>
            </w:pPr>
            <w:r>
              <w:rPr>
                <w:sz w:val="14"/>
              </w:rPr>
              <w:t>Open</w:t>
            </w:r>
          </w:p>
        </w:tc>
      </w:tr>
      <w:tr>
        <w:tc>
          <w:tcPr>
            <w:tcW w:type="dxa" w:w="2088"/>
            <w:tcMar>
              <w:top w:w="70" w:type="dxa"/>
              <w:start w:w="80" w:type="dxa"/>
              <w:bottom w:w="70" w:type="dxa"/>
              <w:end w:w="80" w:type="dxa"/>
            </w:tcMar>
            <w:vAlign w:val="top"/>
          </w:tcPr>
          <w:p>
            <w:pPr>
              <w:spacing w:after="0"/>
            </w:pPr>
            <w:r>
              <w:rPr>
                <w:sz w:val="14"/>
              </w:rPr>
              <w:t>Background checkbox</w:t>
            </w:r>
          </w:p>
        </w:tc>
        <w:tc>
          <w:tcPr>
            <w:tcW w:type="dxa" w:w="5904"/>
            <w:tcMar>
              <w:top w:w="70" w:type="dxa"/>
              <w:start w:w="80" w:type="dxa"/>
              <w:bottom w:w="70" w:type="dxa"/>
              <w:end w:w="80" w:type="dxa"/>
            </w:tcMar>
            <w:vAlign w:val="top"/>
          </w:tcPr>
          <w:p>
            <w:pPr>
              <w:spacing w:after="0"/>
            </w:pPr>
            <w:r>
              <w:rPr>
                <w:sz w:val="14"/>
              </w:rPr>
              <w:t>Subtraction preference persists but background data does not, so checked can initially do nothing.</w:t>
            </w:r>
          </w:p>
        </w:tc>
        <w:tc>
          <w:tcPr>
            <w:tcW w:type="dxa" w:w="3312"/>
            <w:tcMar>
              <w:top w:w="70" w:type="dxa"/>
              <w:start w:w="80" w:type="dxa"/>
              <w:bottom w:w="70" w:type="dxa"/>
              <w:end w:w="80" w:type="dxa"/>
            </w:tcMar>
            <w:vAlign w:val="top"/>
          </w:tcPr>
          <w:p>
            <w:pPr>
              <w:spacing w:after="0"/>
            </w:pPr>
            <w:r>
              <w:rPr>
                <w:sz w:val="14"/>
              </w:rPr>
              <w:t>UX/interpretation</w:t>
            </w:r>
          </w:p>
        </w:tc>
        <w:tc>
          <w:tcPr>
            <w:tcW w:type="dxa" w:w="2376"/>
            <w:tcMar>
              <w:top w:w="70" w:type="dxa"/>
              <w:start w:w="80" w:type="dxa"/>
              <w:bottom w:w="70" w:type="dxa"/>
              <w:end w:w="80" w:type="dxa"/>
            </w:tcMar>
            <w:vAlign w:val="top"/>
          </w:tcPr>
          <w:p>
            <w:pPr>
              <w:spacing w:after="0"/>
            </w:pPr>
            <w:r>
              <w:rPr>
                <w:sz w:val="14"/>
              </w:rPr>
              <w:t>Open</w:t>
            </w:r>
          </w:p>
        </w:tc>
      </w:tr>
      <w:tr>
        <w:tc>
          <w:tcPr>
            <w:tcW w:type="dxa" w:w="2088"/>
            <w:shd w:fill="EEF1F4"/>
            <w:tcMar>
              <w:top w:w="70" w:type="dxa"/>
              <w:start w:w="80" w:type="dxa"/>
              <w:bottom w:w="70" w:type="dxa"/>
              <w:end w:w="80" w:type="dxa"/>
            </w:tcMar>
            <w:vAlign w:val="top"/>
          </w:tcPr>
          <w:p>
            <w:pPr>
              <w:spacing w:after="0"/>
            </w:pPr>
            <w:r>
              <w:rPr>
                <w:sz w:val="14"/>
              </w:rPr>
              <w:t>Theme preview</w:t>
            </w:r>
          </w:p>
        </w:tc>
        <w:tc>
          <w:tcPr>
            <w:tcW w:type="dxa" w:w="5904"/>
            <w:shd w:fill="EEF1F4"/>
            <w:tcMar>
              <w:top w:w="70" w:type="dxa"/>
              <w:start w:w="80" w:type="dxa"/>
              <w:bottom w:w="70" w:type="dxa"/>
              <w:end w:w="80" w:type="dxa"/>
            </w:tcMar>
            <w:vAlign w:val="top"/>
          </w:tcPr>
          <w:p>
            <w:pPr>
              <w:spacing w:after="0"/>
            </w:pPr>
            <w:r>
              <w:rPr>
                <w:sz w:val="14"/>
              </w:rPr>
              <w:t>Outer area and empty table cells can inherit the active theme, mixing light/dark previews; preview and display settings have inconsistent restart prompts.</w:t>
            </w:r>
          </w:p>
        </w:tc>
        <w:tc>
          <w:tcPr>
            <w:tcW w:type="dxa" w:w="3312"/>
            <w:shd w:fill="EEF1F4"/>
            <w:tcMar>
              <w:top w:w="70" w:type="dxa"/>
              <w:start w:w="80" w:type="dxa"/>
              <w:bottom w:w="70" w:type="dxa"/>
              <w:end w:w="80" w:type="dxa"/>
            </w:tcMar>
            <w:vAlign w:val="top"/>
          </w:tcPr>
          <w:p>
            <w:pPr>
              <w:spacing w:after="0"/>
            </w:pPr>
            <w:r>
              <w:rPr>
                <w:sz w:val="14"/>
              </w:rPr>
              <w:t>Visual</w:t>
            </w:r>
          </w:p>
        </w:tc>
        <w:tc>
          <w:tcPr>
            <w:tcW w:type="dxa" w:w="2376"/>
            <w:shd w:fill="EEF1F4"/>
            <w:tcMar>
              <w:top w:w="70" w:type="dxa"/>
              <w:start w:w="80" w:type="dxa"/>
              <w:bottom w:w="70" w:type="dxa"/>
              <w:end w:w="80" w:type="dxa"/>
            </w:tcMar>
            <w:vAlign w:val="top"/>
          </w:tcPr>
          <w:p>
            <w:pPr>
              <w:spacing w:after="0"/>
            </w:pPr>
            <w:r>
              <w:rPr>
                <w:sz w:val="14"/>
              </w:rPr>
              <w:t>Open</w:t>
            </w:r>
          </w:p>
        </w:tc>
      </w:tr>
      <w:tr>
        <w:tc>
          <w:tcPr>
            <w:tcW w:type="dxa" w:w="2088"/>
            <w:tcMar>
              <w:top w:w="70" w:type="dxa"/>
              <w:start w:w="80" w:type="dxa"/>
              <w:bottom w:w="70" w:type="dxa"/>
              <w:end w:w="80" w:type="dxa"/>
            </w:tcMar>
            <w:vAlign w:val="top"/>
          </w:tcPr>
          <w:p>
            <w:pPr>
              <w:spacing w:after="0"/>
            </w:pPr>
            <w:r>
              <w:rPr>
                <w:sz w:val="14"/>
              </w:rPr>
              <w:t>Disabled checks</w:t>
            </w:r>
          </w:p>
        </w:tc>
        <w:tc>
          <w:tcPr>
            <w:tcW w:type="dxa" w:w="5904"/>
            <w:tcMar>
              <w:top w:w="70" w:type="dxa"/>
              <w:start w:w="80" w:type="dxa"/>
              <w:bottom w:w="70" w:type="dxa"/>
              <w:end w:w="80" w:type="dxa"/>
            </w:tcMar>
            <w:vAlign w:val="top"/>
          </w:tcPr>
          <w:p>
            <w:pPr>
              <w:spacing w:after="0"/>
            </w:pPr>
            <w:r>
              <w:rPr>
                <w:sz w:val="14"/>
              </w:rPr>
              <w:t>Checked controls can look unchecked while acquisition disables them, especially in light themes.</w:t>
            </w:r>
          </w:p>
        </w:tc>
        <w:tc>
          <w:tcPr>
            <w:tcW w:type="dxa" w:w="3312"/>
            <w:tcMar>
              <w:top w:w="70" w:type="dxa"/>
              <w:start w:w="80" w:type="dxa"/>
              <w:bottom w:w="70" w:type="dxa"/>
              <w:end w:w="80" w:type="dxa"/>
            </w:tcMar>
            <w:vAlign w:val="top"/>
          </w:tcPr>
          <w:p>
            <w:pPr>
              <w:spacing w:after="0"/>
            </w:pPr>
            <w:r>
              <w:rPr>
                <w:sz w:val="14"/>
              </w:rPr>
              <w:t>Visual/state readability</w:t>
            </w:r>
          </w:p>
        </w:tc>
        <w:tc>
          <w:tcPr>
            <w:tcW w:type="dxa" w:w="2376"/>
            <w:tcMar>
              <w:top w:w="70" w:type="dxa"/>
              <w:start w:w="80" w:type="dxa"/>
              <w:bottom w:w="70" w:type="dxa"/>
              <w:end w:w="80" w:type="dxa"/>
            </w:tcMar>
            <w:vAlign w:val="top"/>
          </w:tcPr>
          <w:p>
            <w:pPr>
              <w:spacing w:after="0"/>
            </w:pPr>
            <w:r>
              <w:rPr>
                <w:sz w:val="14"/>
              </w:rPr>
              <w:t>Open</w:t>
            </w:r>
          </w:p>
        </w:tc>
      </w:tr>
      <w:tr>
        <w:tc>
          <w:tcPr>
            <w:tcW w:type="dxa" w:w="2088"/>
            <w:shd w:fill="EEF1F4"/>
            <w:tcMar>
              <w:top w:w="70" w:type="dxa"/>
              <w:start w:w="80" w:type="dxa"/>
              <w:bottom w:w="70" w:type="dxa"/>
              <w:end w:w="80" w:type="dxa"/>
            </w:tcMar>
            <w:vAlign w:val="top"/>
          </w:tcPr>
          <w:p>
            <w:pPr>
              <w:spacing w:after="0"/>
            </w:pPr>
            <w:r>
              <w:rPr>
                <w:sz w:val="14"/>
              </w:rPr>
              <w:t>Status flashing</w:t>
            </w:r>
          </w:p>
        </w:tc>
        <w:tc>
          <w:tcPr>
            <w:tcW w:type="dxa" w:w="5904"/>
            <w:shd w:fill="EEF1F4"/>
            <w:tcMar>
              <w:top w:w="70" w:type="dxa"/>
              <w:start w:w="80" w:type="dxa"/>
              <w:bottom w:w="70" w:type="dxa"/>
              <w:end w:w="80" w:type="dxa"/>
            </w:tcMar>
            <w:vAlign w:val="top"/>
          </w:tcPr>
          <w:p>
            <w:pPr>
              <w:spacing w:after="0"/>
            </w:pPr>
            <w:r>
              <w:rPr>
                <w:sz w:val="14"/>
              </w:rPr>
              <w:t>Rapid OBIS and acquisition progress messages compete in one status line.</w:t>
            </w:r>
          </w:p>
        </w:tc>
        <w:tc>
          <w:tcPr>
            <w:tcW w:type="dxa" w:w="3312"/>
            <w:shd w:fill="EEF1F4"/>
            <w:tcMar>
              <w:top w:w="70" w:type="dxa"/>
              <w:start w:w="80" w:type="dxa"/>
              <w:bottom w:w="70" w:type="dxa"/>
              <w:end w:w="80" w:type="dxa"/>
            </w:tcMar>
            <w:vAlign w:val="top"/>
          </w:tcPr>
          <w:p>
            <w:pPr>
              <w:spacing w:after="0"/>
            </w:pPr>
            <w:r>
              <w:rPr>
                <w:sz w:val="14"/>
              </w:rPr>
              <w:t>Progress readability</w:t>
            </w:r>
          </w:p>
        </w:tc>
        <w:tc>
          <w:tcPr>
            <w:tcW w:type="dxa" w:w="2376"/>
            <w:shd w:fill="EEF1F4"/>
            <w:tcMar>
              <w:top w:w="70" w:type="dxa"/>
              <w:start w:w="80" w:type="dxa"/>
              <w:bottom w:w="70" w:type="dxa"/>
              <w:end w:w="80" w:type="dxa"/>
            </w:tcMar>
            <w:vAlign w:val="top"/>
          </w:tcPr>
          <w:p>
            <w:pPr>
              <w:spacing w:after="0"/>
            </w:pPr>
            <w:r>
              <w:rPr>
                <w:sz w:val="14"/>
              </w:rPr>
              <w:t>Open</w:t>
            </w:r>
          </w:p>
        </w:tc>
      </w:tr>
      <w:tr>
        <w:tc>
          <w:tcPr>
            <w:tcW w:type="dxa" w:w="2088"/>
            <w:tcMar>
              <w:top w:w="70" w:type="dxa"/>
              <w:start w:w="80" w:type="dxa"/>
              <w:bottom w:w="70" w:type="dxa"/>
              <w:end w:w="80" w:type="dxa"/>
            </w:tcMar>
            <w:vAlign w:val="top"/>
          </w:tcPr>
          <w:p>
            <w:pPr>
              <w:spacing w:after="0"/>
            </w:pPr>
            <w:r>
              <w:rPr>
                <w:sz w:val="14"/>
              </w:rPr>
              <w:t>Progress placement</w:t>
            </w:r>
          </w:p>
        </w:tc>
        <w:tc>
          <w:tcPr>
            <w:tcW w:type="dxa" w:w="5904"/>
            <w:tcMar>
              <w:top w:w="70" w:type="dxa"/>
              <w:start w:w="80" w:type="dxa"/>
              <w:bottom w:w="70" w:type="dxa"/>
              <w:end w:w="80" w:type="dxa"/>
            </w:tcMar>
            <w:vAlign w:val="top"/>
          </w:tcPr>
          <w:p>
            <w:pPr>
              <w:spacing w:after="0"/>
            </w:pPr>
            <w:r>
              <w:rPr>
                <w:sz w:val="14"/>
              </w:rPr>
              <w:t>Status progress displaces the performance indicator rather than integrating with Take Spectrum or a dedicated area.</w:t>
            </w:r>
          </w:p>
        </w:tc>
        <w:tc>
          <w:tcPr>
            <w:tcW w:type="dxa" w:w="3312"/>
            <w:tcMar>
              <w:top w:w="70" w:type="dxa"/>
              <w:start w:w="80" w:type="dxa"/>
              <w:bottom w:w="70" w:type="dxa"/>
              <w:end w:w="80" w:type="dxa"/>
            </w:tcMar>
            <w:vAlign w:val="top"/>
          </w:tcPr>
          <w:p>
            <w:pPr>
              <w:spacing w:after="0"/>
            </w:pPr>
            <w:r>
              <w:rPr>
                <w:sz w:val="14"/>
              </w:rPr>
              <w:t>Visual</w:t>
            </w:r>
          </w:p>
        </w:tc>
        <w:tc>
          <w:tcPr>
            <w:tcW w:type="dxa" w:w="2376"/>
            <w:tcMar>
              <w:top w:w="70" w:type="dxa"/>
              <w:start w:w="80" w:type="dxa"/>
              <w:bottom w:w="70" w:type="dxa"/>
              <w:end w:w="80" w:type="dxa"/>
            </w:tcMar>
            <w:vAlign w:val="top"/>
          </w:tcPr>
          <w:p>
            <w:pPr>
              <w:spacing w:after="0"/>
            </w:pPr>
            <w:r>
              <w:rPr>
                <w:sz w:val="14"/>
              </w:rPr>
              <w:t>Open</w:t>
            </w:r>
          </w:p>
        </w:tc>
      </w:tr>
      <w:tr>
        <w:tc>
          <w:tcPr>
            <w:tcW w:type="dxa" w:w="2088"/>
            <w:shd w:fill="EEF1F4"/>
            <w:tcMar>
              <w:top w:w="70" w:type="dxa"/>
              <w:start w:w="80" w:type="dxa"/>
              <w:bottom w:w="70" w:type="dxa"/>
              <w:end w:w="80" w:type="dxa"/>
            </w:tcMar>
            <w:vAlign w:val="top"/>
          </w:tcPr>
          <w:p>
            <w:pPr>
              <w:spacing w:after="0"/>
            </w:pPr>
            <w:r>
              <w:rPr>
                <w:sz w:val="14"/>
              </w:rPr>
              <w:t>Control spacing/order</w:t>
            </w:r>
          </w:p>
        </w:tc>
        <w:tc>
          <w:tcPr>
            <w:tcW w:type="dxa" w:w="5904"/>
            <w:shd w:fill="EEF1F4"/>
            <w:tcMar>
              <w:top w:w="70" w:type="dxa"/>
              <w:start w:w="80" w:type="dxa"/>
              <w:bottom w:w="70" w:type="dxa"/>
              <w:end w:w="80" w:type="dxa"/>
            </w:tcMar>
            <w:vAlign w:val="top"/>
          </w:tcPr>
          <w:p>
            <w:pPr>
              <w:spacing w:after="0"/>
            </w:pPr>
            <w:r>
              <w:rPr>
                <w:sz w:val="14"/>
              </w:rPr>
              <w:t>Some label/checkbox gaps and Measure power versus channel checkbox order are inconsistent; dark spin arrows have low contrast.</w:t>
            </w:r>
          </w:p>
        </w:tc>
        <w:tc>
          <w:tcPr>
            <w:tcW w:type="dxa" w:w="3312"/>
            <w:shd w:fill="EEF1F4"/>
            <w:tcMar>
              <w:top w:w="70" w:type="dxa"/>
              <w:start w:w="80" w:type="dxa"/>
              <w:bottom w:w="70" w:type="dxa"/>
              <w:end w:w="80" w:type="dxa"/>
            </w:tcMar>
            <w:vAlign w:val="top"/>
          </w:tcPr>
          <w:p>
            <w:pPr>
              <w:spacing w:after="0"/>
            </w:pPr>
            <w:r>
              <w:rPr>
                <w:sz w:val="14"/>
              </w:rPr>
              <w:t>Visual</w:t>
            </w:r>
          </w:p>
        </w:tc>
        <w:tc>
          <w:tcPr>
            <w:tcW w:type="dxa" w:w="2376"/>
            <w:shd w:fill="EEF1F4"/>
            <w:tcMar>
              <w:top w:w="70" w:type="dxa"/>
              <w:start w:w="80" w:type="dxa"/>
              <w:bottom w:w="70" w:type="dxa"/>
              <w:end w:w="80" w:type="dxa"/>
            </w:tcMar>
            <w:vAlign w:val="top"/>
          </w:tcPr>
          <w:p>
            <w:pPr>
              <w:spacing w:after="0"/>
            </w:pPr>
            <w:r>
              <w:rPr>
                <w:sz w:val="14"/>
              </w:rPr>
              <w:t>Open</w:t>
            </w:r>
          </w:p>
        </w:tc>
      </w:tr>
      <w:tr>
        <w:tc>
          <w:tcPr>
            <w:tcW w:type="dxa" w:w="2088"/>
            <w:tcMar>
              <w:top w:w="70" w:type="dxa"/>
              <w:start w:w="80" w:type="dxa"/>
              <w:bottom w:w="70" w:type="dxa"/>
              <w:end w:w="80" w:type="dxa"/>
            </w:tcMar>
            <w:vAlign w:val="top"/>
          </w:tcPr>
          <w:p>
            <w:pPr>
              <w:spacing w:after="0"/>
            </w:pPr>
            <w:r>
              <w:rPr>
                <w:sz w:val="14"/>
              </w:rPr>
              <w:t>Missing local config</w:t>
            </w:r>
          </w:p>
        </w:tc>
        <w:tc>
          <w:tcPr>
            <w:tcW w:type="dxa" w:w="5904"/>
            <w:tcMar>
              <w:top w:w="70" w:type="dxa"/>
              <w:start w:w="80" w:type="dxa"/>
              <w:bottom w:w="70" w:type="dxa"/>
              <w:end w:w="80" w:type="dxa"/>
            </w:tcMar>
            <w:vAlign w:val="top"/>
          </w:tcPr>
          <w:p>
            <w:pPr>
              <w:spacing w:after="0"/>
            </w:pPr>
            <w:r>
              <w:rPr>
                <w:sz w:val="14"/>
              </w:rPr>
              <w:t>GUI starts safely offline, but a non-terminal user may not understand why no instruments connect.</w:t>
            </w:r>
          </w:p>
        </w:tc>
        <w:tc>
          <w:tcPr>
            <w:tcW w:type="dxa" w:w="3312"/>
            <w:tcMar>
              <w:top w:w="70" w:type="dxa"/>
              <w:start w:w="80" w:type="dxa"/>
              <w:bottom w:w="70" w:type="dxa"/>
              <w:end w:w="80" w:type="dxa"/>
            </w:tcMar>
            <w:vAlign w:val="top"/>
          </w:tcPr>
          <w:p>
            <w:pPr>
              <w:spacing w:after="0"/>
            </w:pPr>
            <w:r>
              <w:rPr>
                <w:sz w:val="14"/>
              </w:rPr>
              <w:t>Onboarding</w:t>
            </w:r>
          </w:p>
        </w:tc>
        <w:tc>
          <w:tcPr>
            <w:tcW w:type="dxa" w:w="2376"/>
            <w:tcMar>
              <w:top w:w="70" w:type="dxa"/>
              <w:start w:w="80" w:type="dxa"/>
              <w:bottom w:w="70" w:type="dxa"/>
              <w:end w:w="80" w:type="dxa"/>
            </w:tcMar>
            <w:vAlign w:val="top"/>
          </w:tcPr>
          <w:p>
            <w:pPr>
              <w:spacing w:after="0"/>
            </w:pPr>
            <w:r>
              <w:rPr>
                <w:sz w:val="14"/>
              </w:rPr>
              <w:t>Open</w:t>
            </w:r>
          </w:p>
        </w:tc>
      </w:tr>
      <w:tr>
        <w:tc>
          <w:tcPr>
            <w:tcW w:type="dxa" w:w="2088"/>
            <w:shd w:fill="EEF1F4"/>
            <w:tcMar>
              <w:top w:w="70" w:type="dxa"/>
              <w:start w:w="80" w:type="dxa"/>
              <w:bottom w:w="70" w:type="dxa"/>
              <w:end w:w="80" w:type="dxa"/>
            </w:tcMar>
            <w:vAlign w:val="top"/>
          </w:tcPr>
          <w:p>
            <w:pPr>
              <w:spacing w:after="0"/>
            </w:pPr>
            <w:r>
              <w:rPr>
                <w:sz w:val="14"/>
              </w:rPr>
              <w:t>Magnetic-field capture</w:t>
            </w:r>
          </w:p>
        </w:tc>
        <w:tc>
          <w:tcPr>
            <w:tcW w:type="dxa" w:w="5904"/>
            <w:shd w:fill="EEF1F4"/>
            <w:tcMar>
              <w:top w:w="70" w:type="dxa"/>
              <w:start w:w="80" w:type="dxa"/>
              <w:bottom w:w="70" w:type="dxa"/>
              <w:end w:w="80" w:type="dxa"/>
            </w:tcMar>
            <w:vAlign w:val="top"/>
          </w:tcPr>
          <w:p>
            <w:pPr>
              <w:spacing w:after="0"/>
            </w:pPr>
            <w:r>
              <w:rPr>
                <w:sz w:val="14"/>
              </w:rPr>
              <w:t>Correctly uses acquisition-time state, but changing Record field after acquisition can surprise users when saving later.</w:t>
            </w:r>
          </w:p>
        </w:tc>
        <w:tc>
          <w:tcPr>
            <w:tcW w:type="dxa" w:w="3312"/>
            <w:shd w:fill="EEF1F4"/>
            <w:tcMar>
              <w:top w:w="70" w:type="dxa"/>
              <w:start w:w="80" w:type="dxa"/>
              <w:bottom w:w="70" w:type="dxa"/>
              <w:end w:w="80" w:type="dxa"/>
            </w:tcMar>
            <w:vAlign w:val="top"/>
          </w:tcPr>
          <w:p>
            <w:pPr>
              <w:spacing w:after="0"/>
            </w:pPr>
            <w:r>
              <w:rPr>
                <w:sz w:val="14"/>
              </w:rPr>
              <w:t>Clarification</w:t>
            </w:r>
          </w:p>
        </w:tc>
        <w:tc>
          <w:tcPr>
            <w:tcW w:type="dxa" w:w="2376"/>
            <w:shd w:fill="EEF1F4"/>
            <w:tcMar>
              <w:top w:w="70" w:type="dxa"/>
              <w:start w:w="80" w:type="dxa"/>
              <w:bottom w:w="70" w:type="dxa"/>
              <w:end w:w="80" w:type="dxa"/>
            </w:tcMar>
            <w:vAlign w:val="top"/>
          </w:tcPr>
          <w:p>
            <w:pPr>
              <w:spacing w:after="0"/>
            </w:pPr>
            <w:r>
              <w:rPr>
                <w:sz w:val="14"/>
              </w:rPr>
              <w:t>Open</w:t>
            </w:r>
          </w:p>
        </w:tc>
      </w:tr>
      <w:tr>
        <w:tc>
          <w:tcPr>
            <w:tcW w:type="dxa" w:w="2088"/>
            <w:tcMar>
              <w:top w:w="70" w:type="dxa"/>
              <w:start w:w="80" w:type="dxa"/>
              <w:bottom w:w="70" w:type="dxa"/>
              <w:end w:w="80" w:type="dxa"/>
            </w:tcMar>
            <w:vAlign w:val="top"/>
          </w:tcPr>
          <w:p>
            <w:pPr>
              <w:spacing w:after="0"/>
            </w:pPr>
            <w:r>
              <w:rPr>
                <w:sz w:val="14"/>
              </w:rPr>
              <w:t>Focus</w:t>
            </w:r>
          </w:p>
        </w:tc>
        <w:tc>
          <w:tcPr>
            <w:tcW w:type="dxa" w:w="5904"/>
            <w:tcMar>
              <w:top w:w="70" w:type="dxa"/>
              <w:start w:w="80" w:type="dxa"/>
              <w:bottom w:w="70" w:type="dxa"/>
              <w:end w:w="80" w:type="dxa"/>
            </w:tcMar>
            <w:vAlign w:val="top"/>
          </w:tcPr>
          <w:p>
            <w:pPr>
              <w:spacing w:after="0"/>
            </w:pPr>
            <w:r>
              <w:rPr>
                <w:sz w:val="14"/>
              </w:rPr>
              <w:t>Current position is readable; a reversible write returned P2INVALID, so production editing is disabled.</w:t>
            </w:r>
          </w:p>
        </w:tc>
        <w:tc>
          <w:tcPr>
            <w:tcW w:type="dxa" w:w="3312"/>
            <w:tcMar>
              <w:top w:w="70" w:type="dxa"/>
              <w:start w:w="80" w:type="dxa"/>
              <w:bottom w:w="70" w:type="dxa"/>
              <w:end w:w="80" w:type="dxa"/>
            </w:tcMar>
            <w:vAlign w:val="top"/>
          </w:tcPr>
          <w:p>
            <w:pPr>
              <w:spacing w:after="0"/>
            </w:pPr>
            <w:r>
              <w:rPr>
                <w:sz w:val="14"/>
              </w:rPr>
              <w:t>Capability boundary</w:t>
            </w:r>
          </w:p>
        </w:tc>
        <w:tc>
          <w:tcPr>
            <w:tcW w:type="dxa" w:w="2376"/>
            <w:tcMar>
              <w:top w:w="70" w:type="dxa"/>
              <w:start w:w="80" w:type="dxa"/>
              <w:bottom w:w="70" w:type="dxa"/>
              <w:end w:w="80" w:type="dxa"/>
            </w:tcMar>
            <w:vAlign w:val="top"/>
          </w:tcPr>
          <w:p>
            <w:pPr>
              <w:spacing w:after="0"/>
            </w:pPr>
            <w:r>
              <w:rPr>
                <w:sz w:val="14"/>
              </w:rPr>
              <w:t>Guarded</w:t>
            </w:r>
          </w:p>
        </w:tc>
      </w:tr>
      <w:tr>
        <w:tc>
          <w:tcPr>
            <w:tcW w:type="dxa" w:w="2088"/>
            <w:shd w:fill="EEF1F4"/>
            <w:tcMar>
              <w:top w:w="70" w:type="dxa"/>
              <w:start w:w="80" w:type="dxa"/>
              <w:bottom w:w="70" w:type="dxa"/>
              <w:end w:w="80" w:type="dxa"/>
            </w:tcMar>
            <w:vAlign w:val="top"/>
          </w:tcPr>
          <w:p>
            <w:pPr>
              <w:spacing w:after="0"/>
            </w:pPr>
            <w:r>
              <w:rPr>
                <w:sz w:val="14"/>
              </w:rPr>
              <w:t>FVB binning</w:t>
            </w:r>
          </w:p>
        </w:tc>
        <w:tc>
          <w:tcPr>
            <w:tcW w:type="dxa" w:w="5904"/>
            <w:shd w:fill="EEF1F4"/>
            <w:tcMar>
              <w:top w:w="70" w:type="dxa"/>
              <w:start w:w="80" w:type="dxa"/>
              <w:bottom w:w="70" w:type="dxa"/>
              <w:end w:w="80" w:type="dxa"/>
            </w:tcMar>
            <w:vAlign w:val="top"/>
          </w:tcPr>
          <w:p>
            <w:pPr>
              <w:spacing w:after="0"/>
            </w:pPr>
            <w:r>
              <w:rPr>
                <w:sz w:val="14"/>
              </w:rPr>
              <w:t>Binning 4 returned DRV_NOT_SUPPORTED in the tested full-vertical-binning path.</w:t>
            </w:r>
          </w:p>
        </w:tc>
        <w:tc>
          <w:tcPr>
            <w:tcW w:type="dxa" w:w="3312"/>
            <w:shd w:fill="EEF1F4"/>
            <w:tcMar>
              <w:top w:w="70" w:type="dxa"/>
              <w:start w:w="80" w:type="dxa"/>
              <w:bottom w:w="70" w:type="dxa"/>
              <w:end w:w="80" w:type="dxa"/>
            </w:tcMar>
            <w:vAlign w:val="top"/>
          </w:tcPr>
          <w:p>
            <w:pPr>
              <w:spacing w:after="0"/>
            </w:pPr>
            <w:r>
              <w:rPr>
                <w:sz w:val="14"/>
              </w:rPr>
              <w:t>Capability boundary</w:t>
            </w:r>
          </w:p>
        </w:tc>
        <w:tc>
          <w:tcPr>
            <w:tcW w:type="dxa" w:w="2376"/>
            <w:shd w:fill="EEF1F4"/>
            <w:tcMar>
              <w:top w:w="70" w:type="dxa"/>
              <w:start w:w="80" w:type="dxa"/>
              <w:bottom w:w="70" w:type="dxa"/>
              <w:end w:w="80" w:type="dxa"/>
            </w:tcMar>
            <w:vAlign w:val="top"/>
          </w:tcPr>
          <w:p>
            <w:pPr>
              <w:spacing w:after="0"/>
            </w:pPr>
            <w:r>
              <w:rPr>
                <w:sz w:val="14"/>
              </w:rPr>
              <w:t>Guarded at 1</w:t>
            </w:r>
          </w:p>
        </w:tc>
      </w:tr>
      <w:tr>
        <w:tc>
          <w:tcPr>
            <w:tcW w:type="dxa" w:w="2088"/>
            <w:tcMar>
              <w:top w:w="70" w:type="dxa"/>
              <w:start w:w="80" w:type="dxa"/>
              <w:bottom w:w="70" w:type="dxa"/>
              <w:end w:w="80" w:type="dxa"/>
            </w:tcMar>
            <w:vAlign w:val="top"/>
          </w:tcPr>
          <w:p>
            <w:pPr>
              <w:spacing w:after="0"/>
            </w:pPr>
            <w:r>
              <w:rPr>
                <w:sz w:val="14"/>
              </w:rPr>
              <w:t>Laser timing</w:t>
            </w:r>
          </w:p>
        </w:tc>
        <w:tc>
          <w:tcPr>
            <w:tcW w:type="dxa" w:w="5904"/>
            <w:tcMar>
              <w:top w:w="70" w:type="dxa"/>
              <w:start w:w="80" w:type="dxa"/>
              <w:bottom w:w="70" w:type="dxa"/>
              <w:end w:w="80" w:type="dxa"/>
            </w:tcMar>
            <w:vAlign w:val="top"/>
          </w:tcPr>
          <w:p>
            <w:pPr>
              <w:spacing w:after="0"/>
            </w:pPr>
            <w:r>
              <w:rPr>
                <w:sz w:val="14"/>
              </w:rPr>
              <w:t>No optical transition timestamp; current origin follows serial command/readback completion and GUI signal delivery.</w:t>
            </w:r>
          </w:p>
        </w:tc>
        <w:tc>
          <w:tcPr>
            <w:tcW w:type="dxa" w:w="3312"/>
            <w:tcMar>
              <w:top w:w="70" w:type="dxa"/>
              <w:start w:w="80" w:type="dxa"/>
              <w:bottom w:w="70" w:type="dxa"/>
              <w:end w:w="80" w:type="dxa"/>
            </w:tcMar>
            <w:vAlign w:val="top"/>
          </w:tcPr>
          <w:p>
            <w:pPr>
              <w:spacing w:after="0"/>
            </w:pPr>
            <w:r>
              <w:rPr>
                <w:sz w:val="14"/>
              </w:rPr>
              <w:t>Measurement limitation</w:t>
            </w:r>
          </w:p>
        </w:tc>
        <w:tc>
          <w:tcPr>
            <w:tcW w:type="dxa" w:w="2376"/>
            <w:tcMar>
              <w:top w:w="70" w:type="dxa"/>
              <w:start w:w="80" w:type="dxa"/>
              <w:bottom w:w="70" w:type="dxa"/>
              <w:end w:w="80" w:type="dxa"/>
            </w:tcMar>
            <w:vAlign w:val="top"/>
          </w:tcPr>
          <w:p>
            <w:pPr>
              <w:spacing w:after="0"/>
            </w:pPr>
            <w:r>
              <w:rPr>
                <w:sz w:val="14"/>
              </w:rPr>
              <w:t>Needs calibration/hardware</w:t>
            </w:r>
          </w:p>
        </w:tc>
      </w:tr>
      <w:tr>
        <w:tc>
          <w:tcPr>
            <w:tcW w:type="dxa" w:w="2088"/>
            <w:shd w:fill="EEF1F4"/>
            <w:tcMar>
              <w:top w:w="70" w:type="dxa"/>
              <w:start w:w="80" w:type="dxa"/>
              <w:bottom w:w="70" w:type="dxa"/>
              <w:end w:w="80" w:type="dxa"/>
            </w:tcMar>
            <w:vAlign w:val="top"/>
          </w:tcPr>
          <w:p>
            <w:pPr>
              <w:spacing w:after="0"/>
            </w:pPr>
            <w:r>
              <w:rPr>
                <w:sz w:val="14"/>
              </w:rPr>
              <w:t>Tight fixed windows</w:t>
            </w:r>
          </w:p>
        </w:tc>
        <w:tc>
          <w:tcPr>
            <w:tcW w:type="dxa" w:w="5904"/>
            <w:shd w:fill="EEF1F4"/>
            <w:tcMar>
              <w:top w:w="70" w:type="dxa"/>
              <w:start w:w="80" w:type="dxa"/>
              <w:bottom w:w="70" w:type="dxa"/>
              <w:end w:w="80" w:type="dxa"/>
            </w:tcMar>
            <w:vAlign w:val="top"/>
          </w:tcPr>
          <w:p>
            <w:pPr>
              <w:spacing w:after="0"/>
            </w:pPr>
            <w:r>
              <w:rPr>
                <w:sz w:val="14"/>
              </w:rPr>
              <w:t>A ±2 ms window is narrower than the ~15 ms free-running iDus cadence and may have poor yield.</w:t>
            </w:r>
          </w:p>
        </w:tc>
        <w:tc>
          <w:tcPr>
            <w:tcW w:type="dxa" w:w="3312"/>
            <w:shd w:fill="EEF1F4"/>
            <w:tcMar>
              <w:top w:w="70" w:type="dxa"/>
              <w:start w:w="80" w:type="dxa"/>
              <w:bottom w:w="70" w:type="dxa"/>
              <w:end w:w="80" w:type="dxa"/>
            </w:tcMar>
            <w:vAlign w:val="top"/>
          </w:tcPr>
          <w:p>
            <w:pPr>
              <w:spacing w:after="0"/>
            </w:pPr>
            <w:r>
              <w:rPr>
                <w:sz w:val="14"/>
              </w:rPr>
              <w:t>Throughput limitation</w:t>
            </w:r>
          </w:p>
        </w:tc>
        <w:tc>
          <w:tcPr>
            <w:tcW w:type="dxa" w:w="2376"/>
            <w:shd w:fill="EEF1F4"/>
            <w:tcMar>
              <w:top w:w="70" w:type="dxa"/>
              <w:start w:w="80" w:type="dxa"/>
              <w:bottom w:w="70" w:type="dxa"/>
              <w:end w:w="80" w:type="dxa"/>
            </w:tcMar>
            <w:vAlign w:val="top"/>
          </w:tcPr>
          <w:p>
            <w:pPr>
              <w:spacing w:after="0"/>
            </w:pPr>
            <w:r>
              <w:rPr>
                <w:sz w:val="14"/>
              </w:rPr>
              <w:t>Preview warns</w:t>
            </w:r>
          </w:p>
        </w:tc>
      </w:tr>
    </w:tbl>
    <w:p/>
    <w:p>
      <w:pPr>
        <w:pStyle w:val="Heading1"/>
      </w:pPr>
      <w:r>
        <w:t>Every open task in the project ledger</w:t>
      </w:r>
    </w:p>
    <w:tbl>
      <w:tblPr>
        <w:tblStyle w:val="TableGrid"/>
        <w:tblW w:type="auto" w:w="0"/>
        <w:jc w:val="center"/>
        <w:tblLayout w:type="fixed"/>
        <w:tblLook w:firstColumn="1" w:firstRow="1" w:lastColumn="0" w:lastRow="0" w:noHBand="0" w:noVBand="1" w:val="04A0"/>
      </w:tblPr>
      <w:tblGrid>
        <w:gridCol w:w="4656"/>
        <w:gridCol w:w="4656"/>
        <w:gridCol w:w="4656"/>
      </w:tblGrid>
      <w:tr>
        <w:trPr>
          <w:tblHeader w:val="true"/>
        </w:trPr>
        <w:tc>
          <w:tcPr>
            <w:tcW w:type="dxa" w:w="2304"/>
            <w:shd w:fill="17324D"/>
            <w:tcMar>
              <w:top w:w="70" w:type="dxa"/>
              <w:start w:w="80" w:type="dxa"/>
              <w:bottom w:w="70" w:type="dxa"/>
              <w:end w:w="80" w:type="dxa"/>
            </w:tcMar>
            <w:vAlign w:val="center"/>
          </w:tcPr>
          <w:p>
            <w:r>
              <w:rPr>
                <w:b/>
                <w:color w:val="FFFFFF"/>
                <w:sz w:val="14"/>
              </w:rPr>
              <w:t>Task ID</w:t>
            </w:r>
          </w:p>
        </w:tc>
        <w:tc>
          <w:tcPr>
            <w:tcW w:type="dxa" w:w="1368"/>
            <w:shd w:fill="17324D"/>
            <w:tcMar>
              <w:top w:w="70" w:type="dxa"/>
              <w:start w:w="80" w:type="dxa"/>
              <w:bottom w:w="70" w:type="dxa"/>
              <w:end w:w="80" w:type="dxa"/>
            </w:tcMar>
            <w:vAlign w:val="center"/>
          </w:tcPr>
          <w:p>
            <w:r>
              <w:rPr>
                <w:b/>
                <w:color w:val="FFFFFF"/>
                <w:sz w:val="14"/>
              </w:rPr>
              <w:t>Date</w:t>
            </w:r>
          </w:p>
        </w:tc>
        <w:tc>
          <w:tcPr>
            <w:tcW w:type="dxa" w:w="10080"/>
            <w:shd w:fill="17324D"/>
            <w:tcMar>
              <w:top w:w="70" w:type="dxa"/>
              <w:start w:w="80" w:type="dxa"/>
              <w:bottom w:w="70" w:type="dxa"/>
              <w:end w:w="80" w:type="dxa"/>
            </w:tcMar>
            <w:vAlign w:val="center"/>
          </w:tcPr>
          <w:p>
            <w:r>
              <w:rPr>
                <w:b/>
                <w:color w:val="FFFFFF"/>
                <w:sz w:val="14"/>
              </w:rPr>
              <w:t>Outstanding/partial work</w:t>
            </w:r>
          </w:p>
        </w:tc>
      </w:tr>
      <w:tr>
        <w:tc>
          <w:tcPr>
            <w:tcW w:type="dxa" w:w="2304"/>
            <w:tcMar>
              <w:top w:w="70" w:type="dxa"/>
              <w:start w:w="80" w:type="dxa"/>
              <w:bottom w:w="70" w:type="dxa"/>
              <w:end w:w="80" w:type="dxa"/>
            </w:tcMar>
            <w:vAlign w:val="top"/>
          </w:tcPr>
          <w:p>
            <w:pPr>
              <w:spacing w:after="0"/>
            </w:pPr>
            <w:r>
              <w:rPr>
                <w:sz w:val="14"/>
              </w:rPr>
              <w:t>task-20260819-001</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Bench-validate the completed gated-acquisition integration on real hardware: software ownership, button-state wiring, acknowledgement/result routing, single autosave, persisted settings, absolute-delay metadata, abort behavior, and fail-safe laser disable are implemented; verify ON/OFF, delayed-after-OFF, and transition-series timing and saved-frame counts.</w:t>
            </w:r>
          </w:p>
        </w:tc>
      </w:tr>
      <w:tr>
        <w:tc>
          <w:tcPr>
            <w:tcW w:type="dxa" w:w="2304"/>
            <w:shd w:fill="EEF1F4"/>
            <w:tcMar>
              <w:top w:w="70" w:type="dxa"/>
              <w:start w:w="80" w:type="dxa"/>
              <w:bottom w:w="70" w:type="dxa"/>
              <w:end w:w="80" w:type="dxa"/>
            </w:tcMar>
            <w:vAlign w:val="top"/>
          </w:tcPr>
          <w:p>
            <w:pPr>
              <w:spacing w:after="0"/>
            </w:pPr>
            <w:r>
              <w:rPr>
                <w:sz w:val="14"/>
              </w:rPr>
              <w:t>task-20260819-003</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Bench-validate clean QEPro connection-loss, reconnect, and setting synchronization. SeaBreeze/USB transport normalization, centralized disconnect handling, the -20 to 40 C TEC guard, one read-only temperature health check after a TEC transfer error, and recoverable command-error handling are implemented. The 2026-09-02 candidate additionally clears every completed data-buffer frame and consumes one possible in-flight frame after integration, averaging, or correction changes. Hardware validation remains: reject -40 C without USB disruption, verify the first delivered frame after 1000 ms to 10 ms and averaging/correction changes uses the new settings, verify unchanged settings have no ongoing discard penalty, and confirm a real unplug produces one disconnected transition.</w:t>
            </w:r>
          </w:p>
        </w:tc>
      </w:tr>
      <w:tr>
        <w:tc>
          <w:tcPr>
            <w:tcW w:type="dxa" w:w="2304"/>
            <w:tcMar>
              <w:top w:w="70" w:type="dxa"/>
              <w:start w:w="80" w:type="dxa"/>
              <w:bottom w:w="70" w:type="dxa"/>
              <w:end w:w="80" w:type="dxa"/>
            </w:tcMar>
            <w:vAlign w:val="top"/>
          </w:tcPr>
          <w:p>
            <w:pPr>
              <w:spacing w:after="0"/>
            </w:pPr>
            <w:r>
              <w:rPr>
                <w:sz w:val="14"/>
              </w:rPr>
              <w:t>task-20260819-005</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Complete and harden production Andor support. Native SDK2 camera, ATSpectrograph/Kymera, combined Andor spectrometer, capability-driven controls, camera-to-spectrograph geometry transfer, and basic GUI acquisition now work with the DU401_BVF through atmcd64d_legacy.dll. Remaining work includes functional DLL fallback/configuration, full blocked-light and calibrated-spectrum regression, safe cooler shutdown, real readout/control validation, DU490A InGaAs enumeration and detector switching, and verified Kymera output-port/detector/calibration mapping.</w:t>
            </w:r>
          </w:p>
        </w:tc>
      </w:tr>
      <w:tr>
        <w:tc>
          <w:tcPr>
            <w:tcW w:type="dxa" w:w="2304"/>
            <w:shd w:fill="EEF1F4"/>
            <w:tcMar>
              <w:top w:w="70" w:type="dxa"/>
              <w:start w:w="80" w:type="dxa"/>
              <w:bottom w:w="70" w:type="dxa"/>
              <w:end w:w="80" w:type="dxa"/>
            </w:tcMar>
            <w:vAlign w:val="top"/>
          </w:tcPr>
          <w:p>
            <w:pPr>
              <w:spacing w:after="0"/>
            </w:pPr>
            <w:r>
              <w:rPr>
                <w:sz w:val="14"/>
              </w:rPr>
              <w:t>task-20260819-006</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Bench-validate the completed theme integration. The 2026-09-02 source caches a native System Default widget rendering before the persisted application stylesheet is applied, so preview widgets no longer inherit the active custom theme. Re-test the cached System preview at the lab display scale along with coupled selection/preview, custom themes, visible separators, persistence, and Apply &amp; Restart.</w:t>
            </w:r>
          </w:p>
        </w:tc>
      </w:tr>
      <w:tr>
        <w:tc>
          <w:tcPr>
            <w:tcW w:type="dxa" w:w="2304"/>
            <w:tcMar>
              <w:top w:w="70" w:type="dxa"/>
              <w:start w:w="80" w:type="dxa"/>
              <w:bottom w:w="70" w:type="dxa"/>
              <w:end w:w="80" w:type="dxa"/>
            </w:tcMar>
            <w:vAlign w:val="top"/>
          </w:tcPr>
          <w:p>
            <w:pPr>
              <w:spacing w:after="0"/>
            </w:pPr>
            <w:r>
              <w:rPr>
                <w:sz w:val="14"/>
              </w:rPr>
              <w:t>task-20260819-007</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Bench-test the completed SNR automatic-acquisition workflow against QEPro and emulators: coordinator wiring, fresh verification frames under current SNR settings, bounded integration/averaging adjustments, selected metric/tolerance, abort, repetition detection, and iteration/limit states are implemented.</w:t>
            </w:r>
          </w:p>
        </w:tc>
      </w:tr>
      <w:tr>
        <w:tc>
          <w:tcPr>
            <w:tcW w:type="dxa" w:w="2304"/>
            <w:shd w:fill="EEF1F4"/>
            <w:tcMar>
              <w:top w:w="70" w:type="dxa"/>
              <w:start w:w="80" w:type="dxa"/>
              <w:bottom w:w="70" w:type="dxa"/>
              <w:end w:w="80" w:type="dxa"/>
            </w:tcMar>
            <w:vAlign w:val="top"/>
          </w:tcPr>
          <w:p>
            <w:pPr>
              <w:spacing w:after="0"/>
            </w:pPr>
            <w:r>
              <w:rPr>
                <w:sz w:val="14"/>
              </w:rPr>
              <w:t>task-20260819-008</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Finish Newport acquisition decoupling and quantitative exposure association. Newport now has an independent worker/thread and optional before-spectrum-after routing no longer shares the spectrometer worker, but complete exposure-synchronous or timestamped ring-buffer statistics (mean, RMS, peak-to-peak, slope, valid count, rejected count) and real-hardware throughput validation remain.</w:t>
            </w:r>
          </w:p>
        </w:tc>
      </w:tr>
      <w:tr>
        <w:tc>
          <w:tcPr>
            <w:tcW w:type="dxa" w:w="2304"/>
            <w:tcMar>
              <w:top w:w="70" w:type="dxa"/>
              <w:start w:w="80" w:type="dxa"/>
              <w:bottom w:w="70" w:type="dxa"/>
              <w:end w:w="80" w:type="dxa"/>
            </w:tcMar>
            <w:vAlign w:val="top"/>
          </w:tcPr>
          <w:p>
            <w:pPr>
              <w:spacing w:after="0"/>
            </w:pPr>
            <w:r>
              <w:rPr>
                <w:sz w:val="14"/>
              </w:rPr>
              <w:t>task-20260819-009</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Benchmark OceanDirect high-speed/device averaging and buffered acquisition on the QEPro, then decide whether to add OceanDirect as an optional spectrometer backend while retaining seabreeze as the stable default.</w:t>
            </w:r>
          </w:p>
        </w:tc>
      </w:tr>
      <w:tr>
        <w:tc>
          <w:tcPr>
            <w:tcW w:type="dxa" w:w="2304"/>
            <w:shd w:fill="EEF1F4"/>
            <w:tcMar>
              <w:top w:w="70" w:type="dxa"/>
              <w:start w:w="80" w:type="dxa"/>
              <w:bottom w:w="70" w:type="dxa"/>
              <w:end w:w="80" w:type="dxa"/>
            </w:tcMar>
            <w:vAlign w:val="top"/>
          </w:tcPr>
          <w:p>
            <w:pPr>
              <w:spacing w:after="0"/>
            </w:pPr>
            <w:r>
              <w:rPr>
                <w:sz w:val="14"/>
              </w:rPr>
              <w:t>task-20260819-010</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Bench-validate background subtraction as an explicit, reproducible processing path. Schema v2 now preserves canonical adapter-output counts separately from displayed/processed values, and live subtraction requires a strict stable signature covering backend/detector identity, wavelength grid/calibration, instrument state, correction flags, averaging, and integration. Dedicated mismatch handling is implemented. Remaining work is real-detector validation and a decision on whether a separately validated rate-scaled policy should ever be added.</w:t>
            </w:r>
          </w:p>
        </w:tc>
      </w:tr>
      <w:tr>
        <w:tc>
          <w:tcPr>
            <w:tcW w:type="dxa" w:w="2304"/>
            <w:tcMar>
              <w:top w:w="70" w:type="dxa"/>
              <w:start w:w="80" w:type="dxa"/>
              <w:bottom w:w="70" w:type="dxa"/>
              <w:end w:w="80" w:type="dxa"/>
            </w:tcMar>
            <w:vAlign w:val="top"/>
          </w:tcPr>
          <w:p>
            <w:pPr>
              <w:spacing w:after="0"/>
            </w:pPr>
            <w:r>
              <w:rPr>
                <w:sz w:val="14"/>
              </w:rPr>
              <w:t>task-20260819-011</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Implement processing/analysis modules for spectral-template amplitude fitting, shift/baseline separation, PL versus measured power fitting/interpolation, common-power magneto-PL calculation, drift/null/Allan stability diagnostics, uncertainty estimates, and live/offline analysis views.</w:t>
            </w:r>
          </w:p>
        </w:tc>
      </w:tr>
      <w:tr>
        <w:tc>
          <w:tcPr>
            <w:tcW w:type="dxa" w:w="2304"/>
            <w:shd w:fill="EEF1F4"/>
            <w:tcMar>
              <w:top w:w="70" w:type="dxa"/>
              <w:start w:w="80" w:type="dxa"/>
              <w:bottom w:w="70" w:type="dxa"/>
              <w:end w:w="80" w:type="dxa"/>
            </w:tcMar>
            <w:vAlign w:val="top"/>
          </w:tcPr>
          <w:p>
            <w:pPr>
              <w:spacing w:after="0"/>
            </w:pPr>
            <w:r>
              <w:rPr>
                <w:sz w:val="14"/>
              </w:rPr>
              <w:t>task-20260819-012</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Add experiment-consistency scan options: randomized or bidirectional power order, repeated reference-power insertion, pre/post zero-field blocks, settling/discard frames after manual changes, null-difference analysis, and minimum-SNR/quality warnings.</w:t>
            </w:r>
          </w:p>
        </w:tc>
      </w:tr>
      <w:tr>
        <w:tc>
          <w:tcPr>
            <w:tcW w:type="dxa" w:w="2304"/>
            <w:tcMar>
              <w:top w:w="70" w:type="dxa"/>
              <w:start w:w="80" w:type="dxa"/>
              <w:bottom w:w="70" w:type="dxa"/>
              <w:end w:w="80" w:type="dxa"/>
            </w:tcMar>
            <w:vAlign w:val="top"/>
          </w:tcPr>
          <w:p>
            <w:pPr>
              <w:spacing w:after="0"/>
            </w:pPr>
            <w:r>
              <w:rPr>
                <w:sz w:val="14"/>
              </w:rPr>
              <w:t>task-20260819-013</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Add phosphorescence workflows for Kymera or QEPro: continuous/kinetic acquisition around laser-off transitions, decay metadata and fitting, timing-jitter reporting, and optional Thorlabs SH05 shutter control once the exact shutter-controller model is identified.</w:t>
            </w:r>
          </w:p>
        </w:tc>
      </w:tr>
      <w:tr>
        <w:tc>
          <w:tcPr>
            <w:tcW w:type="dxa" w:w="2304"/>
            <w:shd w:fill="EEF1F4"/>
            <w:tcMar>
              <w:top w:w="70" w:type="dxa"/>
              <w:start w:w="80" w:type="dxa"/>
              <w:bottom w:w="70" w:type="dxa"/>
              <w:end w:w="80" w:type="dxa"/>
            </w:tcMar>
            <w:vAlign w:val="top"/>
          </w:tcPr>
          <w:p>
            <w:pPr>
              <w:spacing w:after="0"/>
            </w:pPr>
            <w:r>
              <w:rPr>
                <w:sz w:val="14"/>
              </w:rPr>
              <w:t>task-20260819-014</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Add optional spectral-response correction using a user-supplied calibrated system-response curve while always retaining raw counts; document the QEPro-FL grating/detector/slit/order-sorting configuration and response-calibration procedure.</w:t>
            </w:r>
          </w:p>
        </w:tc>
      </w:tr>
      <w:tr>
        <w:tc>
          <w:tcPr>
            <w:tcW w:type="dxa" w:w="2304"/>
            <w:tcMar>
              <w:top w:w="70" w:type="dxa"/>
              <w:start w:w="80" w:type="dxa"/>
              <w:bottom w:w="70" w:type="dxa"/>
              <w:end w:w="80" w:type="dxa"/>
            </w:tcMar>
            <w:vAlign w:val="top"/>
          </w:tcPr>
          <w:p>
            <w:pPr>
              <w:spacing w:after="0"/>
            </w:pPr>
            <w:r>
              <w:rPr>
                <w:sz w:val="14"/>
              </w:rPr>
              <w:t>task-20260819-015</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Package the stabilized GUI as a Windows standalone application, starting with a PyInstaller one-directory build, including config/theme resources while relying on installed vendor drivers, then create an installer after QEPro/Newport/OBIS/Andor validation.</w:t>
            </w:r>
          </w:p>
        </w:tc>
      </w:tr>
      <w:tr>
        <w:tc>
          <w:tcPr>
            <w:tcW w:type="dxa" w:w="2304"/>
            <w:shd w:fill="EEF1F4"/>
            <w:tcMar>
              <w:top w:w="70" w:type="dxa"/>
              <w:start w:w="80" w:type="dxa"/>
              <w:bottom w:w="70" w:type="dxa"/>
              <w:end w:w="80" w:type="dxa"/>
            </w:tcMar>
            <w:vAlign w:val="top"/>
          </w:tcPr>
          <w:p>
            <w:pPr>
              <w:spacing w:after="0"/>
            </w:pPr>
            <w:r>
              <w:rPr>
                <w:sz w:val="14"/>
              </w:rPr>
              <w:t>task-20260819-016</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Complete a full real-instrument regression of the merged 2026-09-02 candidate. Source fixes now cover System Default preview isolation, QEPro TEC/stale-buffer behavior, instrument-disconnect state propagation, Newport process-isolated hot reconnect, GUI-first expected errors, and invalid filename tokens. Bench validation remains for those paths, while OBIS physical-key/interlock truth and fail-safe optical state remain unresolved safety work. Repeat startup/shutdown/reconnect tests under partial hardware availability before declaring the release validated.</w:t>
            </w:r>
          </w:p>
        </w:tc>
      </w:tr>
      <w:tr>
        <w:tc>
          <w:tcPr>
            <w:tcW w:type="dxa" w:w="2304"/>
            <w:tcMar>
              <w:top w:w="70" w:type="dxa"/>
              <w:start w:w="80" w:type="dxa"/>
              <w:bottom w:w="70" w:type="dxa"/>
              <w:end w:w="80" w:type="dxa"/>
            </w:tcMar>
            <w:vAlign w:val="top"/>
          </w:tcPr>
          <w:p>
            <w:pPr>
              <w:spacing w:after="0"/>
            </w:pPr>
            <w:r>
              <w:rPr>
                <w:sz w:val="14"/>
              </w:rPr>
              <w:t>task-20260819-017</w:t>
            </w:r>
          </w:p>
        </w:tc>
        <w:tc>
          <w:tcPr>
            <w:tcW w:type="dxa" w:w="1368"/>
            <w:tcMar>
              <w:top w:w="70" w:type="dxa"/>
              <w:start w:w="80" w:type="dxa"/>
              <w:bottom w:w="70" w:type="dxa"/>
              <w:end w:w="80" w:type="dxa"/>
            </w:tcMar>
            <w:vAlign w:val="top"/>
          </w:tcPr>
          <w:p>
            <w:pPr>
              <w:spacing w:after="0"/>
            </w:pPr>
            <w:r>
              <w:rPr>
                <w:sz w:val="14"/>
              </w:rPr>
              <w:t>2026-08-19</w:t>
            </w:r>
          </w:p>
        </w:tc>
        <w:tc>
          <w:tcPr>
            <w:tcW w:type="dxa" w:w="10080"/>
            <w:tcMar>
              <w:top w:w="70" w:type="dxa"/>
              <w:start w:w="80" w:type="dxa"/>
              <w:bottom w:w="70" w:type="dxa"/>
              <w:end w:w="80" w:type="dxa"/>
            </w:tcMar>
            <w:vAlign w:val="top"/>
          </w:tcPr>
          <w:p>
            <w:pPr>
              <w:spacing w:after="0"/>
            </w:pPr>
            <w:r>
              <w:rPr>
                <w:sz w:val="14"/>
              </w:rPr>
              <w:t>Consider future SR830/lock-in integration with a dedicated photodetector and optional monochromator/filter metadata, while keeping QEPro software-demodulation as a separate slow spectral mode.</w:t>
            </w:r>
          </w:p>
        </w:tc>
      </w:tr>
      <w:tr>
        <w:tc>
          <w:tcPr>
            <w:tcW w:type="dxa" w:w="2304"/>
            <w:shd w:fill="EEF1F4"/>
            <w:tcMar>
              <w:top w:w="70" w:type="dxa"/>
              <w:start w:w="80" w:type="dxa"/>
              <w:bottom w:w="70" w:type="dxa"/>
              <w:end w:w="80" w:type="dxa"/>
            </w:tcMar>
            <w:vAlign w:val="top"/>
          </w:tcPr>
          <w:p>
            <w:pPr>
              <w:spacing w:after="0"/>
            </w:pPr>
            <w:r>
              <w:rPr>
                <w:sz w:val="14"/>
              </w:rPr>
              <w:t>task-20260819-019</w:t>
            </w:r>
          </w:p>
        </w:tc>
        <w:tc>
          <w:tcPr>
            <w:tcW w:type="dxa" w:w="1368"/>
            <w:shd w:fill="EEF1F4"/>
            <w:tcMar>
              <w:top w:w="70" w:type="dxa"/>
              <w:start w:w="80" w:type="dxa"/>
              <w:bottom w:w="70" w:type="dxa"/>
              <w:end w:w="80" w:type="dxa"/>
            </w:tcMar>
            <w:vAlign w:val="top"/>
          </w:tcPr>
          <w:p>
            <w:pPr>
              <w:spacing w:after="0"/>
            </w:pPr>
            <w:r>
              <w:rPr>
                <w:sz w:val="14"/>
              </w:rPr>
              <w:t>2026-08-19</w:t>
            </w:r>
          </w:p>
        </w:tc>
        <w:tc>
          <w:tcPr>
            <w:tcW w:type="dxa" w:w="10080"/>
            <w:shd w:fill="EEF1F4"/>
            <w:tcMar>
              <w:top w:w="70" w:type="dxa"/>
              <w:start w:w="80" w:type="dxa"/>
              <w:bottom w:w="70" w:type="dxa"/>
              <w:end w:w="80" w:type="dxa"/>
            </w:tcMar>
            <w:vAlign w:val="top"/>
          </w:tcPr>
          <w:p>
            <w:pPr>
              <w:spacing w:after="0"/>
            </w:pPr>
            <w:r>
              <w:rPr>
                <w:sz w:val="14"/>
              </w:rPr>
              <w:t>Consolidate USB version control: import the spectrometer-gui-reviewed source snapshot as a history-preserving review/2026-08-19-reviewed branch based on current main, move machine-specific settings to config/lab_defaults.local.json, inspect omitted tracked files and all untracked/ignored data, run the outstanding real-hardware regression, merge and tag only after validation, then remove redundant refactor/reviewed directories after confirming they contain no unique work.</w:t>
            </w:r>
          </w:p>
        </w:tc>
      </w:tr>
      <w:tr>
        <w:tc>
          <w:tcPr>
            <w:tcW w:type="dxa" w:w="2304"/>
            <w:tcMar>
              <w:top w:w="70" w:type="dxa"/>
              <w:start w:w="80" w:type="dxa"/>
              <w:bottom w:w="70" w:type="dxa"/>
              <w:end w:w="80" w:type="dxa"/>
            </w:tcMar>
            <w:vAlign w:val="top"/>
          </w:tcPr>
          <w:p>
            <w:pPr>
              <w:spacing w:after="0"/>
            </w:pPr>
            <w:r>
              <w:rPr>
                <w:sz w:val="14"/>
              </w:rPr>
              <w:t>task-20260820-001</w:t>
            </w:r>
          </w:p>
        </w:tc>
        <w:tc>
          <w:tcPr>
            <w:tcW w:type="dxa" w:w="1368"/>
            <w:tcMar>
              <w:top w:w="70" w:type="dxa"/>
              <w:start w:w="80" w:type="dxa"/>
              <w:bottom w:w="70" w:type="dxa"/>
              <w:end w:w="80" w:type="dxa"/>
            </w:tcMar>
            <w:vAlign w:val="top"/>
          </w:tcPr>
          <w:p>
            <w:pPr>
              <w:spacing w:after="0"/>
            </w:pPr>
            <w:r>
              <w:rPr>
                <w:sz w:val="14"/>
              </w:rPr>
              <w:t>2026-08-20</w:t>
            </w:r>
          </w:p>
        </w:tc>
        <w:tc>
          <w:tcPr>
            <w:tcW w:type="dxa" w:w="10080"/>
            <w:tcMar>
              <w:top w:w="70" w:type="dxa"/>
              <w:start w:w="80" w:type="dxa"/>
              <w:bottom w:w="70" w:type="dxa"/>
              <w:end w:w="80" w:type="dxa"/>
            </w:tcMar>
            <w:vAlign w:val="top"/>
          </w:tcPr>
          <w:p>
            <w:pPr>
              <w:spacing w:after="0"/>
            </w:pPr>
            <w:r>
              <w:rPr>
                <w:sz w:val="14"/>
              </w:rPr>
              <w:t>Bench-validate unified transport-loss normalization and connection-state propagation for QEPro, Newport, and OBIS devices. The source closes/removes a confirmed-lost adapter, stops only its polling, aborts dependent acquisition ownership safely, emits one machine-readable disconnected transition, disables/hides associated controls, and keeps offline spectrum viewing available. OBIS key/interlock truth remains separate safety work.</w:t>
            </w:r>
          </w:p>
        </w:tc>
      </w:tr>
      <w:tr>
        <w:tc>
          <w:tcPr>
            <w:tcW w:type="dxa" w:w="2304"/>
            <w:shd w:fill="EEF1F4"/>
            <w:tcMar>
              <w:top w:w="70" w:type="dxa"/>
              <w:start w:w="80" w:type="dxa"/>
              <w:bottom w:w="70" w:type="dxa"/>
              <w:end w:w="80" w:type="dxa"/>
            </w:tcMar>
            <w:vAlign w:val="top"/>
          </w:tcPr>
          <w:p>
            <w:pPr>
              <w:spacing w:after="0"/>
            </w:pPr>
            <w:r>
              <w:rPr>
                <w:sz w:val="14"/>
              </w:rPr>
              <w:t>task-20260820-003</w:t>
            </w:r>
          </w:p>
        </w:tc>
        <w:tc>
          <w:tcPr>
            <w:tcW w:type="dxa" w:w="1368"/>
            <w:shd w:fill="EEF1F4"/>
            <w:tcMar>
              <w:top w:w="70" w:type="dxa"/>
              <w:start w:w="80" w:type="dxa"/>
              <w:bottom w:w="70" w:type="dxa"/>
              <w:end w:w="80" w:type="dxa"/>
            </w:tcMar>
            <w:vAlign w:val="top"/>
          </w:tcPr>
          <w:p>
            <w:pPr>
              <w:spacing w:after="0"/>
            </w:pPr>
            <w:r>
              <w:rPr>
                <w:sz w:val="14"/>
              </w:rPr>
              <w:t>2026-08-20</w:t>
            </w:r>
          </w:p>
        </w:tc>
        <w:tc>
          <w:tcPr>
            <w:tcW w:type="dxa" w:w="10080"/>
            <w:shd w:fill="EEF1F4"/>
            <w:tcMar>
              <w:top w:w="70" w:type="dxa"/>
              <w:start w:w="80" w:type="dxa"/>
              <w:bottom w:w="70" w:type="dxa"/>
              <w:end w:w="80" w:type="dxa"/>
            </w:tcMar>
            <w:vAlign w:val="top"/>
          </w:tcPr>
          <w:p>
            <w:pPr>
              <w:spacing w:after="0"/>
            </w:pPr>
            <w:r>
              <w:rPr>
                <w:sz w:val="14"/>
              </w:rPr>
              <w:t>Bench-validate Newport 2936-R hot reconnect after a power cycle. The focused reconnect probe now compares repeated reconstruction in one Python/CLR process with reconstruction in fresh child processes and records PnP/assembly/device evidence. The GUI now isolates pythonnet, the vendor assembly, device key, and meter object in a restartable spawned helper process; startup performs one quick optional-hardware probe, while an explicit reconnect performs five fresh-process attempts with bounded delays. Return the diagnostic JSON if fresh-process recovery still fails.</w:t>
            </w:r>
          </w:p>
        </w:tc>
      </w:tr>
      <w:tr>
        <w:tc>
          <w:tcPr>
            <w:tcW w:type="dxa" w:w="2304"/>
            <w:tcMar>
              <w:top w:w="70" w:type="dxa"/>
              <w:start w:w="80" w:type="dxa"/>
              <w:bottom w:w="70" w:type="dxa"/>
              <w:end w:w="80" w:type="dxa"/>
            </w:tcMar>
            <w:vAlign w:val="top"/>
          </w:tcPr>
          <w:p>
            <w:pPr>
              <w:spacing w:after="0"/>
            </w:pPr>
            <w:r>
              <w:rPr>
                <w:sz w:val="14"/>
              </w:rPr>
              <w:t>task-20260820-004</w:t>
            </w:r>
          </w:p>
        </w:tc>
        <w:tc>
          <w:tcPr>
            <w:tcW w:type="dxa" w:w="1368"/>
            <w:tcMar>
              <w:top w:w="70" w:type="dxa"/>
              <w:start w:w="80" w:type="dxa"/>
              <w:bottom w:w="70" w:type="dxa"/>
              <w:end w:w="80" w:type="dxa"/>
            </w:tcMar>
            <w:vAlign w:val="top"/>
          </w:tcPr>
          <w:p>
            <w:pPr>
              <w:spacing w:after="0"/>
            </w:pPr>
            <w:r>
              <w:rPr>
                <w:sz w:val="14"/>
              </w:rPr>
              <w:t>2026-08-20</w:t>
            </w:r>
          </w:p>
        </w:tc>
        <w:tc>
          <w:tcPr>
            <w:tcW w:type="dxa" w:w="10080"/>
            <w:tcMar>
              <w:top w:w="70" w:type="dxa"/>
              <w:start w:w="80" w:type="dxa"/>
              <w:bottom w:w="70" w:type="dxa"/>
              <w:end w:w="80" w:type="dxa"/>
            </w:tcMar>
            <w:vAlign w:val="top"/>
          </w:tcPr>
          <w:p>
            <w:pPr>
              <w:spacing w:after="0"/>
            </w:pPr>
            <w:r>
              <w:rPr>
                <w:sz w:val="14"/>
              </w:rPr>
              <w:t>Harden OBIS Laser Box control around the physical key/interlock and power loss. Normalize pyserial failures including timeout reconfiguration, distinguish requested state from verified emission readiness, query supported status/interlock indicators, clear any unverified latched ON request, expose disconnected/interlocked/verified states in the GUI, and require verified readiness for scan and gated workflows.</w:t>
            </w:r>
          </w:p>
        </w:tc>
      </w:tr>
      <w:tr>
        <w:tc>
          <w:tcPr>
            <w:tcW w:type="dxa" w:w="2304"/>
            <w:shd w:fill="EEF1F4"/>
            <w:tcMar>
              <w:top w:w="70" w:type="dxa"/>
              <w:start w:w="80" w:type="dxa"/>
              <w:bottom w:w="70" w:type="dxa"/>
              <w:end w:w="80" w:type="dxa"/>
            </w:tcMar>
            <w:vAlign w:val="top"/>
          </w:tcPr>
          <w:p>
            <w:pPr>
              <w:spacing w:after="0"/>
            </w:pPr>
            <w:r>
              <w:rPr>
                <w:sz w:val="14"/>
              </w:rPr>
              <w:t>task-20260820-005</w:t>
            </w:r>
          </w:p>
        </w:tc>
        <w:tc>
          <w:tcPr>
            <w:tcW w:type="dxa" w:w="1368"/>
            <w:shd w:fill="EEF1F4"/>
            <w:tcMar>
              <w:top w:w="70" w:type="dxa"/>
              <w:start w:w="80" w:type="dxa"/>
              <w:bottom w:w="70" w:type="dxa"/>
              <w:end w:w="80" w:type="dxa"/>
            </w:tcMar>
            <w:vAlign w:val="top"/>
          </w:tcPr>
          <w:p>
            <w:pPr>
              <w:spacing w:after="0"/>
            </w:pPr>
            <w:r>
              <w:rPr>
                <w:sz w:val="14"/>
              </w:rPr>
              <w:t>2026-08-20</w:t>
            </w:r>
          </w:p>
        </w:tc>
        <w:tc>
          <w:tcPr>
            <w:tcW w:type="dxa" w:w="10080"/>
            <w:shd w:fill="EEF1F4"/>
            <w:tcMar>
              <w:top w:w="70" w:type="dxa"/>
              <w:start w:w="80" w:type="dxa"/>
              <w:bottom w:w="70" w:type="dxa"/>
              <w:end w:w="80" w:type="dxa"/>
            </w:tcMar>
            <w:vAlign w:val="top"/>
          </w:tcPr>
          <w:p>
            <w:pPr>
              <w:spacing w:after="0"/>
            </w:pPr>
            <w:r>
              <w:rPr>
                <w:sz w:val="14"/>
              </w:rPr>
              <w:t>Diagnose the lab computer popup "Please insert the last disk of the Multi-Volume set" that recurs on USB device events. Quarantine and test split/corrupt ZIP archives, disable AutoPlay for isolation, back up the removable drive, run a read-only filesystem scan, and confirm whether the trigger is Windows Explorer rather than GUI instrument communication.</w:t>
            </w:r>
          </w:p>
        </w:tc>
      </w:tr>
      <w:tr>
        <w:tc>
          <w:tcPr>
            <w:tcW w:type="dxa" w:w="2304"/>
            <w:tcMar>
              <w:top w:w="70" w:type="dxa"/>
              <w:start w:w="80" w:type="dxa"/>
              <w:bottom w:w="70" w:type="dxa"/>
              <w:end w:w="80" w:type="dxa"/>
            </w:tcMar>
            <w:vAlign w:val="top"/>
          </w:tcPr>
          <w:p>
            <w:pPr>
              <w:spacing w:after="0"/>
            </w:pPr>
            <w:r>
              <w:rPr>
                <w:sz w:val="14"/>
              </w:rPr>
              <w:t>task-20260902-001</w:t>
            </w:r>
          </w:p>
        </w:tc>
        <w:tc>
          <w:tcPr>
            <w:tcW w:type="dxa" w:w="1368"/>
            <w:tcMar>
              <w:top w:w="70" w:type="dxa"/>
              <w:start w:w="80" w:type="dxa"/>
              <w:bottom w:w="70" w:type="dxa"/>
              <w:end w:w="80" w:type="dxa"/>
            </w:tcMar>
            <w:vAlign w:val="top"/>
          </w:tcPr>
          <w:p>
            <w:pPr>
              <w:spacing w:after="0"/>
            </w:pPr>
            <w:r>
              <w:rPr>
                <w:sz w:val="14"/>
              </w:rPr>
              <w:t>2026-09-02</w:t>
            </w:r>
          </w:p>
        </w:tc>
        <w:tc>
          <w:tcPr>
            <w:tcW w:type="dxa" w:w="10080"/>
            <w:tcMar>
              <w:top w:w="70" w:type="dxa"/>
              <w:start w:w="80" w:type="dxa"/>
              <w:bottom w:w="70" w:type="dxa"/>
              <w:end w:w="80" w:type="dxa"/>
            </w:tcMar>
            <w:vAlign w:val="top"/>
          </w:tcPr>
          <w:p>
            <w:pPr>
              <w:spacing w:after="0"/>
            </w:pPr>
            <w:r>
              <w:rPr>
                <w:sz w:val="14"/>
              </w:rPr>
              <w:t>Harden Andor SDK2 DLL selection. Explicit camera-DLL configuration, legacy-first selection, selected-DLL capability/connection reporting, camera-only probe scope, and an isolated-process DLL matrix diagnostic are implemented. The current lab default is atmcd64d_legacy.dll. Remaining work is a production functional fallback policy for other installations; do not load competing SDK2 runtimes sequentially in the GUI process, and never rename/replace Solis DLLs.</w:t>
            </w:r>
          </w:p>
        </w:tc>
      </w:tr>
      <w:tr>
        <w:tc>
          <w:tcPr>
            <w:tcW w:type="dxa" w:w="2304"/>
            <w:shd w:fill="EEF1F4"/>
            <w:tcMar>
              <w:top w:w="70" w:type="dxa"/>
              <w:start w:w="80" w:type="dxa"/>
              <w:bottom w:w="70" w:type="dxa"/>
              <w:end w:w="80" w:type="dxa"/>
            </w:tcMar>
            <w:vAlign w:val="top"/>
          </w:tcPr>
          <w:p>
            <w:pPr>
              <w:spacing w:after="0"/>
            </w:pPr>
            <w:r>
              <w:rPr>
                <w:sz w:val="14"/>
              </w:rPr>
              <w:t>task-20260902-004</w:t>
            </w:r>
          </w:p>
        </w:tc>
        <w:tc>
          <w:tcPr>
            <w:tcW w:type="dxa" w:w="1368"/>
            <w:shd w:fill="EEF1F4"/>
            <w:tcMar>
              <w:top w:w="70" w:type="dxa"/>
              <w:start w:w="80" w:type="dxa"/>
              <w:bottom w:w="70" w:type="dxa"/>
              <w:end w:w="80" w:type="dxa"/>
            </w:tcMar>
            <w:vAlign w:val="top"/>
          </w:tcPr>
          <w:p>
            <w:pPr>
              <w:spacing w:after="0"/>
            </w:pPr>
            <w:r>
              <w:rPr>
                <w:sz w:val="14"/>
              </w:rPr>
              <w:t>2026-09-02</w:t>
            </w:r>
          </w:p>
        </w:tc>
        <w:tc>
          <w:tcPr>
            <w:tcW w:type="dxa" w:w="10080"/>
            <w:shd w:fill="EEF1F4"/>
            <w:tcMar>
              <w:top w:w="70" w:type="dxa"/>
              <w:start w:w="80" w:type="dxa"/>
              <w:bottom w:w="70" w:type="dxa"/>
              <w:end w:w="80" w:type="dxa"/>
            </w:tcMar>
            <w:vAlign w:val="top"/>
          </w:tcPr>
          <w:p>
            <w:pPr>
              <w:spacing w:after="0"/>
            </w:pPr>
            <w:r>
              <w:rPr>
                <w:sz w:val="14"/>
              </w:rPr>
              <w:t>Bench-validate spectrometer source selection. Auto/QEPro/Andor/emulator/disconnected are implemented in configuration, CLI, Windows launcher, and the session Instrument Connections dialog. Auto quietly tries the configured QEPro serial then Andor and starts offline when neither is present; Newport and laser choices remain independent. A chooser for the future case where both detectors are simultaneously visible and a remember-next-startup policy still require user input.</w:t>
            </w:r>
          </w:p>
        </w:tc>
      </w:tr>
      <w:tr>
        <w:tc>
          <w:tcPr>
            <w:tcW w:type="dxa" w:w="2304"/>
            <w:tcMar>
              <w:top w:w="70" w:type="dxa"/>
              <w:start w:w="80" w:type="dxa"/>
              <w:bottom w:w="70" w:type="dxa"/>
              <w:end w:w="80" w:type="dxa"/>
            </w:tcMar>
            <w:vAlign w:val="top"/>
          </w:tcPr>
          <w:p>
            <w:pPr>
              <w:spacing w:after="0"/>
            </w:pPr>
            <w:r>
              <w:rPr>
                <w:sz w:val="14"/>
              </w:rPr>
              <w:t>task-20260902-006</w:t>
            </w:r>
          </w:p>
        </w:tc>
        <w:tc>
          <w:tcPr>
            <w:tcW w:type="dxa" w:w="1368"/>
            <w:tcMar>
              <w:top w:w="70" w:type="dxa"/>
              <w:start w:w="80" w:type="dxa"/>
              <w:bottom w:w="70" w:type="dxa"/>
              <w:end w:w="80" w:type="dxa"/>
            </w:tcMar>
            <w:vAlign w:val="top"/>
          </w:tcPr>
          <w:p>
            <w:pPr>
              <w:spacing w:after="0"/>
            </w:pPr>
            <w:r>
              <w:rPr>
                <w:sz w:val="14"/>
              </w:rPr>
              <w:t>2026-09-02</w:t>
            </w:r>
          </w:p>
        </w:tc>
        <w:tc>
          <w:tcPr>
            <w:tcW w:type="dxa" w:w="10080"/>
            <w:tcMar>
              <w:top w:w="70" w:type="dxa"/>
              <w:start w:w="80" w:type="dxa"/>
              <w:bottom w:w="70" w:type="dxa"/>
              <w:end w:w="80" w:type="dxa"/>
            </w:tcMar>
            <w:vAlign w:val="top"/>
          </w:tcPr>
          <w:p>
            <w:pPr>
              <w:spacing w:after="0"/>
            </w:pPr>
            <w:r>
              <w:rPr>
                <w:sz w:val="14"/>
              </w:rPr>
              <w:t>Bench-validate the implemented session-only laser selector. A compact Use checkbox exists at the left of each row; zero or one laser can be active; selecting another transfers choice; the active box clears on a second click; selection is keyed by port/channel and survives tabs, measurements, edits, and refresh while present; table hover/focus and emission buttons do not select; the choice is not persisted across GUI sessions.</w:t>
            </w:r>
          </w:p>
        </w:tc>
      </w:tr>
      <w:tr>
        <w:tc>
          <w:tcPr>
            <w:tcW w:type="dxa" w:w="2304"/>
            <w:shd w:fill="EEF1F4"/>
            <w:tcMar>
              <w:top w:w="70" w:type="dxa"/>
              <w:start w:w="80" w:type="dxa"/>
              <w:bottom w:w="70" w:type="dxa"/>
              <w:end w:w="80" w:type="dxa"/>
            </w:tcMar>
            <w:vAlign w:val="top"/>
          </w:tcPr>
          <w:p>
            <w:pPr>
              <w:spacing w:after="0"/>
            </w:pPr>
            <w:r>
              <w:rPr>
                <w:sz w:val="14"/>
              </w:rPr>
              <w:t>task-20260902-008</w:t>
            </w:r>
          </w:p>
        </w:tc>
        <w:tc>
          <w:tcPr>
            <w:tcW w:type="dxa" w:w="1368"/>
            <w:shd w:fill="EEF1F4"/>
            <w:tcMar>
              <w:top w:w="70" w:type="dxa"/>
              <w:start w:w="80" w:type="dxa"/>
              <w:bottom w:w="70" w:type="dxa"/>
              <w:end w:w="80" w:type="dxa"/>
            </w:tcMar>
            <w:vAlign w:val="top"/>
          </w:tcPr>
          <w:p>
            <w:pPr>
              <w:spacing w:after="0"/>
            </w:pPr>
            <w:r>
              <w:rPr>
                <w:sz w:val="14"/>
              </w:rPr>
              <w:t>2026-09-02</w:t>
            </w:r>
          </w:p>
        </w:tc>
        <w:tc>
          <w:tcPr>
            <w:tcW w:type="dxa" w:w="10080"/>
            <w:shd w:fill="EEF1F4"/>
            <w:tcMar>
              <w:top w:w="70" w:type="dxa"/>
              <w:start w:w="80" w:type="dxa"/>
              <w:bottom w:w="70" w:type="dxa"/>
              <w:end w:w="80" w:type="dxa"/>
            </w:tcMar>
            <w:vAlign w:val="top"/>
          </w:tcPr>
          <w:p>
            <w:pPr>
              <w:spacing w:after="0"/>
            </w:pPr>
            <w:r>
              <w:rPr>
                <w:sz w:val="14"/>
              </w:rPr>
              <w:t>Verify controller-to-UI import decoupling when merging this candidate against commit aeca6f0. The available reviewed source uses postponed annotations/duck-typed panel dependencies and has no runtime AcquisitionPanel, FilterWheelPanel, LaserPanel, or ScanPanel imports in controllers/scan_coordinator.py. The exact current GitHub source was unavailable, so confirm/remove any imports introduced only upstream and rerun import/coordinator tests.</w:t>
            </w:r>
          </w:p>
        </w:tc>
      </w:tr>
      <w:tr>
        <w:tc>
          <w:tcPr>
            <w:tcW w:type="dxa" w:w="2304"/>
            <w:tcMar>
              <w:top w:w="70" w:type="dxa"/>
              <w:start w:w="80" w:type="dxa"/>
              <w:bottom w:w="70" w:type="dxa"/>
              <w:end w:w="80" w:type="dxa"/>
            </w:tcMar>
            <w:vAlign w:val="top"/>
          </w:tcPr>
          <w:p>
            <w:pPr>
              <w:spacing w:after="0"/>
            </w:pPr>
            <w:r>
              <w:rPr>
                <w:sz w:val="14"/>
              </w:rPr>
              <w:t>task-20260902-011</w:t>
            </w:r>
          </w:p>
        </w:tc>
        <w:tc>
          <w:tcPr>
            <w:tcW w:type="dxa" w:w="1368"/>
            <w:tcMar>
              <w:top w:w="70" w:type="dxa"/>
              <w:start w:w="80" w:type="dxa"/>
              <w:bottom w:w="70" w:type="dxa"/>
              <w:end w:w="80" w:type="dxa"/>
            </w:tcMar>
            <w:vAlign w:val="top"/>
          </w:tcPr>
          <w:p>
            <w:pPr>
              <w:spacing w:after="0"/>
            </w:pPr>
            <w:r>
              <w:rPr>
                <w:sz w:val="14"/>
              </w:rPr>
              <w:t>2026-09-02</w:t>
            </w:r>
          </w:p>
        </w:tc>
        <w:tc>
          <w:tcPr>
            <w:tcW w:type="dxa" w:w="10080"/>
            <w:tcMar>
              <w:top w:w="70" w:type="dxa"/>
              <w:start w:w="80" w:type="dxa"/>
              <w:bottom w:w="70" w:type="dxa"/>
              <w:end w:w="80" w:type="dxa"/>
            </w:tcMar>
            <w:vAlign w:val="top"/>
          </w:tcPr>
          <w:p>
            <w:pPr>
              <w:spacing w:after="0"/>
            </w:pPr>
            <w:r>
              <w:rPr>
                <w:sz w:val="14"/>
              </w:rPr>
              <w:t>Bench-characterize the optimized gated timing path. Planning/preflight/preview are lazy and bounded; settings and reusable detector state are prepared before timing; Newport/frame defaults are off; the coordinator uses perf_counter_ns absolute deadlines and Qt PreciseTimer no-early rechecks; adapters return best-available acquisition bounds; an online robust exposure-aware guard flags individual outliers, discards averaged outliers, and aborts excessive inconsistency; averaged files include timing distributions plus pump/frame/repeat gaps. Andor Run-Till-Abort is now implemented to remove per-frame re-arm overhead. Remaining work is GUI/hardware validation of frame freshness and order, threshold tuning, photodiode/TTL validation, FIRE/strobe/external-trigger calibration, and hardware triggering for time scales software cannot resolve.</w:t>
            </w:r>
          </w:p>
        </w:tc>
      </w:tr>
      <w:tr>
        <w:tc>
          <w:tcPr>
            <w:tcW w:type="dxa" w:w="2304"/>
            <w:shd w:fill="EEF1F4"/>
            <w:tcMar>
              <w:top w:w="70" w:type="dxa"/>
              <w:start w:w="80" w:type="dxa"/>
              <w:bottom w:w="70" w:type="dxa"/>
              <w:end w:w="80" w:type="dxa"/>
            </w:tcMar>
            <w:vAlign w:val="top"/>
          </w:tcPr>
          <w:p>
            <w:pPr>
              <w:spacing w:after="0"/>
            </w:pPr>
            <w:r>
              <w:rPr>
                <w:sz w:val="14"/>
              </w:rPr>
              <w:t>task-20260902-012</w:t>
            </w:r>
          </w:p>
        </w:tc>
        <w:tc>
          <w:tcPr>
            <w:tcW w:type="dxa" w:w="1368"/>
            <w:shd w:fill="EEF1F4"/>
            <w:tcMar>
              <w:top w:w="70" w:type="dxa"/>
              <w:start w:w="80" w:type="dxa"/>
              <w:bottom w:w="70" w:type="dxa"/>
              <w:end w:w="80" w:type="dxa"/>
            </w:tcMar>
            <w:vAlign w:val="top"/>
          </w:tcPr>
          <w:p>
            <w:pPr>
              <w:spacing w:after="0"/>
            </w:pPr>
            <w:r>
              <w:rPr>
                <w:sz w:val="14"/>
              </w:rPr>
              <w:t>2026-09-02</w:t>
            </w:r>
          </w:p>
        </w:tc>
        <w:tc>
          <w:tcPr>
            <w:tcW w:type="dxa" w:w="10080"/>
            <w:shd w:fill="EEF1F4"/>
            <w:tcMar>
              <w:top w:w="70" w:type="dxa"/>
              <w:start w:w="80" w:type="dxa"/>
              <w:bottom w:w="70" w:type="dxa"/>
              <w:end w:w="80" w:type="dxa"/>
            </w:tcMar>
            <w:vAlign w:val="top"/>
          </w:tcPr>
          <w:p>
            <w:pPr>
              <w:spacing w:after="0"/>
            </w:pPr>
            <w:r>
              <w:rPr>
                <w:sz w:val="14"/>
              </w:rPr>
              <w:t>Merge the 2026-09-02 validation candidate against GitHub main aeca6f0995764b430bee7872b363893e7a4bf4f2 (or newer) before deployment. The review environment could verify the commit/timestamp through the project ledger but could not download the private current tree; preserve unique upstream changes and machine-local configuration, confirm the shared repeats-per-point design, then run Python 3.14 pytest and the ordered lab checklist in REVIEW_20260902.md.</w:t>
            </w:r>
          </w:p>
        </w:tc>
      </w:tr>
      <w:tr>
        <w:tc>
          <w:tcPr>
            <w:tcW w:type="dxa" w:w="2304"/>
            <w:tcMar>
              <w:top w:w="70" w:type="dxa"/>
              <w:start w:w="80" w:type="dxa"/>
              <w:bottom w:w="70" w:type="dxa"/>
              <w:end w:w="80" w:type="dxa"/>
            </w:tcMar>
            <w:vAlign w:val="top"/>
          </w:tcPr>
          <w:p>
            <w:pPr>
              <w:spacing w:after="0"/>
            </w:pPr>
            <w:r>
              <w:rPr>
                <w:sz w:val="14"/>
              </w:rPr>
              <w:t>task-20260902-013</w:t>
            </w:r>
          </w:p>
        </w:tc>
        <w:tc>
          <w:tcPr>
            <w:tcW w:type="dxa" w:w="1368"/>
            <w:tcMar>
              <w:top w:w="70" w:type="dxa"/>
              <w:start w:w="80" w:type="dxa"/>
              <w:bottom w:w="70" w:type="dxa"/>
              <w:end w:w="80" w:type="dxa"/>
            </w:tcMar>
            <w:vAlign w:val="top"/>
          </w:tcPr>
          <w:p>
            <w:pPr>
              <w:spacing w:after="0"/>
            </w:pPr>
            <w:r>
              <w:rPr>
                <w:sz w:val="14"/>
              </w:rPr>
              <w:t>2026-09-02</w:t>
            </w:r>
          </w:p>
        </w:tc>
        <w:tc>
          <w:tcPr>
            <w:tcW w:type="dxa" w:w="10080"/>
            <w:tcMar>
              <w:top w:w="70" w:type="dxa"/>
              <w:start w:w="80" w:type="dxa"/>
              <w:bottom w:w="70" w:type="dxa"/>
              <w:end w:w="80" w:type="dxa"/>
            </w:tcMar>
            <w:vAlign w:val="top"/>
          </w:tcPr>
          <w:p>
            <w:pPr>
              <w:spacing w:after="0"/>
            </w:pPr>
            <w:r>
              <w:rPr>
                <w:sz w:val="14"/>
              </w:rPr>
              <w:t>Bench-validate QEPro buffer synchronization. The adapter now detects changes to integration, requested/applied averaging, and correction flags, clears every completed SeaBreeze data_buffer element when available, discards one possible in-flight frame, and returns only the next spectrum. Verify 1000 ms to 10 ms and averaging/correction changes with a stable lamp; unchanged settings must not incur repeated discard or throughput loss.</w:t>
            </w:r>
          </w:p>
        </w:tc>
      </w:tr>
      <w:tr>
        <w:tc>
          <w:tcPr>
            <w:tcW w:type="dxa" w:w="2304"/>
            <w:shd w:fill="EEF1F4"/>
            <w:tcMar>
              <w:top w:w="70" w:type="dxa"/>
              <w:start w:w="80" w:type="dxa"/>
              <w:bottom w:w="70" w:type="dxa"/>
              <w:end w:w="80" w:type="dxa"/>
            </w:tcMar>
            <w:vAlign w:val="top"/>
          </w:tcPr>
          <w:p>
            <w:pPr>
              <w:spacing w:after="0"/>
            </w:pPr>
            <w:r>
              <w:rPr>
                <w:sz w:val="14"/>
              </w:rPr>
              <w:t>task-20260910-004</w:t>
            </w:r>
          </w:p>
        </w:tc>
        <w:tc>
          <w:tcPr>
            <w:tcW w:type="dxa" w:w="1368"/>
            <w:shd w:fill="EEF1F4"/>
            <w:tcMar>
              <w:top w:w="70" w:type="dxa"/>
              <w:start w:w="80" w:type="dxa"/>
              <w:bottom w:w="70" w:type="dxa"/>
              <w:end w:w="80" w:type="dxa"/>
            </w:tcMar>
            <w:vAlign w:val="top"/>
          </w:tcPr>
          <w:p>
            <w:pPr>
              <w:spacing w:after="0"/>
            </w:pPr>
            <w:r>
              <w:rPr>
                <w:sz w:val="14"/>
              </w:rPr>
              <w:t>2026-09-10</w:t>
            </w:r>
          </w:p>
        </w:tc>
        <w:tc>
          <w:tcPr>
            <w:tcW w:type="dxa" w:w="10080"/>
            <w:shd w:fill="EEF1F4"/>
            <w:tcMar>
              <w:top w:w="70" w:type="dxa"/>
              <w:start w:w="80" w:type="dxa"/>
              <w:bottom w:w="70" w:type="dxa"/>
              <w:end w:w="80" w:type="dxa"/>
            </w:tcMar>
            <w:vAlign w:val="top"/>
          </w:tcPr>
          <w:p>
            <w:pPr>
              <w:spacing w:after="0"/>
            </w:pPr>
            <w:r>
              <w:rPr>
                <w:sz w:val="14"/>
              </w:rPr>
              <w:t>Bench-tune and validate the gated timing rejection policy on both QEPro and iDus. The policy decisions are fixed: flag individual outputs, discard averaged outliers, separate rolling baselines by backend and gated mode, warn only for stable bias, save accepted partial averages on user abort without marking them failed, and retain a failure reason for non-user termination. Confirm the five-sample warm-up, 4.5-sigma multiplier, exposure-derived uncertainty floor, and abort above 25 percent after ten evaluations. Use optical/TTL timing evidence rather than SDK call bounds alone.</w:t>
            </w:r>
          </w:p>
        </w:tc>
      </w:tr>
      <w:tr>
        <w:tc>
          <w:tcPr>
            <w:tcW w:type="dxa" w:w="2304"/>
            <w:tcMar>
              <w:top w:w="70" w:type="dxa"/>
              <w:start w:w="80" w:type="dxa"/>
              <w:bottom w:w="70" w:type="dxa"/>
              <w:end w:w="80" w:type="dxa"/>
            </w:tcMar>
            <w:vAlign w:val="top"/>
          </w:tcPr>
          <w:p>
            <w:pPr>
              <w:spacing w:after="0"/>
            </w:pPr>
            <w:r>
              <w:rPr>
                <w:sz w:val="14"/>
              </w:rPr>
              <w:t>task-20260910-006</w:t>
            </w:r>
          </w:p>
        </w:tc>
        <w:tc>
          <w:tcPr>
            <w:tcW w:type="dxa" w:w="1368"/>
            <w:tcMar>
              <w:top w:w="70" w:type="dxa"/>
              <w:start w:w="80" w:type="dxa"/>
              <w:bottom w:w="70" w:type="dxa"/>
              <w:end w:w="80" w:type="dxa"/>
            </w:tcMar>
            <w:vAlign w:val="top"/>
          </w:tcPr>
          <w:p>
            <w:pPr>
              <w:spacing w:after="0"/>
            </w:pPr>
            <w:r>
              <w:rPr>
                <w:sz w:val="14"/>
              </w:rPr>
              <w:t>2026-09-10</w:t>
            </w:r>
          </w:p>
        </w:tc>
        <w:tc>
          <w:tcPr>
            <w:tcW w:type="dxa" w:w="10080"/>
            <w:tcMar>
              <w:top w:w="70" w:type="dxa"/>
              <w:start w:w="80" w:type="dxa"/>
              <w:bottom w:w="70" w:type="dxa"/>
              <w:end w:w="80" w:type="dxa"/>
            </w:tcMar>
            <w:vAlign w:val="top"/>
          </w:tcPr>
          <w:p>
            <w:pPr>
              <w:spacing w:after="0"/>
            </w:pPr>
            <w:r>
              <w:rPr>
                <w:sz w:val="14"/>
              </w:rPr>
              <w:t>Bench-validate the new acquisition progress UI under PySide6: one long exposure, 100 software averages, device averaging, cancellation, failure, live acquisition, background, scan, and gated ownership. Confirm no stale bar, no excessive signal overhead, and correct Acquisition N/M text.</w:t>
            </w:r>
          </w:p>
        </w:tc>
      </w:tr>
      <w:tr>
        <w:tc>
          <w:tcPr>
            <w:tcW w:type="dxa" w:w="2304"/>
            <w:shd w:fill="EEF1F4"/>
            <w:tcMar>
              <w:top w:w="70" w:type="dxa"/>
              <w:start w:w="80" w:type="dxa"/>
              <w:bottom w:w="70" w:type="dxa"/>
              <w:end w:w="80" w:type="dxa"/>
            </w:tcMar>
            <w:vAlign w:val="top"/>
          </w:tcPr>
          <w:p>
            <w:pPr>
              <w:spacing w:after="0"/>
            </w:pPr>
            <w:r>
              <w:rPr>
                <w:sz w:val="14"/>
              </w:rPr>
              <w:t>task-20260910-012</w:t>
            </w:r>
          </w:p>
        </w:tc>
        <w:tc>
          <w:tcPr>
            <w:tcW w:type="dxa" w:w="1368"/>
            <w:shd w:fill="EEF1F4"/>
            <w:tcMar>
              <w:top w:w="70" w:type="dxa"/>
              <w:start w:w="80" w:type="dxa"/>
              <w:bottom w:w="70" w:type="dxa"/>
              <w:end w:w="80" w:type="dxa"/>
            </w:tcMar>
            <w:vAlign w:val="top"/>
          </w:tcPr>
          <w:p>
            <w:pPr>
              <w:spacing w:after="0"/>
            </w:pPr>
            <w:r>
              <w:rPr>
                <w:sz w:val="14"/>
              </w:rPr>
              <w:t>2026-09-10</w:t>
            </w:r>
          </w:p>
        </w:tc>
        <w:tc>
          <w:tcPr>
            <w:tcW w:type="dxa" w:w="10080"/>
            <w:shd w:fill="EEF1F4"/>
            <w:tcMar>
              <w:top w:w="70" w:type="dxa"/>
              <w:start w:w="80" w:type="dxa"/>
              <w:bottom w:w="70" w:type="dxa"/>
              <w:end w:w="80" w:type="dxa"/>
            </w:tcMar>
            <w:vAlign w:val="top"/>
          </w:tcPr>
          <w:p>
            <w:pPr>
              <w:spacing w:after="0"/>
            </w:pPr>
            <w:r>
              <w:rPr>
                <w:sz w:val="14"/>
              </w:rPr>
              <w:t>After the trust model and first pilot are approved, introduce typed capability/adapter contracts and a plugin registry with manifest validation, compatibility checks, enable/disable state, diagnostics, and no direct widget mutation. Recommended first pilot is a read-only magnetic-field sensor; recommended procedure v1 is a bounded declarative YAML/JSON DSL with emulator dry-run, validation, resource locking, cancellation, and audit logs.</w:t>
            </w:r>
          </w:p>
        </w:tc>
      </w:tr>
      <w:tr>
        <w:tc>
          <w:tcPr>
            <w:tcW w:type="dxa" w:w="2304"/>
            <w:tcMar>
              <w:top w:w="70" w:type="dxa"/>
              <w:start w:w="80" w:type="dxa"/>
              <w:bottom w:w="70" w:type="dxa"/>
              <w:end w:w="80" w:type="dxa"/>
            </w:tcMar>
            <w:vAlign w:val="top"/>
          </w:tcPr>
          <w:p>
            <w:pPr>
              <w:spacing w:after="0"/>
            </w:pPr>
            <w:r>
              <w:rPr>
                <w:sz w:val="14"/>
              </w:rPr>
              <w:t>task-20260910-014</w:t>
            </w:r>
          </w:p>
        </w:tc>
        <w:tc>
          <w:tcPr>
            <w:tcW w:type="dxa" w:w="1368"/>
            <w:tcMar>
              <w:top w:w="70" w:type="dxa"/>
              <w:start w:w="80" w:type="dxa"/>
              <w:bottom w:w="70" w:type="dxa"/>
              <w:end w:w="80" w:type="dxa"/>
            </w:tcMar>
            <w:vAlign w:val="top"/>
          </w:tcPr>
          <w:p>
            <w:pPr>
              <w:spacing w:after="0"/>
            </w:pPr>
            <w:r>
              <w:rPr>
                <w:sz w:val="14"/>
              </w:rPr>
              <w:t>2026-09-10</w:t>
            </w:r>
          </w:p>
        </w:tc>
        <w:tc>
          <w:tcPr>
            <w:tcW w:type="dxa" w:w="10080"/>
            <w:tcMar>
              <w:top w:w="70" w:type="dxa"/>
              <w:start w:w="80" w:type="dxa"/>
              <w:bottom w:w="70" w:type="dxa"/>
              <w:end w:w="80" w:type="dxa"/>
            </w:tcMar>
            <w:vAlign w:val="top"/>
          </w:tcPr>
          <w:p>
            <w:pPr>
              <w:spacing w:after="0"/>
            </w:pPr>
            <w:r>
              <w:rPr>
                <w:sz w:val="14"/>
              </w:rPr>
              <w:t>Run the ordered Python 3.14/PySide6/vendor-driver lab checklist in REVIEW_20260909.md before replacing the lab branch. Highest priority: Andor Run-Till-Abort frame freshness/order and 1/5/10 ms applied-exposure matrix; one blocked-light gated run per backend; timing-guard threshold characterization; cooler warm-up/marker behavior; long-acquisition progress; QEPro stale-buffer synchronization; Newport process restart recovery and channel selection; partial-hardware startup; background-throughput regression; smoothing preview/theme rendering; and schema-v4 CSV round trips in the normal analysis workflow.</w:t>
            </w:r>
          </w:p>
        </w:tc>
      </w:tr>
      <w:tr>
        <w:tc>
          <w:tcPr>
            <w:tcW w:type="dxa" w:w="2304"/>
            <w:shd w:fill="EEF1F4"/>
            <w:tcMar>
              <w:top w:w="70" w:type="dxa"/>
              <w:start w:w="80" w:type="dxa"/>
              <w:bottom w:w="70" w:type="dxa"/>
              <w:end w:w="80" w:type="dxa"/>
            </w:tcMar>
            <w:vAlign w:val="top"/>
          </w:tcPr>
          <w:p>
            <w:pPr>
              <w:spacing w:after="0"/>
            </w:pPr>
            <w:r>
              <w:rPr>
                <w:sz w:val="14"/>
              </w:rPr>
              <w:t>task-20260910-015</w:t>
            </w:r>
          </w:p>
        </w:tc>
        <w:tc>
          <w:tcPr>
            <w:tcW w:type="dxa" w:w="1368"/>
            <w:shd w:fill="EEF1F4"/>
            <w:tcMar>
              <w:top w:w="70" w:type="dxa"/>
              <w:start w:w="80" w:type="dxa"/>
              <w:bottom w:w="70" w:type="dxa"/>
              <w:end w:w="80" w:type="dxa"/>
            </w:tcMar>
            <w:vAlign w:val="top"/>
          </w:tcPr>
          <w:p>
            <w:pPr>
              <w:spacing w:after="0"/>
            </w:pPr>
            <w:r>
              <w:rPr>
                <w:sz w:val="14"/>
              </w:rPr>
              <w:t>2026-09-10</w:t>
            </w:r>
          </w:p>
        </w:tc>
        <w:tc>
          <w:tcPr>
            <w:tcW w:type="dxa" w:w="10080"/>
            <w:shd w:fill="EEF1F4"/>
            <w:tcMar>
              <w:top w:w="70" w:type="dxa"/>
              <w:start w:w="80" w:type="dxa"/>
              <w:bottom w:w="70" w:type="dxa"/>
              <w:end w:w="80" w:type="dxa"/>
            </w:tcMar>
            <w:vAlign w:val="top"/>
          </w:tcPr>
          <w:p>
            <w:pPr>
              <w:spacing w:after="0"/>
            </w:pPr>
            <w:r>
              <w:rPr>
                <w:sz w:val="14"/>
              </w:rPr>
              <w:t>Bench-revalidate Andor Run-Till-Abort integration after the 2026-09-11 stale-notification fix. Exercise Live, a power scan, auto-tuning, and every gated mode; change integration/readout/binning between sessions; stop/cancel/reconnect; deliberately let the circular buffer accumulate; and verify returned driver indices are ordered, every pre-request frame is discarded, stale waits recover, overflow becomes a structured error, no stale frame crosses a settings or owner boundary, and metadata reports run_till_abort with correct discarded/pending counts. Ordinary manual Take Spectrum remains a single-scan path.</w:t>
            </w:r>
          </w:p>
        </w:tc>
      </w:tr>
      <w:tr>
        <w:tc>
          <w:tcPr>
            <w:tcW w:type="dxa" w:w="2304"/>
            <w:tcMar>
              <w:top w:w="70" w:type="dxa"/>
              <w:start w:w="80" w:type="dxa"/>
              <w:bottom w:w="70" w:type="dxa"/>
              <w:end w:w="80" w:type="dxa"/>
            </w:tcMar>
            <w:vAlign w:val="top"/>
          </w:tcPr>
          <w:p>
            <w:pPr>
              <w:spacing w:after="0"/>
            </w:pPr>
            <w:r>
              <w:rPr>
                <w:sz w:val="14"/>
              </w:rPr>
              <w:t>task-20260910-016</w:t>
            </w:r>
          </w:p>
        </w:tc>
        <w:tc>
          <w:tcPr>
            <w:tcW w:type="dxa" w:w="1368"/>
            <w:tcMar>
              <w:top w:w="70" w:type="dxa"/>
              <w:start w:w="80" w:type="dxa"/>
              <w:bottom w:w="70" w:type="dxa"/>
              <w:end w:w="80" w:type="dxa"/>
            </w:tcMar>
            <w:vAlign w:val="top"/>
          </w:tcPr>
          <w:p>
            <w:pPr>
              <w:spacing w:after="0"/>
            </w:pPr>
            <w:r>
              <w:rPr>
                <w:sz w:val="14"/>
              </w:rPr>
              <w:t>2026-09-10</w:t>
            </w:r>
          </w:p>
        </w:tc>
        <w:tc>
          <w:tcPr>
            <w:tcW w:type="dxa" w:w="10080"/>
            <w:tcMar>
              <w:top w:w="70" w:type="dxa"/>
              <w:start w:w="80" w:type="dxa"/>
              <w:bottom w:w="70" w:type="dxa"/>
              <w:end w:w="80" w:type="dxa"/>
            </w:tcMar>
            <w:vAlign w:val="top"/>
          </w:tcPr>
          <w:p>
            <w:pPr>
              <w:spacing w:after="0"/>
            </w:pPr>
            <w:r>
              <w:rPr>
                <w:sz w:val="14"/>
              </w:rPr>
              <w:t>Run the blocked-light Andor short-exposure matrix at requested 1, 5, and 10 ms for the available readout/vertical-speed combinations. Confirm SDK2 applied exposure and frame period, verify saved integration_ms is the applied value and integration_requested_ms appears only on mismatch, then decide whether the GUI should constrain requests below a measured configuration-specific floor.</w:t>
            </w:r>
          </w:p>
        </w:tc>
      </w:tr>
      <w:tr>
        <w:tc>
          <w:tcPr>
            <w:tcW w:type="dxa" w:w="2304"/>
            <w:shd w:fill="EEF1F4"/>
            <w:tcMar>
              <w:top w:w="70" w:type="dxa"/>
              <w:start w:w="80" w:type="dxa"/>
              <w:bottom w:w="70" w:type="dxa"/>
              <w:end w:w="80" w:type="dxa"/>
            </w:tcMar>
            <w:vAlign w:val="top"/>
          </w:tcPr>
          <w:p>
            <w:pPr>
              <w:spacing w:after="0"/>
            </w:pPr>
            <w:r>
              <w:rPr>
                <w:sz w:val="14"/>
              </w:rPr>
              <w:t>task-20260910-017</w:t>
            </w:r>
          </w:p>
        </w:tc>
        <w:tc>
          <w:tcPr>
            <w:tcW w:type="dxa" w:w="1368"/>
            <w:shd w:fill="EEF1F4"/>
            <w:tcMar>
              <w:top w:w="70" w:type="dxa"/>
              <w:start w:w="80" w:type="dxa"/>
              <w:bottom w:w="70" w:type="dxa"/>
              <w:end w:w="80" w:type="dxa"/>
            </w:tcMar>
            <w:vAlign w:val="top"/>
          </w:tcPr>
          <w:p>
            <w:pPr>
              <w:spacing w:after="0"/>
            </w:pPr>
            <w:r>
              <w:rPr>
                <w:sz w:val="14"/>
              </w:rPr>
              <w:t>2026-09-10</w:t>
            </w:r>
          </w:p>
        </w:tc>
        <w:tc>
          <w:tcPr>
            <w:tcW w:type="dxa" w:w="10080"/>
            <w:shd w:fill="EEF1F4"/>
            <w:tcMar>
              <w:top w:w="70" w:type="dxa"/>
              <w:start w:w="80" w:type="dxa"/>
              <w:bottom w:w="70" w:type="dxa"/>
              <w:end w:w="80" w:type="dxa"/>
            </w:tcMar>
            <w:vAlign w:val="top"/>
          </w:tcPr>
          <w:p>
            <w:pPr>
              <w:spacing w:after="0"/>
            </w:pPr>
            <w:r>
              <w:rPr>
                <w:sz w:val="14"/>
              </w:rPr>
              <w:t>Bench-validate guided iDus cooler shutdown and startup recovery. Confirm cooler-OFF command/readback, two-second progress updates, normal close at the first reading at or above 0 C, emergency override confirmation, persistence and later clearing of the incomplete marker, behavior after process/USB failure, and whether lab practice or vendor guidance requires consecutive readings or a hold interval.</w:t>
            </w:r>
          </w:p>
        </w:tc>
      </w:tr>
      <w:tr>
        <w:tc>
          <w:tcPr>
            <w:tcW w:type="dxa" w:w="2304"/>
            <w:tcMar>
              <w:top w:w="70" w:type="dxa"/>
              <w:start w:w="80" w:type="dxa"/>
              <w:bottom w:w="70" w:type="dxa"/>
              <w:end w:w="80" w:type="dxa"/>
            </w:tcMar>
            <w:vAlign w:val="top"/>
          </w:tcPr>
          <w:p>
            <w:pPr>
              <w:spacing w:after="0"/>
            </w:pPr>
            <w:r>
              <w:rPr>
                <w:sz w:val="14"/>
              </w:rPr>
              <w:t>task-20260910-018</w:t>
            </w:r>
          </w:p>
        </w:tc>
        <w:tc>
          <w:tcPr>
            <w:tcW w:type="dxa" w:w="1368"/>
            <w:tcMar>
              <w:top w:w="70" w:type="dxa"/>
              <w:start w:w="80" w:type="dxa"/>
              <w:bottom w:w="70" w:type="dxa"/>
              <w:end w:w="80" w:type="dxa"/>
            </w:tcMar>
            <w:vAlign w:val="top"/>
          </w:tcPr>
          <w:p>
            <w:pPr>
              <w:spacing w:after="0"/>
            </w:pPr>
            <w:r>
              <w:rPr>
                <w:sz w:val="14"/>
              </w:rPr>
              <w:t>2026-09-10</w:t>
            </w:r>
          </w:p>
        </w:tc>
        <w:tc>
          <w:tcPr>
            <w:tcW w:type="dxa" w:w="10080"/>
            <w:tcMar>
              <w:top w:w="70" w:type="dxa"/>
              <w:start w:w="80" w:type="dxa"/>
              <w:bottom w:w="70" w:type="dxa"/>
              <w:end w:w="80" w:type="dxa"/>
            </w:tcMar>
            <w:vAlign w:val="top"/>
          </w:tcPr>
          <w:p>
            <w:pPr>
              <w:spacing w:after="0"/>
            </w:pPr>
            <w:r>
              <w:rPr>
                <w:sz w:val="14"/>
              </w:rPr>
              <w:t>Bench-validate Newport channel selection and wrong-channel warnings. Test channel 1, channel 2, and both during single, averaged, live, scan, and gated spectra; verify at least one channel is required when Measure power is active; confirm only selected physical channels are saved and loaded in the same positions; tune the configurable imbalance threshold and consecutive-count warning without auto-switching channels.</w:t>
            </w:r>
          </w:p>
        </w:tc>
      </w:tr>
      <w:tr>
        <w:tc>
          <w:tcPr>
            <w:tcW w:type="dxa" w:w="2304"/>
            <w:shd w:fill="EEF1F4"/>
            <w:tcMar>
              <w:top w:w="70" w:type="dxa"/>
              <w:start w:w="80" w:type="dxa"/>
              <w:bottom w:w="70" w:type="dxa"/>
              <w:end w:w="80" w:type="dxa"/>
            </w:tcMar>
            <w:vAlign w:val="top"/>
          </w:tcPr>
          <w:p>
            <w:pPr>
              <w:spacing w:after="0"/>
            </w:pPr>
            <w:r>
              <w:rPr>
                <w:sz w:val="14"/>
              </w:rPr>
              <w:t>task-20260910-021</w:t>
            </w:r>
          </w:p>
        </w:tc>
        <w:tc>
          <w:tcPr>
            <w:tcW w:type="dxa" w:w="1368"/>
            <w:shd w:fill="EEF1F4"/>
            <w:tcMar>
              <w:top w:w="70" w:type="dxa"/>
              <w:start w:w="80" w:type="dxa"/>
              <w:bottom w:w="70" w:type="dxa"/>
              <w:end w:w="80" w:type="dxa"/>
            </w:tcMar>
            <w:vAlign w:val="top"/>
          </w:tcPr>
          <w:p>
            <w:pPr>
              <w:spacing w:after="0"/>
            </w:pPr>
            <w:r>
              <w:rPr>
                <w:sz w:val="14"/>
              </w:rPr>
              <w:t>2026-09-10</w:t>
            </w:r>
          </w:p>
        </w:tc>
        <w:tc>
          <w:tcPr>
            <w:tcW w:type="dxa" w:w="10080"/>
            <w:shd w:fill="EEF1F4"/>
            <w:tcMar>
              <w:top w:w="70" w:type="dxa"/>
              <w:start w:w="80" w:type="dxa"/>
              <w:bottom w:w="70" w:type="dxa"/>
              <w:end w:w="80" w:type="dxa"/>
            </w:tcMar>
            <w:vAlign w:val="top"/>
          </w:tcPr>
          <w:p>
            <w:pPr>
              <w:spacing w:after="0"/>
            </w:pPr>
            <w:r>
              <w:rPr>
                <w:sz w:val="14"/>
              </w:rPr>
              <w:t>After approving measured-field metadata, implement the first read-only field_sensor.v1 adapter/plugin pilot. Keep manual Record field semantics distinct from measured value, source identity, timestamp/age, and uncertainty; do not add these proposed fields to production spectrum metadata until the schema decision is explicit.</w:t>
            </w:r>
          </w:p>
        </w:tc>
      </w:tr>
      <w:tr>
        <w:tc>
          <w:tcPr>
            <w:tcW w:type="dxa" w:w="2304"/>
            <w:tcMar>
              <w:top w:w="70" w:type="dxa"/>
              <w:start w:w="80" w:type="dxa"/>
              <w:bottom w:w="70" w:type="dxa"/>
              <w:end w:w="80" w:type="dxa"/>
            </w:tcMar>
            <w:vAlign w:val="top"/>
          </w:tcPr>
          <w:p>
            <w:pPr>
              <w:spacing w:after="0"/>
            </w:pPr>
            <w:r>
              <w:rPr>
                <w:sz w:val="14"/>
              </w:rPr>
              <w:t>task-20260910-022</w:t>
            </w:r>
          </w:p>
        </w:tc>
        <w:tc>
          <w:tcPr>
            <w:tcW w:type="dxa" w:w="1368"/>
            <w:tcMar>
              <w:top w:w="70" w:type="dxa"/>
              <w:start w:w="80" w:type="dxa"/>
              <w:bottom w:w="70" w:type="dxa"/>
              <w:end w:w="80" w:type="dxa"/>
            </w:tcMar>
            <w:vAlign w:val="top"/>
          </w:tcPr>
          <w:p>
            <w:pPr>
              <w:spacing w:after="0"/>
            </w:pPr>
            <w:r>
              <w:rPr>
                <w:sz w:val="14"/>
              </w:rPr>
              <w:t>2026-09-10</w:t>
            </w:r>
          </w:p>
        </w:tc>
        <w:tc>
          <w:tcPr>
            <w:tcW w:type="dxa" w:w="10080"/>
            <w:tcMar>
              <w:top w:w="70" w:type="dxa"/>
              <w:start w:w="80" w:type="dxa"/>
              <w:bottom w:w="70" w:type="dxa"/>
              <w:end w:w="80" w:type="dxa"/>
            </w:tcMar>
            <w:vAlign w:val="top"/>
          </w:tcPr>
          <w:p>
            <w:pPr>
              <w:spacing w:after="0"/>
            </w:pPr>
            <w:r>
              <w:rPr>
                <w:sz w:val="14"/>
              </w:rPr>
              <w:t>Benchmark detector-temperature query latency and choose a maximum acceptable reading age before adding temperature/cooler fields to spectrum metadata. Recommended initial policy is cached sampling only when exposure or total averaging time exceeds one second, contingent on negligible measured overhead.</w:t>
            </w:r>
          </w:p>
        </w:tc>
      </w:tr>
      <w:tr>
        <w:tc>
          <w:tcPr>
            <w:tcW w:type="dxa" w:w="2304"/>
            <w:shd w:fill="EEF1F4"/>
            <w:tcMar>
              <w:top w:w="70" w:type="dxa"/>
              <w:start w:w="80" w:type="dxa"/>
              <w:bottom w:w="70" w:type="dxa"/>
              <w:end w:w="80" w:type="dxa"/>
            </w:tcMar>
            <w:vAlign w:val="top"/>
          </w:tcPr>
          <w:p>
            <w:pPr>
              <w:spacing w:after="0"/>
            </w:pPr>
            <w:r>
              <w:rPr>
                <w:sz w:val="14"/>
              </w:rPr>
              <w:t>task-20260911-002</w:t>
            </w:r>
          </w:p>
        </w:tc>
        <w:tc>
          <w:tcPr>
            <w:tcW w:type="dxa" w:w="1368"/>
            <w:shd w:fill="EEF1F4"/>
            <w:tcMar>
              <w:top w:w="70" w:type="dxa"/>
              <w:start w:w="80" w:type="dxa"/>
              <w:bottom w:w="70" w:type="dxa"/>
              <w:end w:w="80" w:type="dxa"/>
            </w:tcMar>
            <w:vAlign w:val="top"/>
          </w:tcPr>
          <w:p>
            <w:pPr>
              <w:spacing w:after="0"/>
            </w:pPr>
            <w:r>
              <w:rPr>
                <w:sz w:val="14"/>
              </w:rPr>
              <w:t>2026-09-11</w:t>
            </w:r>
          </w:p>
        </w:tc>
        <w:tc>
          <w:tcPr>
            <w:tcW w:type="dxa" w:w="10080"/>
            <w:shd w:fill="EEF1F4"/>
            <w:tcMar>
              <w:top w:w="70" w:type="dxa"/>
              <w:start w:w="80" w:type="dxa"/>
              <w:bottom w:w="70" w:type="dxa"/>
              <w:end w:w="80" w:type="dxa"/>
            </w:tcMar>
            <w:vAlign w:val="top"/>
          </w:tcPr>
          <w:p>
            <w:pPr>
              <w:spacing w:after="0"/>
            </w:pPr>
            <w:r>
              <w:rPr>
                <w:sz w:val="14"/>
              </w:rPr>
              <w:t>The core Andor Run-Till-Abort retest passed: andor_stream_gap_probe completed 100/100 requests at 15 ms with a 100 ms gap, indices were monotonic from 1 to 694, 594 pre-request frames were discarded, and 99 stale notifications recovered; GUI Live and multi-frame gated acquisition also passed. Complete the remaining power-scan, auto-tune, explicit multi-average, stop/cancel/reconnect, and deliberate-overflow cases before closing the broader multi-owner regression.</w:t>
            </w:r>
          </w:p>
        </w:tc>
      </w:tr>
      <w:tr>
        <w:tc>
          <w:tcPr>
            <w:tcW w:type="dxa" w:w="2304"/>
            <w:tcMar>
              <w:top w:w="70" w:type="dxa"/>
              <w:start w:w="80" w:type="dxa"/>
              <w:bottom w:w="70" w:type="dxa"/>
              <w:end w:w="80" w:type="dxa"/>
            </w:tcMar>
            <w:vAlign w:val="top"/>
          </w:tcPr>
          <w:p>
            <w:pPr>
              <w:spacing w:after="0"/>
            </w:pPr>
            <w:r>
              <w:rPr>
                <w:sz w:val="14"/>
              </w:rPr>
              <w:t>task-20260911-008</w:t>
            </w:r>
          </w:p>
        </w:tc>
        <w:tc>
          <w:tcPr>
            <w:tcW w:type="dxa" w:w="1368"/>
            <w:tcMar>
              <w:top w:w="70" w:type="dxa"/>
              <w:start w:w="80" w:type="dxa"/>
              <w:bottom w:w="70" w:type="dxa"/>
              <w:end w:w="80" w:type="dxa"/>
            </w:tcMar>
            <w:vAlign w:val="top"/>
          </w:tcPr>
          <w:p>
            <w:pPr>
              <w:spacing w:after="0"/>
            </w:pPr>
            <w:r>
              <w:rPr>
                <w:sz w:val="14"/>
              </w:rPr>
              <w:t>2026-09-11</w:t>
            </w:r>
          </w:p>
        </w:tc>
        <w:tc>
          <w:tcPr>
            <w:tcW w:type="dxa" w:w="10080"/>
            <w:tcMar>
              <w:top w:w="70" w:type="dxa"/>
              <w:start w:w="80" w:type="dxa"/>
              <w:bottom w:w="70" w:type="dxa"/>
              <w:end w:w="80" w:type="dxa"/>
            </w:tcMar>
            <w:vAlign w:val="top"/>
          </w:tcPr>
          <w:p>
            <w:pPr>
              <w:spacing w:after="0"/>
            </w:pPr>
            <w:r>
              <w:rPr>
                <w:sz w:val="14"/>
              </w:rPr>
              <w:t>Next functional fix after the Andor control and midpoint retests: eliminate duplicate iDus cooler-warning/confirmation windows, suppress the cold-camera exit workflow during an application-controlled theme restart, and verify window X, cancel, normal warm-up close, and confirmed emergency exit each produce one coherent state transition.</w:t>
            </w:r>
          </w:p>
        </w:tc>
      </w:tr>
      <w:tr>
        <w:tc>
          <w:tcPr>
            <w:tcW w:type="dxa" w:w="2304"/>
            <w:shd w:fill="EEF1F4"/>
            <w:tcMar>
              <w:top w:w="70" w:type="dxa"/>
              <w:start w:w="80" w:type="dxa"/>
              <w:bottom w:w="70" w:type="dxa"/>
              <w:end w:w="80" w:type="dxa"/>
            </w:tcMar>
            <w:vAlign w:val="top"/>
          </w:tcPr>
          <w:p>
            <w:pPr>
              <w:spacing w:after="0"/>
            </w:pPr>
            <w:r>
              <w:rPr>
                <w:sz w:val="14"/>
              </w:rPr>
              <w:t>task-20260911-009</w:t>
            </w:r>
          </w:p>
        </w:tc>
        <w:tc>
          <w:tcPr>
            <w:tcW w:type="dxa" w:w="1368"/>
            <w:shd w:fill="EEF1F4"/>
            <w:tcMar>
              <w:top w:w="70" w:type="dxa"/>
              <w:start w:w="80" w:type="dxa"/>
              <w:bottom w:w="70" w:type="dxa"/>
              <w:end w:w="80" w:type="dxa"/>
            </w:tcMar>
            <w:vAlign w:val="top"/>
          </w:tcPr>
          <w:p>
            <w:pPr>
              <w:spacing w:after="0"/>
            </w:pPr>
            <w:r>
              <w:rPr>
                <w:sz w:val="14"/>
              </w:rPr>
              <w:t>2026-09-11</w:t>
            </w:r>
          </w:p>
        </w:tc>
        <w:tc>
          <w:tcPr>
            <w:tcW w:type="dxa" w:w="10080"/>
            <w:shd w:fill="EEF1F4"/>
            <w:tcMar>
              <w:top w:w="70" w:type="dxa"/>
              <w:start w:w="80" w:type="dxa"/>
              <w:bottom w:w="70" w:type="dxa"/>
              <w:end w:w="80" w:type="dxa"/>
            </w:tcMar>
            <w:vAlign w:val="top"/>
          </w:tcPr>
          <w:p>
            <w:pPr>
              <w:spacing w:after="0"/>
            </w:pPr>
            <w:r>
              <w:rPr>
                <w:sz w:val="14"/>
              </w:rPr>
              <w:t>Run the 1/5/10 ms Andor mode-5 exposure matrix and make the acquisition controls clearly show SDK-applied exposure when it differs from the request. CSV schema v4 already records applied integration as primary and the differing request conditionally; do not impose a configuration-specific minimum until the mode-5 evidence is available.</w:t>
            </w:r>
          </w:p>
        </w:tc>
      </w:tr>
      <w:tr>
        <w:tc>
          <w:tcPr>
            <w:tcW w:type="dxa" w:w="2304"/>
            <w:tcMar>
              <w:top w:w="70" w:type="dxa"/>
              <w:start w:w="80" w:type="dxa"/>
              <w:bottom w:w="70" w:type="dxa"/>
              <w:end w:w="80" w:type="dxa"/>
            </w:tcMar>
            <w:vAlign w:val="top"/>
          </w:tcPr>
          <w:p>
            <w:pPr>
              <w:spacing w:after="0"/>
            </w:pPr>
            <w:r>
              <w:rPr>
                <w:sz w:val="14"/>
              </w:rPr>
              <w:t>task-20260911-010</w:t>
            </w:r>
          </w:p>
        </w:tc>
        <w:tc>
          <w:tcPr>
            <w:tcW w:type="dxa" w:w="1368"/>
            <w:tcMar>
              <w:top w:w="70" w:type="dxa"/>
              <w:start w:w="80" w:type="dxa"/>
              <w:bottom w:w="70" w:type="dxa"/>
              <w:end w:w="80" w:type="dxa"/>
            </w:tcMar>
            <w:vAlign w:val="top"/>
          </w:tcPr>
          <w:p>
            <w:pPr>
              <w:spacing w:after="0"/>
            </w:pPr>
            <w:r>
              <w:rPr>
                <w:sz w:val="14"/>
              </w:rPr>
              <w:t>2026-09-11</w:t>
            </w:r>
          </w:p>
        </w:tc>
        <w:tc>
          <w:tcPr>
            <w:tcW w:type="dxa" w:w="10080"/>
            <w:tcMar>
              <w:top w:w="70" w:type="dxa"/>
              <w:start w:w="80" w:type="dxa"/>
              <w:bottom w:w="70" w:type="dxa"/>
              <w:end w:w="80" w:type="dxa"/>
            </w:tcMar>
            <w:vAlign w:val="top"/>
          </w:tcPr>
          <w:p>
            <w:pPr>
              <w:spacing w:after="0"/>
            </w:pPr>
            <w:r>
              <w:rPr>
                <w:sz w:val="14"/>
              </w:rPr>
              <w:t>Resolve remaining non-blocking GUI issues after the functional Andor work: prioritize acquisition progress over transient laser/status messages; improve progress placement; explain or disable persisted background subtraction until a background exists; clarify acquisition-time magnetic-field capture; normalize checkbox/label order and spacing; improve disabled checked-box contrast and dark spin arrows; repair cross-theme preview backgrounds or retire the redundant preview; and make missing local configuration explicit.</w:t>
            </w:r>
          </w:p>
        </w:tc>
      </w:tr>
      <w:tr>
        <w:tc>
          <w:tcPr>
            <w:tcW w:type="dxa" w:w="2304"/>
            <w:shd w:fill="EEF1F4"/>
            <w:tcMar>
              <w:top w:w="70" w:type="dxa"/>
              <w:start w:w="80" w:type="dxa"/>
              <w:bottom w:w="70" w:type="dxa"/>
              <w:end w:w="80" w:type="dxa"/>
            </w:tcMar>
            <w:vAlign w:val="top"/>
          </w:tcPr>
          <w:p>
            <w:pPr>
              <w:spacing w:after="0"/>
            </w:pPr>
            <w:r>
              <w:rPr>
                <w:sz w:val="14"/>
              </w:rPr>
              <w:t>task-20260914-002</w:t>
            </w:r>
          </w:p>
        </w:tc>
        <w:tc>
          <w:tcPr>
            <w:tcW w:type="dxa" w:w="1368"/>
            <w:shd w:fill="EEF1F4"/>
            <w:tcMar>
              <w:top w:w="70" w:type="dxa"/>
              <w:start w:w="80" w:type="dxa"/>
              <w:bottom w:w="70" w:type="dxa"/>
              <w:end w:w="80" w:type="dxa"/>
            </w:tcMar>
            <w:vAlign w:val="top"/>
          </w:tcPr>
          <w:p>
            <w:pPr>
              <w:spacing w:after="0"/>
            </w:pPr>
            <w:r>
              <w:rPr>
                <w:sz w:val="14"/>
              </w:rPr>
              <w:t>2026-09-14</w:t>
            </w:r>
          </w:p>
        </w:tc>
        <w:tc>
          <w:tcPr>
            <w:tcW w:type="dxa" w:w="10080"/>
            <w:shd w:fill="EEF1F4"/>
            <w:tcMar>
              <w:top w:w="70" w:type="dxa"/>
              <w:start w:w="80" w:type="dxa"/>
              <w:bottom w:w="70" w:type="dxa"/>
              <w:end w:w="80" w:type="dxa"/>
            </w:tcMar>
            <w:vAlign w:val="top"/>
          </w:tcPr>
          <w:p>
            <w:pPr>
              <w:spacing w:after="0"/>
            </w:pPr>
            <w:r>
              <w:rPr>
                <w:sz w:val="14"/>
              </w:rPr>
              <w:t>Bench-validate fixed-window retention. Start with delayed-after-OFF at 10 ms, exposure midpoint, 20 accepted spectra, +/-8 ms, and a 3x ceiling. Verify exact retained/rejected/attempt accounting, no rejected contribution to averages, finite-ceiling partial save/failure reason, abort/disconnect cleanup, and laser OFF. Narrow the tolerance only after measuring retention yield.</w:t>
            </w:r>
          </w:p>
        </w:tc>
      </w:tr>
      <w:tr>
        <w:tc>
          <w:tcPr>
            <w:tcW w:type="dxa" w:w="2304"/>
            <w:tcMar>
              <w:top w:w="70" w:type="dxa"/>
              <w:start w:w="80" w:type="dxa"/>
              <w:bottom w:w="70" w:type="dxa"/>
              <w:end w:w="80" w:type="dxa"/>
            </w:tcMar>
            <w:vAlign w:val="top"/>
          </w:tcPr>
          <w:p>
            <w:pPr>
              <w:spacing w:after="0"/>
            </w:pPr>
            <w:r>
              <w:rPr>
                <w:sz w:val="14"/>
              </w:rPr>
              <w:t>task-20260914-003</w:t>
            </w:r>
          </w:p>
        </w:tc>
        <w:tc>
          <w:tcPr>
            <w:tcW w:type="dxa" w:w="1368"/>
            <w:tcMar>
              <w:top w:w="70" w:type="dxa"/>
              <w:start w:w="80" w:type="dxa"/>
              <w:bottom w:w="70" w:type="dxa"/>
              <w:end w:w="80" w:type="dxa"/>
            </w:tcMar>
            <w:vAlign w:val="top"/>
          </w:tcPr>
          <w:p>
            <w:pPr>
              <w:spacing w:after="0"/>
            </w:pPr>
            <w:r>
              <w:rPr>
                <w:sz w:val="14"/>
              </w:rPr>
              <w:t>2026-09-14</w:t>
            </w:r>
          </w:p>
        </w:tc>
        <w:tc>
          <w:tcPr>
            <w:tcW w:type="dxa" w:w="10080"/>
            <w:tcMar>
              <w:top w:w="70" w:type="dxa"/>
              <w:start w:w="80" w:type="dxa"/>
              <w:bottom w:w="70" w:type="dxa"/>
              <w:end w:w="80" w:type="dxa"/>
            </w:tcMar>
            <w:vAlign w:val="top"/>
          </w:tcPr>
          <w:p>
            <w:pPr>
              <w:spacing w:after="0"/>
            </w:pPr>
            <w:r>
              <w:rPr>
                <w:sz w:val="14"/>
              </w:rPr>
              <w:t>Establish a physical laser timing reference with a fast photodiode and oscilloscope/DAQ or a characterized trigger/FIRE path. Measure command-to-optical OFF offset and jitter per OBIS box/channel. Current gated timestamps are process-monotonic software values referenced after serial command acknowledgement/readback completion, not optical edges; do not claim a physical +/- tolerance until calibrated.</w:t>
            </w:r>
          </w:p>
        </w:tc>
      </w:tr>
      <w:tr>
        <w:tc>
          <w:tcPr>
            <w:tcW w:type="dxa" w:w="2304"/>
            <w:shd w:fill="EEF1F4"/>
            <w:tcMar>
              <w:top w:w="70" w:type="dxa"/>
              <w:start w:w="80" w:type="dxa"/>
              <w:bottom w:w="70" w:type="dxa"/>
              <w:end w:w="80" w:type="dxa"/>
            </w:tcMar>
            <w:vAlign w:val="top"/>
          </w:tcPr>
          <w:p>
            <w:pPr>
              <w:spacing w:after="0"/>
            </w:pPr>
            <w:r>
              <w:rPr>
                <w:sz w:val="14"/>
              </w:rPr>
              <w:t>task-20260914-005</w:t>
            </w:r>
          </w:p>
        </w:tc>
        <w:tc>
          <w:tcPr>
            <w:tcW w:type="dxa" w:w="1368"/>
            <w:shd w:fill="EEF1F4"/>
            <w:tcMar>
              <w:top w:w="70" w:type="dxa"/>
              <w:start w:w="80" w:type="dxa"/>
              <w:bottom w:w="70" w:type="dxa"/>
              <w:end w:w="80" w:type="dxa"/>
            </w:tcMar>
            <w:vAlign w:val="top"/>
          </w:tcPr>
          <w:p>
            <w:pPr>
              <w:spacing w:after="0"/>
            </w:pPr>
            <w:r>
              <w:rPr>
                <w:sz w:val="14"/>
              </w:rPr>
              <w:t>2026-09-14</w:t>
            </w:r>
          </w:p>
        </w:tc>
        <w:tc>
          <w:tcPr>
            <w:tcW w:type="dxa" w:w="10080"/>
            <w:shd w:fill="EEF1F4"/>
            <w:tcMar>
              <w:top w:w="70" w:type="dxa"/>
              <w:start w:w="80" w:type="dxa"/>
              <w:bottom w:w="70" w:type="dxa"/>
              <w:end w:w="80" w:type="dxa"/>
            </w:tcMar>
            <w:vAlign w:val="top"/>
          </w:tcPr>
          <w:p>
            <w:pPr>
              <w:spacing w:after="0"/>
            </w:pPr>
            <w:r>
              <w:rPr>
                <w:sz w:val="14"/>
              </w:rPr>
              <w:t>Resolve Kymera focus setter semantics/range around current readback 423 using vendor documentation and narrowly bounded reversible probes before re-enabling the GUI control. Keep FVB binning at 1 unless another verified SDK2 acquisition/read mode accepts larger binning, returns the correct array geometry, restores cleanly, and refreshes wavelength calibration.</w:t>
            </w:r>
          </w:p>
        </w:tc>
      </w:tr>
      <w:tr>
        <w:tc>
          <w:tcPr>
            <w:tcW w:type="dxa" w:w="2304"/>
            <w:tcMar>
              <w:top w:w="70" w:type="dxa"/>
              <w:start w:w="80" w:type="dxa"/>
              <w:bottom w:w="70" w:type="dxa"/>
              <w:end w:w="80" w:type="dxa"/>
            </w:tcMar>
            <w:vAlign w:val="top"/>
          </w:tcPr>
          <w:p>
            <w:pPr>
              <w:spacing w:after="0"/>
            </w:pPr>
            <w:r>
              <w:rPr>
                <w:sz w:val="14"/>
              </w:rPr>
              <w:t>task-20260914-006</w:t>
            </w:r>
          </w:p>
        </w:tc>
        <w:tc>
          <w:tcPr>
            <w:tcW w:type="dxa" w:w="1368"/>
            <w:tcMar>
              <w:top w:w="70" w:type="dxa"/>
              <w:start w:w="80" w:type="dxa"/>
              <w:bottom w:w="70" w:type="dxa"/>
              <w:end w:w="80" w:type="dxa"/>
            </w:tcMar>
            <w:vAlign w:val="top"/>
          </w:tcPr>
          <w:p>
            <w:pPr>
              <w:spacing w:after="0"/>
            </w:pPr>
            <w:r>
              <w:rPr>
                <w:sz w:val="14"/>
              </w:rPr>
              <w:t>2026-09-14</w:t>
            </w:r>
          </w:p>
        </w:tc>
        <w:tc>
          <w:tcPr>
            <w:tcW w:type="dxa" w:w="10080"/>
            <w:tcMar>
              <w:top w:w="70" w:type="dxa"/>
              <w:start w:w="80" w:type="dxa"/>
              <w:bottom w:w="70" w:type="dxa"/>
              <w:end w:w="80" w:type="dxa"/>
            </w:tcMar>
            <w:vAlign w:val="top"/>
          </w:tcPr>
          <w:p>
            <w:pPr>
              <w:spacing w:after="0"/>
            </w:pPr>
            <w:r>
              <w:rPr>
                <w:sz w:val="14"/>
              </w:rPr>
              <w:t>Design and implement a low-light phase-cycled boxcar workflow after optical throughput is optimized: alternate matched pump/reference phases, pair-subtract spectra, accumulate mean and propagated variance, retain raw phase traces or sufficient audit evidence, and optionally add wavelength-band/template estimators. This is CCD synchronous detection, not an analog lock-in, and cannot replace insufficient photon collection.</w:t>
            </w:r>
          </w:p>
        </w:tc>
      </w:tr>
    </w:tbl>
    <w:p/>
    <w:p>
      <w:pPr>
        <w:pStyle w:val="Heading1"/>
      </w:pPr>
      <w:r>
        <w:t>Deferred roadmap</w:t>
      </w:r>
    </w:p>
    <w:p>
      <w:pPr>
        <w:spacing w:after="60"/>
        <w:ind w:left="259" w:hanging="259"/>
      </w:pPr>
      <w:r>
        <w:rPr>
          <w:b/>
        </w:rPr>
        <w:t xml:space="preserve">1.  </w:t>
      </w:r>
      <w:r>
        <w:t>Measure detector-temperature query overhead and define an age policy before adding per-spectrum temperature metadata.</w:t>
      </w:r>
    </w:p>
    <w:p>
      <w:pPr>
        <w:spacing w:after="60"/>
        <w:ind w:left="259" w:hanging="259"/>
      </w:pPr>
      <w:r>
        <w:rPr>
          <w:b/>
        </w:rPr>
        <w:t xml:space="preserve">2.  </w:t>
      </w:r>
      <w:r>
        <w:t>Implement paired phase-cycled boxcar acquisition after fixed-window timing and optical collection are characterized.</w:t>
      </w:r>
    </w:p>
    <w:p>
      <w:pPr>
        <w:spacing w:after="60"/>
        <w:ind w:left="259" w:hanging="259"/>
      </w:pPr>
      <w:r>
        <w:rPr>
          <w:b/>
        </w:rPr>
        <w:t xml:space="preserve">3.  </w:t>
      </w:r>
      <w:r>
        <w:t>Determine whether installed OBIS firmware exposes physical interlock state rather than only a command latch.</w:t>
      </w:r>
    </w:p>
    <w:p>
      <w:pPr>
        <w:spacing w:after="60"/>
        <w:ind w:left="259" w:hanging="259"/>
      </w:pPr>
      <w:r>
        <w:rPr>
          <w:b/>
        </w:rPr>
        <w:t xml:space="preserve">4.  </w:t>
      </w:r>
      <w:r>
        <w:t>Pilot the extension registry with a read-only field sensor, then define procedure v1 and an external API boundary.</w:t>
      </w:r>
    </w:p>
    <w:p>
      <w:pPr>
        <w:spacing w:after="60"/>
        <w:ind w:left="259" w:hanging="259"/>
      </w:pPr>
      <w:r>
        <w:rPr>
          <w:b/>
        </w:rPr>
        <w:t xml:space="preserve">5.  </w:t>
      </w:r>
      <w:r>
        <w:t>Add Qt GUI integration tests before further MainWindow presenter extraction.</w:t>
      </w:r>
    </w:p>
    <w:p>
      <w:pPr>
        <w:spacing w:after="60"/>
        <w:ind w:left="259" w:hanging="259"/>
      </w:pPr>
      <w:r>
        <w:rPr>
          <w:b/>
        </w:rPr>
        <w:t xml:space="preserve">6.  </w:t>
      </w:r>
      <w:r>
        <w:t>Implement calibrated Step-and-Glue only after single-frame wavelength/port/detector mappings are validated.</w:t>
      </w:r>
    </w:p>
    <w:p>
      <w:pPr>
        <w:spacing w:after="60"/>
        <w:ind w:left="259" w:hanging="259"/>
      </w:pPr>
      <w:r>
        <w:rPr>
          <w:b/>
        </w:rPr>
        <w:t xml:space="preserve">7.  </w:t>
      </w:r>
      <w:r>
        <w:t>Package in PyInstaller one-directory form only after vendor backends and deployment prerequisites stabilize.</w:t>
      </w:r>
    </w:p>
    <w:sectPr w:rsidR="00FC693F" w:rsidRPr="0006063C" w:rsidSect="00034616">
      <w:headerReference w:type="default" r:id="rId9"/>
      <w:footerReference w:type="default" r:id="rId10"/>
      <w:pgSz w:w="15840" w:h="12240" w:orient="landscape"/>
      <w:pgMar w:top="893"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1717F"/>
        <w:sz w:val="15"/>
      </w:rPr>
      <w:t>SPECTROMETER GUI  |  ENGINEERING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E7A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6171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