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Spectrum schema v5 supplement</w:t>
      </w:r>
    </w:p>
    <w:p>
      <w:r>
        <w:t>Additions to the retained September 9 metadata reference</w:t>
      </w:r>
    </w:p>
    <w:p>
      <w:r>
        <w:t>Revision: 2026-10-06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</w:tcPr>
          <w:p>
            <w:r>
              <w:t>Field / file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intensity_counts_raw</w:t>
            </w:r>
          </w:p>
        </w:tc>
        <w:tc>
          <w:tcPr>
            <w:tcW w:type="dxa" w:w="5112"/>
          </w:tcPr>
          <w:p>
            <w:r>
              <w:t>Canonical adapter result; unchanged.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intensity_counts_processed</w:t>
            </w:r>
          </w:p>
        </w:tc>
        <w:tc>
          <w:tcPr>
            <w:tcW w:type="dxa" w:w="5112"/>
          </w:tcPr>
          <w:p>
            <w:r>
              <w:t>Optional final array after background subtraction and smoothing; unchanged.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intensity_counts_unsmoothed</w:t>
            </w:r>
          </w:p>
        </w:tc>
        <w:tc>
          <w:tcPr>
            <w:tcW w:type="dxa" w:w="5112"/>
          </w:tcPr>
          <w:p>
            <w:r>
              <w:t>Optional post-background, pre-smoothing values when smoothing is active. Same length/grid as raw data. Written independently of whether raw and final happen to be equal.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parameter_scan_json</w:t>
            </w:r>
          </w:p>
        </w:tc>
        <w:tc>
          <w:tcPr>
            <w:tcW w:type="dxa" w:w="5112"/>
          </w:tcPr>
          <w:p>
            <w:r>
              <w:t>Conditional JSON dictionary: scan_id, kind, index/count, target/units, elapsed request/completion and settle. Time scans add scheduled_elapsed_s, request_lateness_s, overrun_policy. Temperature scans add temperature_trigger, trigger_age_at_request_s, tolerance/dwell. A drained canceled point adds termination_requested.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temperature_trigger</w:t>
            </w:r>
          </w:p>
        </w:tc>
        <w:tc>
          <w:tcPr>
            <w:tcW w:type="dxa" w:w="5112"/>
          </w:tcPr>
          <w:p>
            <w:r>
              <w:t>source, value, units, sampled_s, timestamp_utc, status and identity. sampled_s is process-local monotonic evidence; age is independently stored. It is not a hardware-synchronized exposure temperature.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*_scan_&lt;uuid&gt;.json</w:t>
            </w:r>
          </w:p>
        </w:tc>
        <w:tc>
          <w:tcPr>
            <w:tcW w:type="dxa" w:w="5112"/>
          </w:tcPr>
          <w:p>
            <w:r>
              <w:t>Terminal scan summary: full plan, UUID, UTC start/end, completed/requested acquisition counts, termination, original center and elapsed run time. Written through the ordered executor; not a per-file write receipt or crash journal.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Background CSV v1</w:t>
            </w:r>
          </w:p>
        </w:tc>
        <w:tc>
          <w:tcPr>
            <w:tcW w:type="dxa" w:w="5112"/>
          </w:tcPr>
          <w:p>
            <w:r>
              <w:t>Separate file_type=background. Metadata carries signature/configuration and rows contain wavelength_nm, background_counts and background_counts_per_s. Ordinary spectrum loading rejects this file type.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Monitor CSV</w:t>
            </w:r>
          </w:p>
        </w:tc>
        <w:tc>
          <w:tcPr>
            <w:tcW w:type="dxa" w:w="5112"/>
          </w:tcPr>
          <w:p>
            <w:r>
              <w:t>power_channel and timer_origin_monotonic_s specify the display selection and elapsed origin; both captured physical channel columns are retained.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Temperature CSV</w:t>
            </w:r>
          </w:p>
        </w:tc>
        <w:tc>
          <w:tcPr>
            <w:tcW w:type="dxa" w:w="5112"/>
          </w:tcPr>
          <w:p>
            <w:r>
              <w:t>Timestamp, elapsed time, source, temperature, units, status and identity for the retained sensor history.</w:t>
            </w:r>
          </w:p>
        </w:tc>
      </w:tr>
    </w:tbl>
    <w:p/>
    <w:p>
      <w:r>
        <w:t>Compatibility: the new spectrum loader accepts plain legacy spectra and schemas v1–v5. Existing v4 readers that ignore unknown metadata/columns retain the raw/final data, but cannot be assumed to expose v5 additions. External analysis loaders should select columns by header name. Gated averaged-series schema remains v5; file_type separates it from spectrum v5.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Spectrometer GUI · 2026-10-06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