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Gated timing and low-light phosphorescence</w:t>
      </w:r>
    </w:p>
    <w:p>
      <w:pPr>
        <w:jc w:val="left"/>
      </w:pPr>
      <w:r>
        <w:rPr>
          <w:b/>
          <w:color w:val="1E7A78"/>
          <w:sz w:val="22"/>
        </w:rPr>
        <w:t>Field interpretation, fixed-window retention, and sensitivity strategy</w:t>
      </w:r>
    </w:p>
    <w:p>
      <w:r>
        <w:rPr>
          <w:color w:val="61717F"/>
        </w:rPr>
        <w:t>Revision date: 2026-09-14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0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24D"/>
              </w:rPr>
              <w:t>Bottom line</w:t>
              <w:br/>
            </w:r>
            <w:r>
              <w:rPr>
                <w:sz w:val="18"/>
              </w:rPr>
              <w:t>The recorded timing families are distinct, but none is a direct optical laser timestamp. The remaining negative values are valid exposure starts for zero-delay windows that straddle the software OFF origin. The new bounded retention mode can collect exactly N spectra that satisfy a recorded timing window, but low-emissivity success will depend more strongly on photon collection, detector settings, and matched background/reference acquisition.</w:t>
            </w:r>
          </w:p>
        </w:tc>
      </w:tr>
    </w:tbl>
    <w:p/>
    <w:p>
      <w:pPr>
        <w:pStyle w:val="Heading1"/>
      </w:pPr>
      <w:r>
        <w:t>Direct answers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81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Request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Coordinator time immediately before emitting the spectrum request into the runtime/worker path. It is not a time inside the spectrometer controller after receipt.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Acquisition call</w:t>
            </w:r>
          </w:p>
        </w:tc>
        <w:tc>
          <w:tcPr>
            <w:tcW w:type="dxa" w:w="81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Worker timestamps around adapter acquire_spectrum. Start/midpoint/end bound native wait, transfer, and adapter averaging; they exclude later plotting and saving.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Exposure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Best backend estimate of detector integration. Andor dates the stream frame from SDK-applied exposure/readout/cycle information; fallback backends may use call bounds.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Timing error</w:t>
            </w:r>
          </w:p>
        </w:tc>
        <w:tc>
          <w:tcPr>
            <w:tcW w:type="dxa" w:w="81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Signed residual: selected exposure reference minus requested delay. Positive = later than requested; negative = earlier. It is not uncertainty.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Exposure uncertainty</w:t>
            </w:r>
          </w:p>
        </w:tc>
        <w:tc>
          <w:tcPr>
            <w:tcW w:type="dxa" w:w="81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Conservative half-width/bound on the exposure estimate. It is not standard deviation and excludes unknown command-to-optical laser delay.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Laser reference</w:t>
            </w:r>
          </w:p>
        </w:tc>
        <w:tc>
          <w:tcPr>
            <w:tcW w:type="dxa" w:w="81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No optical or hardware timestamp is currently returned by the boxes. The origin follows successful serial state command/readback completion and queued GUI delivery.</w:t>
            </w:r>
          </w:p>
        </w:tc>
      </w:tr>
    </w:tbl>
    <w:p/>
    <w:p>
      <w:pPr>
        <w:pStyle w:val="Heading1"/>
      </w:pPr>
      <w:r>
        <w:t>Are negative values acceptable?</w:t>
      </w:r>
    </w:p>
    <w:p>
      <w:r>
        <w:t>Yes, but only in specific places. At requested delay 0 ms, a finite exposure whose midpoint is after the software OFF origin can begin before it. That exposure-start minimum/mean is physically and mathematically meaningful and must not be clamped. In the supplied eight GUI CSVs, negative means/minima occur only in this zero-delay exposure-start category.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1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7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Interpretation</w:t>
            </w:r>
          </w:p>
        </w:tc>
        <w:tc>
          <w:tcPr>
            <w:tcW w:type="dxa" w:w="417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Exposure start &lt; 0 at 0 ms midpoint target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Usually acceptable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Exposure straddles the transition origin; check midpoint/end and basis.</w:t>
            </w:r>
          </w:p>
        </w:tc>
      </w:tr>
      <w:tr>
        <w:tc>
          <w:tcPr>
            <w:tcW w:type="dxa" w:w="331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Timing error &lt; 0 in fixed midpoint/start policy</w:t>
            </w:r>
          </w:p>
        </w:tc>
        <w:tc>
          <w:tcPr>
            <w:tcW w:type="dxa" w:w="27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Rejected by strict window if outside −tolerance</w:t>
            </w:r>
          </w:p>
        </w:tc>
        <w:tc>
          <w:tcPr>
            <w:tcW w:type="dxa" w:w="41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Selected reference was earlier than requested.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Request or call start &lt; 0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Investigate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Request/work apparently preceded the stored origin; may indicate ordering/reference error.</w:t>
            </w:r>
          </w:p>
        </w:tc>
      </w:tr>
      <w:tr>
        <w:tc>
          <w:tcPr>
            <w:tcW w:type="dxa" w:w="331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Exposure midpoint &lt; 0 when policy requires ≥0</w:t>
            </w:r>
          </w:p>
        </w:tc>
        <w:tc>
          <w:tcPr>
            <w:tcW w:type="dxa" w:w="27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Investigate/reject</w:t>
            </w:r>
          </w:p>
        </w:tc>
        <w:tc>
          <w:tcPr>
            <w:tcW w:type="dxa" w:w="417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Selected frame does not satisfy the target policy.</w:t>
            </w:r>
          </w:p>
        </w:tc>
      </w:tr>
      <w:tr>
        <w:tc>
          <w:tcPr>
            <w:tcW w:type="dxa" w:w="331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Any value with controller-call-bounds basis</w:t>
            </w:r>
          </w:p>
        </w:tc>
        <w:tc>
          <w:tcPr>
            <w:tcW w:type="dxa" w:w="27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Lower-confidence estimate</w:t>
            </w:r>
          </w:p>
        </w:tc>
        <w:tc>
          <w:tcPr>
            <w:tcW w:type="dxa" w:w="417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5"/>
              </w:rPr>
              <w:t>It is a software bound, not detector telemetry.</w:t>
            </w:r>
          </w:p>
        </w:tc>
      </w:tr>
    </w:tbl>
    <w:p/>
    <w:p>
      <w:pPr>
        <w:pStyle w:val="Heading1"/>
      </w:pPr>
      <w:r>
        <w:t>What the 2026-09-14 evidence shows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208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Run</w:t>
            </w:r>
          </w:p>
        </w:tc>
        <w:tc>
          <w:tcPr>
            <w:tcW w:type="dxa" w:w="9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Frames</w:t>
            </w:r>
          </w:p>
        </w:tc>
        <w:tc>
          <w:tcPr>
            <w:tcW w:type="dxa" w:w="1008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Backlog</w:t>
            </w:r>
          </w:p>
        </w:tc>
        <w:tc>
          <w:tcPr>
            <w:tcW w:type="dxa" w:w="93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Target</w:t>
            </w:r>
          </w:p>
        </w:tc>
        <w:tc>
          <w:tcPr>
            <w:tcW w:type="dxa" w:w="86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Stale</w:t>
            </w:r>
          </w:p>
        </w:tc>
        <w:tc>
          <w:tcPr>
            <w:tcW w:type="dxa" w:w="144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Call median</w:t>
            </w:r>
          </w:p>
        </w:tc>
        <w:tc>
          <w:tcPr>
            <w:tcW w:type="dxa" w:w="295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4"/>
              </w:rPr>
              <w:t>Midpoint residual</w:t>
            </w:r>
          </w:p>
        </w:tc>
      </w:tr>
      <w:tr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Unaligned stream-gap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100/100</w:t>
            </w:r>
          </w:p>
        </w:tc>
        <w:tc>
          <w:tcPr>
            <w:tcW w:type="dxa" w:w="1008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595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86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99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4.367 ms</w:t>
            </w:r>
          </w:p>
        </w:tc>
        <w:tc>
          <w:tcPr>
            <w:tcW w:type="dxa" w:w="295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−16.562 ms; all 99 early</w:t>
            </w:r>
          </w:p>
        </w:tc>
      </w:tr>
      <w:tr>
        <w:tc>
          <w:tcPr>
            <w:tcW w:type="dxa" w:w="208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Midpoint-aligned stream-gap</w:t>
            </w:r>
          </w:p>
        </w:tc>
        <w:tc>
          <w:tcPr>
            <w:tcW w:type="dxa" w:w="9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100/100</w:t>
            </w:r>
          </w:p>
        </w:tc>
        <w:tc>
          <w:tcPr>
            <w:tcW w:type="dxa" w:w="1008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594</w:t>
            </w:r>
          </w:p>
        </w:tc>
        <w:tc>
          <w:tcPr>
            <w:tcW w:type="dxa" w:w="93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198</w:t>
            </w:r>
          </w:p>
        </w:tc>
        <w:tc>
          <w:tcPr>
            <w:tcW w:type="dxa" w:w="864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99</w:t>
            </w:r>
          </w:p>
        </w:tc>
        <w:tc>
          <w:tcPr>
            <w:tcW w:type="dxa" w:w="144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34.353 ms</w:t>
            </w:r>
          </w:p>
        </w:tc>
        <w:tc>
          <w:tcPr>
            <w:tcW w:type="dxa" w:w="295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4"/>
              </w:rPr>
              <w:t>+13.425 ms; all 99 eligible</w:t>
            </w:r>
          </w:p>
        </w:tc>
      </w:tr>
    </w:tbl>
    <w:p/>
    <w:p>
      <w:pPr>
        <w:pStyle w:val="ListBullet"/>
        <w:spacing w:after="50"/>
      </w:pPr>
      <w:r>
        <w:t>The first request takes about 1.05–1.10 s because it prepares/arms SDK2; GUI gated acquisition consumes an unsaved preparation frame before laser timing.</w:t>
      </w:r>
    </w:p>
    <w:p>
      <w:pPr>
        <w:pStyle w:val="ListBullet"/>
        <w:spacing w:after="50"/>
      </w:pPr>
      <w:r>
        <w:t>Aligned calls take longer because the selector discards early frames and waits for the first eligible midpoint; it does not re-arm the camera.</w:t>
      </w:r>
    </w:p>
    <w:p>
      <w:pPr>
        <w:pStyle w:val="ListBullet"/>
        <w:spacing w:after="50"/>
      </w:pPr>
      <w:r>
        <w:t>Fixed 100-frame GUI traces show midpoint timing-error means near 6–7 ms. One-sample interleaved traces spanned about 0.14–31.08 ms; ten-sample traces about 3.77–11.39 ms.</w:t>
      </w:r>
    </w:p>
    <w:p>
      <w:pPr>
        <w:pStyle w:val="ListBullet"/>
        <w:spacing w:after="50"/>
      </w:pPr>
      <w:r>
        <w:t>The background-subtracted Rhodamine B data remain close to zero in the tested geometry. That is evidence of inadequate detected signal under those conditions, not evidence that timing selection alone can recover the phosphorescence.</w:t>
      </w:r>
    </w:p>
    <w:p>
      <w:pPr>
        <w:pStyle w:val="Heading1"/>
      </w:pPr>
      <w:r>
        <w:t>Retain N inside fixed window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Choose delayed-after-OFF or interleaved-decay and One averaged series file.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Set Repeats to the number of accepted spectra required for every trace.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Select exposure midpoint (recommended first) or exposure start, tolerance, and attempt multiplier.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The lazy preflight computes the accepted target and finite maximum attempts, warns when the window is narrower than detector cadence, and rejects incompatible Newport/duplicate-delay settings.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For each pump/OFF cycle, the Andor selector waits from the lower edge of the requested window; the coordinator makes the authoritative two-sided decision.</w:t>
      </w:r>
    </w:p>
    <w:p>
      <w:pPr>
        <w:spacing w:after="60"/>
        <w:ind w:left="259" w:hanging="259"/>
      </w:pPr>
      <w:r>
        <w:rPr>
          <w:b/>
        </w:rPr>
        <w:t xml:space="preserve">6.  </w:t>
      </w:r>
      <w:r>
        <w:t>Rejected arrays are released. Accepted arrays update incremental mean and sample variance. Completed traces are skipped in later attempts.</w:t>
      </w:r>
    </w:p>
    <w:p>
      <w:pPr>
        <w:spacing w:after="60"/>
        <w:ind w:left="259" w:hanging="259"/>
      </w:pPr>
      <w:r>
        <w:rPr>
          <w:b/>
        </w:rPr>
        <w:t xml:space="preserve">7.  </w:t>
      </w:r>
      <w:r>
        <w:t>The run stops at exactly N accepted spectra per trace. If the ceiling is reached, accepted partial traces are saved with an incomplete reason and full attempt counts.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7344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Requested delay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 ms</w:t>
            </w:r>
          </w:p>
        </w:tc>
      </w:tr>
      <w:tr>
        <w:tc>
          <w:tcPr>
            <w:tcW w:type="dxa" w:w="288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Reference</w:t>
            </w:r>
          </w:p>
        </w:tc>
        <w:tc>
          <w:tcPr>
            <w:tcW w:type="dxa" w:w="7344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Exposure midpoint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Tolerance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±2 ms → accepted interval 8–12 ms</w:t>
            </w:r>
          </w:p>
        </w:tc>
      </w:tr>
      <w:tr>
        <w:tc>
          <w:tcPr>
            <w:tcW w:type="dxa" w:w="288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Repeats</w:t>
            </w:r>
          </w:p>
        </w:tc>
        <w:tc>
          <w:tcPr>
            <w:tcW w:type="dxa" w:w="7344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100 accepted spectra required</w:t>
            </w:r>
          </w:p>
        </w:tc>
      </w:tr>
      <w:t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Attempt multiplier</w:t>
            </w:r>
          </w:p>
        </w:tc>
        <w:tc>
          <w:tcPr>
            <w:tcW w:type="dxa" w:w="734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3× → maximum 300 detector attempts for one trace</w:t>
            </w:r>
          </w:p>
        </w:tc>
      </w:tr>
      <w:tr>
        <w:tc>
          <w:tcPr>
            <w:tcW w:type="dxa" w:w="288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Stop condition</w:t>
            </w:r>
          </w:p>
        </w:tc>
        <w:tc>
          <w:tcPr>
            <w:tcW w:type="dxa" w:w="7344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100 accepted, or finite ceiling failure with partial output</w:t>
            </w:r>
          </w:p>
        </w:tc>
      </w:tr>
    </w:tbl>
    <w:p/>
    <w:p>
      <w:r>
        <w:t>Important: a ±2 ms software window is narrower than the approximately 15 ms free-running iDus period measured here. The mode is feasible, but yield can be low and the retained software window does not prove an optical ±2 ms window. Start wider (for example ±8 ms), measure yield and optical offset/jitter, then narrow only if supported.</w:t>
      </w:r>
    </w:p>
    <w:p>
      <w:pPr>
        <w:pStyle w:val="Heading1"/>
      </w:pPr>
      <w:r>
        <w:t>Sensitivity options ranked by likely impact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2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Rank</w:t>
            </w:r>
          </w:p>
        </w:tc>
        <w:tc>
          <w:tcPr>
            <w:tcW w:type="dxa" w:w="2232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Technique</w:t>
            </w:r>
          </w:p>
        </w:tc>
        <w:tc>
          <w:tcPr>
            <w:tcW w:type="dxa" w:w="432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Implementation</w:t>
            </w:r>
          </w:p>
        </w:tc>
        <w:tc>
          <w:tcPr>
            <w:tcW w:type="dxa" w:w="1296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Potential</w:t>
            </w:r>
          </w:p>
        </w:tc>
        <w:tc>
          <w:tcPr>
            <w:tcW w:type="dxa" w:w="2520"/>
            <w:shd w:fill="17324D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3"/>
              </w:rPr>
              <w:t>Constraint</w:t>
            </w:r>
          </w:p>
        </w:tc>
      </w:tr>
      <w:tr>
        <w:tc>
          <w:tcPr>
            <w:tcW w:type="dxa" w:w="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Optical collection / étendue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Re-image the emitting volume onto the entrance slit; maximize accepted NA; check cryostat-window clipping; widen slit while resolution allows; remove unnecessary filters/fiber losses.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Usually the largest gain; must measure spectral-resolution tradeoff.</w:t>
            </w:r>
          </w:p>
        </w:tc>
      </w:tr>
      <w:tr>
        <w:tc>
          <w:tcPr>
            <w:tcW w:type="dxa" w:w="7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23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Spectrograph configuration</w:t>
            </w:r>
          </w:p>
        </w:tc>
        <w:tc>
          <w:tcPr>
            <w:tcW w:type="dxa" w:w="43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Choose grating blaze/center and output port for emission band; verify focus/calibration; use the lowest-loss path and appropriate order sorting only when necessary.</w:t>
            </w:r>
          </w:p>
        </w:tc>
        <w:tc>
          <w:tcPr>
            <w:tcW w:type="dxa" w:w="129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25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Immediate, reversible after focus contract is resolved.</w:t>
            </w:r>
          </w:p>
        </w:tc>
      </w:tr>
      <w:tr>
        <w:tc>
          <w:tcPr>
            <w:tcW w:type="dxa" w:w="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Pump/collection duty cycle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Lengthen pump to populate triplets, acquire as early as scatter permits, collect multiple useful OFF windows per pump, and minimize dead time.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Sample photostability/heating can limit.</w:t>
            </w:r>
          </w:p>
        </w:tc>
      </w:tr>
      <w:tr>
        <w:tc>
          <w:tcPr>
            <w:tcW w:type="dxa" w:w="7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23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Detector operating point</w:t>
            </w:r>
          </w:p>
        </w:tc>
        <w:tc>
          <w:tcPr>
            <w:tcW w:type="dxa" w:w="43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Cool and stabilize; compare supported preamp gain and horizontal/vertical rates using blocked-light plus weak-source measurements; lengthen exposure and average accepted cycles.</w:t>
            </w:r>
          </w:p>
        </w:tc>
        <w:tc>
          <w:tcPr>
            <w:tcW w:type="dxa" w:w="129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Medium–high</w:t>
            </w:r>
          </w:p>
        </w:tc>
        <w:tc>
          <w:tcPr>
            <w:tcW w:type="dxa" w:w="25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Read-noise benefit depends on photon/background regime.</w:t>
            </w:r>
          </w:p>
        </w:tc>
      </w:tr>
      <w:tr>
        <w:tc>
          <w:tcPr>
            <w:tcW w:type="dxa" w:w="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Matched backgrounds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Use the same applied exposure/readout/grating/center/port for background; pair nearby reference cycles to reject drift; use robust cosmic-ray rejection.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Medium–high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Essential when signal is a small difference.</w:t>
            </w:r>
          </w:p>
        </w:tc>
      </w:tr>
      <w:tr>
        <w:tc>
          <w:tcPr>
            <w:tcW w:type="dxa" w:w="7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type="dxa" w:w="223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Phase-cycled boxcar</w:t>
            </w:r>
          </w:p>
        </w:tc>
        <w:tc>
          <w:tcPr>
            <w:tcW w:type="dxa" w:w="43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Alternate signal/reference phases, subtract paired spectra, aggregate mean and propagated variance synchronously with pump state.</w:t>
            </w:r>
          </w:p>
        </w:tc>
        <w:tc>
          <w:tcPr>
            <w:tcW w:type="dxa" w:w="129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25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Rejects DC/drift; reference adds noise and does not create photons.</w:t>
            </w:r>
          </w:p>
        </w:tc>
      </w:tr>
      <w:tr>
        <w:tc>
          <w:tcPr>
            <w:tcW w:type="dxa" w:w="7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Band/template estimator</w:t>
            </w:r>
          </w:p>
        </w:tc>
        <w:tc>
          <w:tcPr>
            <w:tcW w:type="dxa" w:w="43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Integrate a predeclared wavelength band or project onto a validated spectral template with inverse-variance weights; preserve raw spectra.</w:t>
            </w:r>
          </w:p>
        </w:tc>
        <w:tc>
          <w:tcPr>
            <w:tcW w:type="dxa" w:w="12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Can improve detection over peak pixels; avoid post-selection bias.</w:t>
            </w:r>
          </w:p>
        </w:tc>
      </w:tr>
      <w:tr>
        <w:tc>
          <w:tcPr>
            <w:tcW w:type="dxa" w:w="7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8</w:t>
            </w:r>
          </w:p>
        </w:tc>
        <w:tc>
          <w:tcPr>
            <w:tcW w:type="dxa" w:w="2232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Post-hoc denoising</w:t>
            </w:r>
          </w:p>
        </w:tc>
        <w:tc>
          <w:tcPr>
            <w:tcW w:type="dxa" w:w="43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Use carefully validated smoothing/baseline models for visualization/secondary analysis, never as a substitute for raw evidence.</w:t>
            </w:r>
          </w:p>
        </w:tc>
        <w:tc>
          <w:tcPr>
            <w:tcW w:type="dxa" w:w="1296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Low–medium</w:t>
            </w:r>
          </w:p>
        </w:tc>
        <w:tc>
          <w:tcPr>
            <w:tcW w:type="dxa" w:w="2520"/>
            <w:shd w:fill="EEF1F4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sz w:val="13"/>
              </w:rPr>
              <w:t>Can distort weak broad signals if overfit.</w:t>
            </w:r>
          </w:p>
        </w:tc>
      </w:tr>
    </w:tbl>
    <w:p/>
    <w:p>
      <w:pPr>
        <w:pStyle w:val="Heading1"/>
      </w:pPr>
      <w:r>
        <w:t>Software lock-in: feasible form</w:t>
      </w:r>
    </w:p>
    <w:p>
      <w:r>
        <w:t>A CCD cannot reproduce a conventional analog lock-in merely through software. The feasible analogue is synchronous phase cycling or boxcar detection. For each cycle, acquire a signal phase and a matched reference phase, compute their difference, and average the paired differences. Static background and slow drift cancel to first order; independent noise from both phases remains.</w:t>
      </w:r>
    </w:p>
    <w:p>
      <w:pPr>
        <w:pStyle w:val="ListBullet"/>
        <w:spacing w:after="50"/>
      </w:pPr>
      <w:r>
        <w:t>Phase definitions: pump-then-delay signal versus pump-blocked/no-pump reference, or early versus late OFF windows when the late window contains negligible emission.</w:t>
      </w:r>
    </w:p>
    <w:p>
      <w:pPr>
        <w:pStyle w:val="ListBullet"/>
        <w:spacing w:after="50"/>
      </w:pPr>
      <w:r>
        <w:t>Data product: per-pixel paired difference, running mean, sample variance, phase timestamps/settings, rejected-pair reason, and optional band/template scalar with uncertainty.</w:t>
      </w:r>
    </w:p>
    <w:p>
      <w:pPr>
        <w:pStyle w:val="ListBullet"/>
        <w:spacing w:after="50"/>
      </w:pPr>
      <w:r>
        <w:t>Scheduling: host coordinator owns alternating phases, laser safety, detector stream/session, cancellation, and bounded retries. Settings and background objects are prepared before timed actions.</w:t>
      </w:r>
    </w:p>
    <w:p>
      <w:pPr>
        <w:pStyle w:val="ListBullet"/>
        <w:spacing w:after="50"/>
      </w:pPr>
      <w:r>
        <w:t>Limitation: if both frames are independent and similarly noisy, subtraction increases variance; the method wins only when rejected background/drift exceeds that penalty.</w:t>
      </w:r>
    </w:p>
    <w:p>
      <w:pPr>
        <w:pStyle w:val="ListBullet"/>
        <w:spacing w:after="50"/>
      </w:pPr>
      <w:r>
        <w:t>Upgrade path: a hardware modulator/trigger and detector synchronization would provide a more conventional lock-in reference and tighter timing than serial software control.</w:t>
      </w:r>
    </w:p>
    <w:p>
      <w:pPr>
        <w:pStyle w:val="Heading1"/>
      </w:pPr>
      <w:r>
        <w:t>Recommended first measurement protocol</w:t>
      </w:r>
    </w:p>
    <w:p>
      <w:pPr>
        <w:spacing w:after="60"/>
        <w:ind w:left="259" w:hanging="259"/>
      </w:pPr>
      <w:r>
        <w:rPr>
          <w:b/>
        </w:rPr>
        <w:t xml:space="preserve">1.  </w:t>
      </w:r>
      <w:r>
        <w:t>Use a bright stable lamp or fluorescent sample to optimize cryostat-to-slit image, slit width, grating, center wavelength, and port while recording throughput versus resolution.</w:t>
      </w:r>
    </w:p>
    <w:p>
      <w:pPr>
        <w:spacing w:after="60"/>
        <w:ind w:left="259" w:hanging="259"/>
      </w:pPr>
      <w:r>
        <w:rPr>
          <w:b/>
        </w:rPr>
        <w:t xml:space="preserve">2.  </w:t>
      </w:r>
      <w:r>
        <w:t>With the optical path blocked, measure detector mean/variance/cosmic-ray rate across supported gain and speed combinations at the intended exposure and temperature.</w:t>
      </w:r>
    </w:p>
    <w:p>
      <w:pPr>
        <w:spacing w:after="60"/>
        <w:ind w:left="259" w:hanging="259"/>
      </w:pPr>
      <w:r>
        <w:rPr>
          <w:b/>
        </w:rPr>
        <w:t xml:space="preserve">3.  </w:t>
      </w:r>
      <w:r>
        <w:t>Measure an excitation-on blank/matrix and a pump-off background with identical settings to identify scatter, fluorescence, and drift.</w:t>
      </w:r>
    </w:p>
    <w:p>
      <w:pPr>
        <w:spacing w:after="60"/>
        <w:ind w:left="259" w:hanging="259"/>
      </w:pPr>
      <w:r>
        <w:rPr>
          <w:b/>
        </w:rPr>
        <w:t xml:space="preserve">4.  </w:t>
      </w:r>
      <w:r>
        <w:t>Use Rhodamine B only as an alignment/visible-emission control; verify a clear detected band before attempting weak phosphorescence.</w:t>
      </w:r>
    </w:p>
    <w:p>
      <w:pPr>
        <w:spacing w:after="60"/>
        <w:ind w:left="259" w:hanging="259"/>
      </w:pPr>
      <w:r>
        <w:rPr>
          <w:b/>
        </w:rPr>
        <w:t xml:space="preserve">5.  </w:t>
      </w:r>
      <w:r>
        <w:t>Run fixed-delay retention at 10 ms, midpoint reference, 20 accepted, ±8 ms, 3×. Inspect yield and timing distributions; then narrow if justified.</w:t>
      </w:r>
    </w:p>
    <w:p>
      <w:pPr>
        <w:spacing w:after="60"/>
        <w:ind w:left="259" w:hanging="259"/>
      </w:pPr>
      <w:r>
        <w:rPr>
          <w:b/>
        </w:rPr>
        <w:t xml:space="preserve">6.  </w:t>
      </w:r>
      <w:r>
        <w:t>Add a photodiode timing measurement before interpreting absolute delay. Record command-to-optical offset/jitter for the selected laser channel.</w:t>
      </w:r>
    </w:p>
    <w:p>
      <w:pPr>
        <w:spacing w:after="60"/>
        <w:ind w:left="259" w:hanging="259"/>
      </w:pPr>
      <w:r>
        <w:rPr>
          <w:b/>
        </w:rPr>
        <w:t xml:space="preserve">7.  </w:t>
      </w:r>
      <w:r>
        <w:t>Only after a reproducible nonzero signal, increase accepted repeats and compare ordinary averaging against paired phase-cycled subtraction using a predeclared band/template metric.</w:t>
      </w:r>
    </w:p>
    <w:p>
      <w:pPr>
        <w:pStyle w:val="Heading1"/>
      </w:pPr>
      <w:r>
        <w:t>References and evidence boundary</w:t>
      </w:r>
    </w:p>
    <w:p>
      <w:pPr>
        <w:pStyle w:val="ListBullet"/>
        <w:spacing w:after="50"/>
      </w:pPr>
      <w:r>
        <w:t>Andor SDK2 Programming Guide: Run Till Abort, GetNumberNewImages, GetOldestImage, acquisition timing, and native return-code behavior. https://andor.oxinst.com/downloads/uploads/Andor_Software_Development_Kit_2.pdf</w:t>
      </w:r>
    </w:p>
    <w:p>
      <w:pPr>
        <w:pStyle w:val="ListBullet"/>
        <w:spacing w:after="50"/>
      </w:pPr>
      <w:r>
        <w:t>Project evidence: andor_probe_results_20260914.zip (13 JSON probes, eight complete gated CSVs), plus the cumulative September 9–11 review artifacts.</w:t>
      </w:r>
    </w:p>
    <w:p>
      <w:pPr>
        <w:pStyle w:val="ListBullet"/>
        <w:spacing w:after="50"/>
      </w:pPr>
      <w:r>
        <w:t>All optical-collection and synchronous-detection recommendations are general experimental-design guidance. Their quantitative benefit must be measured on the installed cryostat/sample/laser/detector geometry.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61717F"/>
        <w:sz w:val="15"/>
      </w:rPr>
      <w:t>SPECTROMETER GUI  |  ENGINEERING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7A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61717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