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Product, feature, and architecture guide</w:t>
      </w:r>
    </w:p>
    <w:p>
      <w:pPr>
        <w:jc w:val="left"/>
      </w:pPr>
      <w:r>
        <w:rPr>
          <w:b/>
          <w:color w:val="1E7A78"/>
          <w:sz w:val="22"/>
        </w:rPr>
        <w:t>Spectrometer GUI audience, use cases, design principles, and component model</w:t>
      </w:r>
    </w:p>
    <w:p>
      <w:r>
        <w:rPr>
          <w:color w:val="61717F"/>
        </w:rPr>
        <w:t>Revision date: 2026-09-14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0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24D"/>
              </w:rPr>
              <w:t>Product definition</w:t>
              <w:br/>
            </w:r>
            <w:r>
              <w:rPr>
                <w:sz w:val="18"/>
              </w:rPr>
              <w:t>A Windows/PySide6 research GUI for coordinated spectroscopy with independently selectable real, emulated, or disconnected spectrometer, power-meter, and laser sources. It supports ordinary spectra, live acquisition, power-dependent scans, software-timed gated/phosphorescence workflows, monitoring, reproducible metadata, and safe instrument lifecycle handling.</w:t>
            </w:r>
          </w:p>
        </w:tc>
      </w:tr>
    </w:tbl>
    <w:p/>
    <w:p>
      <w:pPr>
        <w:pStyle w:val="Heading1"/>
      </w:pPr>
      <w:r>
        <w:t>Audience and intended use</w:t>
      </w:r>
    </w:p>
    <w:p>
      <w:pPr>
        <w:pStyle w:val="ListBullet"/>
        <w:spacing w:after="50"/>
      </w:pPr>
      <w:r>
        <w:t>Experimental photophysics, photoluminescence, fluorescence, phosphorescence, magneto-optical, and power-dependent spectroscopy laboratories.</w:t>
      </w:r>
    </w:p>
    <w:p>
      <w:pPr>
        <w:pStyle w:val="ListBullet"/>
        <w:spacing w:after="50"/>
      </w:pPr>
      <w:r>
        <w:t>Researchers who need a guided GUI for repeatable acquisition but still require transparent files, diagnostics, and instrument-specific controls.</w:t>
      </w:r>
    </w:p>
    <w:p>
      <w:pPr>
        <w:pStyle w:val="ListBullet"/>
        <w:spacing w:after="50"/>
      </w:pPr>
      <w:r>
        <w:t>Developers adding adapters, coordinators, analysis utilities, or future procedures without coupling vendor drivers to presentation code.</w:t>
      </w:r>
    </w:p>
    <w:p>
      <w:pPr>
        <w:pStyle w:val="ListBullet"/>
        <w:spacing w:after="50"/>
      </w:pPr>
      <w:r>
        <w:t>Teaching and offline development using emulators, with explicit boundaries between simulated capability and bench-verified hardware behavior.</w:t>
      </w:r>
    </w:p>
    <w:p>
      <w:pPr>
        <w:pStyle w:val="Heading1"/>
      </w:pPr>
      <w:r>
        <w:t>Core design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Principle</w:t>
            </w:r>
          </w:p>
        </w:tc>
        <w:tc>
          <w:tcPr>
            <w:tcW w:type="dxa" w:w="784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Application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Instrument independence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Spectrometer, Newport, and OBIS sources select real/emulated/disconnected modes independently. Adapters never call each other.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Single workflow owner</w:t>
            </w:r>
          </w:p>
        </w:tc>
        <w:tc>
          <w:tcPr>
            <w:tcW w:type="dxa" w:w="78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SequenceArbiter prevents Live, manual, background, scans, gated, and auto-tune paths from issuing conflicting acquisitions.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Thread ownership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Only the owning worker calls a native device API. Cross-instrument transactions are host/runtime policy.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Evidence-gated capabilities</w:t>
            </w:r>
          </w:p>
        </w:tc>
        <w:tc>
          <w:tcPr>
            <w:tcW w:type="dxa" w:w="78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Controls are enabled only when support is reported and, where necessary, confirmed by lab behavior.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GUI-first handled errors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Expected absence and recoverable failures appear in status/dialogs and optional rotating logs; terminal errors indicate less-handled faults.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Data truth over widget state</w:t>
            </w:r>
          </w:p>
        </w:tc>
        <w:tc>
          <w:tcPr>
            <w:tcW w:type="dxa" w:w="78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Saved records capture acquisition-time settings, SDK-applied values, selected channels, timing evidence, and background signature.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Bounded operation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Buffers, plans, logs, retries, timing rejection, helper processes, and retained acquisition all have explicit ceilings.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Fail-safe cleanup</w:t>
            </w:r>
          </w:p>
        </w:tc>
        <w:tc>
          <w:tcPr>
            <w:tcW w:type="dxa" w:w="78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Abort/failure/disconnect paths unwind dependent workflows and request laser OFF; normal cold-camera exit requires guided warm-up.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Performance by architecture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Event chaining, independent redraw clocks, lazy plans, cached processing, armed streams, and asynchronous ordered autosave remove avoidable GUI-path work.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Backward-readable persistence</w:t>
            </w:r>
          </w:p>
        </w:tc>
        <w:tc>
          <w:tcPr>
            <w:tcW w:type="dxa" w:w="784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Versioned CSV loaders preserve older files while new writers use conditional analysis-oriented metadata.</w:t>
            </w:r>
          </w:p>
        </w:tc>
      </w:tr>
    </w:tbl>
    <w:p/>
    <w:p>
      <w:pPr>
        <w:pStyle w:val="Heading1"/>
      </w:pPr>
      <w:r>
        <w:t>Supported hardware and source modes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367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Backends</w:t>
            </w:r>
          </w:p>
        </w:tc>
        <w:tc>
          <w:tcPr>
            <w:tcW w:type="dxa" w:w="482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Behavior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Spectrometer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Ocean Insight QEPro via SeaBreeze; Andor iDus SDK2 + Kymera ATSpectrograph; emulator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Real / auto / emulated / disconnected; QEPro or Andor can be selected at startup or in Instrument Connections.</w:t>
            </w:r>
          </w:p>
        </w:tc>
      </w:tr>
      <w:tr>
        <w:tc>
          <w:tcPr>
            <w:tcW w:type="dxa" w:w="17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Power meter</w:t>
            </w:r>
          </w:p>
        </w:tc>
        <w:tc>
          <w:tcPr>
            <w:tcW w:type="dxa" w:w="367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Newport 2936-R via pythonnet/vendor DLL; emulator</w:t>
            </w:r>
          </w:p>
        </w:tc>
        <w:tc>
          <w:tcPr>
            <w:tcW w:type="dxa" w:w="4824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Independent connection/live state; restartable helper process; channel 1/2 spectrum association.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Lasers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Coherent OBIS Laser Boxes over serial; emulator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Independent box discovery; explicit session-only selected laser; enable/readback/setpoint/CDRH; conditional safety polling while verified ON.</w:t>
            </w:r>
          </w:p>
        </w:tc>
      </w:tr>
      <w:tr>
        <w:tc>
          <w:tcPr>
            <w:tcW w:type="dxa" w:w="17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Manual optics</w:t>
            </w:r>
          </w:p>
        </w:tc>
        <w:tc>
          <w:tcPr>
            <w:tcW w:type="dxa" w:w="367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Named ND filter-wheel definitions</w:t>
            </w:r>
          </w:p>
        </w:tc>
        <w:tc>
          <w:tcPr>
            <w:tcW w:type="dxa" w:w="4824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Transmission calculation, scan feasibility, low-change planning, user prompts, and spectrum metadata.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Future sensors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Field sensor, shutter, trigger/photodiode, beam profiler, other detectors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Planned typed capability/plugin boundary; not active production functionality.</w:t>
            </w:r>
          </w:p>
        </w:tc>
      </w:tr>
    </w:tbl>
    <w:p/>
    <w:p>
      <w:pPr>
        <w:pStyle w:val="Heading1"/>
      </w:pPr>
      <w:r>
        <w:t>Measurement and analysis-facing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8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Features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Spectrum acquisition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Single, Live, background, software/device averaging, integration, corrections, smoothing, SNR evaluation, long-acquisition progress.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Power measurement</w:t>
            </w:r>
          </w:p>
        </w:tc>
        <w:tc>
          <w:tcPr>
            <w:tcW w:type="dxa" w:w="81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Live trace, bounded history, before/after spectrum association, channel selection, status validation, wavelength control, wrong-channel warning.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Power scans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Setpoint or calibrated power, linear/log/custom points, shared repeats-per-point, settling, filter planning, autosave, abort/failure cleanup.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Gated acquisition</w:t>
            </w:r>
          </w:p>
        </w:tc>
        <w:tc>
          <w:tcPr>
            <w:tcW w:type="dxa" w:w="81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ON/OFF pair, delayed after OFF, transition series, interleaved decay, one-file averaging, robust flag/discard, fixed-window retain-until-valid.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Visualization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Spectrum plot, bounded scalar/power monitors, redraw throttling, optional 3-D field-power map, persistent axes/styles, performance indicator.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SNR/tuning</w:t>
            </w:r>
          </w:p>
        </w:tc>
        <w:tc>
          <w:tcPr>
            <w:tcW w:type="dxa" w:w="81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Robust baseline/noise estimate, peak/integrated metrics, evaluation cadence, stored last valid result, bounded recommendation and auto-tune verification.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Files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Atomic/manual save/open, ordered background autosave, generated names/run IDs/notes, spectrum v4, gated-series v5, calibration and trace exports.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Themes/settings</w:t>
            </w:r>
          </w:p>
        </w:tc>
        <w:tc>
          <w:tcPr>
            <w:tcW w:type="dxa" w:w="81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Built-in/custom semantic themes, preview/editor, persisted display/performance/acquisition preferences, restart support.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Diagnostics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Andor ctypes/DLL/timing/stream/control probes, Newport reconnect tests, OBIS probes, import-safe command-line utilities, optional rotating logs.</w:t>
            </w:r>
          </w:p>
        </w:tc>
      </w:tr>
    </w:tbl>
    <w:p/>
    <w:p>
      <w:pPr>
        <w:pStyle w:val="Heading1"/>
      </w:pPr>
      <w:r>
        <w:t>Component and communication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97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_202609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Host-owned coordination across independently owned instrument workers.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7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51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27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Boundary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MainWindow / panels / dialogs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Presentation, user intent, status, plots, settings dialogs, session connection controls.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No vendor API calls.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SequenceArbiter</w:t>
            </w:r>
          </w:p>
        </w:tc>
        <w:tc>
          <w:tcPr>
            <w:tcW w:type="dxa" w:w="511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Exclusive workflow lease and derived UI availability.</w:t>
            </w:r>
          </w:p>
        </w:tc>
        <w:tc>
          <w:tcPr>
            <w:tcW w:type="dxa" w:w="27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One acquisition owner.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Workflow coordinators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Power/calibration scan, gated state machine, SNR auto-tune.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Cross-instrument policy and cleanup.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InstrumentRuntime</w:t>
            </w:r>
          </w:p>
        </w:tc>
        <w:tc>
          <w:tcPr>
            <w:tcW w:type="dxa" w:w="511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Queued worker routing and optional Newport-before/spectrum/Newport-after transaction.</w:t>
            </w:r>
          </w:p>
        </w:tc>
        <w:tc>
          <w:tcPr>
            <w:tcW w:type="dxa" w:w="27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Adapters remain decoupled.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DeviceController / LaserController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Worker-owned adapters, record formation, connection normalization, laser verification.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Only called on owning thread.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Adapters</w:t>
            </w:r>
          </w:p>
        </w:tc>
        <w:tc>
          <w:tcPr>
            <w:tcW w:type="dxa" w:w="511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QEPro, Andor composite, Newport proxy, OBIS, and emulators.</w:t>
            </w:r>
          </w:p>
        </w:tc>
        <w:tc>
          <w:tcPr>
            <w:tcW w:type="dxa" w:w="27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Translate vendor/native contracts.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Planning/processing</w:t>
            </w:r>
          </w:p>
        </w:tc>
        <w:tc>
          <w:tcPr>
            <w:tcW w:type="dxa" w:w="51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Lazy scan/gated plans, timing guards, averaging, SNR, smoothing, background signatures.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Hardware-independent/pure where practical.</w:t>
            </w:r>
          </w:p>
        </w:tc>
      </w:tr>
      <w:tr>
        <w:tc>
          <w:tcPr>
            <w:tcW w:type="dxa" w:w="23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FileIOController / serializers</w:t>
            </w:r>
          </w:p>
        </w:tc>
        <w:tc>
          <w:tcPr>
            <w:tcW w:type="dxa" w:w="511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User files, atomic exports, ordered autosave, schema round trips.</w:t>
            </w:r>
          </w:p>
        </w:tc>
        <w:tc>
          <w:tcPr>
            <w:tcW w:type="dxa" w:w="27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Disk writes do not delay automated result routing.</w:t>
            </w:r>
          </w:p>
        </w:tc>
      </w:tr>
    </w:tbl>
    <w:p/>
    <w:p>
      <w:pPr>
        <w:pStyle w:val="Heading1"/>
      </w:pPr>
      <w:r>
        <w:t>Acquisition lifecycle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A panel or coordinator asks MainWindow to acquire under a named origin.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SequenceArbiter confirms ownership; MainWindow freezes the applicable settings into AcquisitionSettings.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InstrumentRuntime optionally samples selected Newport channels, then queues the spectrometer worker.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The worker applies/validates settings, acquires through the selected adapter, performs strict background/processing, and returns SpectrumRecord plus native timing/provenance.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MainWindow routes the result to the owning automated coordinator before plot/monitor/autosave work.</w:t>
      </w:r>
    </w:p>
    <w:p>
      <w:pPr>
        <w:spacing w:after="60"/>
        <w:ind w:left="259" w:hanging="259"/>
      </w:pPr>
      <w:r>
        <w:rPr>
          <w:b/>
        </w:rPr>
        <w:t xml:space="preserve">6.  </w:t>
      </w:r>
      <w:r>
        <w:t>Automatic file formatting/writing occurs on one ordered executor; the next event-driven acquisition can proceed without synchronous disk work.</w:t>
      </w:r>
    </w:p>
    <w:p>
      <w:pPr>
        <w:pStyle w:val="Heading1"/>
      </w:pPr>
      <w:r>
        <w:t>Data, metadata, and reproducibility</w:t>
      </w:r>
    </w:p>
    <w:p>
      <w:pPr>
        <w:pStyle w:val="ListBullet"/>
        <w:spacing w:after="50"/>
      </w:pPr>
      <w:r>
        <w:t>Adapter-output counts are canonical raw data. A processed column appears only when background subtraction or smoothing changes the displayed/result array.</w:t>
      </w:r>
    </w:p>
    <w:p>
      <w:pPr>
        <w:pStyle w:val="ListBullet"/>
        <w:spacing w:after="50"/>
      </w:pPr>
      <w:r>
        <w:t>Background subtraction requires an exact signature for backend, serial, wavelength grid, applied exposure, averaging/corrections, and instrument state.</w:t>
      </w:r>
    </w:p>
    <w:p>
      <w:pPr>
        <w:pStyle w:val="ListBullet"/>
        <w:spacing w:after="50"/>
      </w:pPr>
      <w:r>
        <w:t>Feature-group presence replaces redundant active flags. Requested/applied values collapse when equal; abnormal Newport status is retained while normal words are omitted.</w:t>
      </w:r>
    </w:p>
    <w:p>
      <w:pPr>
        <w:pStyle w:val="ListBullet"/>
        <w:spacing w:after="50"/>
      </w:pPr>
      <w:r>
        <w:t>Magnetic field is float-or-None. None alone means not applicable; zero and negative fields are valid.</w:t>
      </w:r>
    </w:p>
    <w:p>
      <w:pPr>
        <w:pStyle w:val="ListBullet"/>
        <w:spacing w:after="50"/>
      </w:pPr>
      <w:r>
        <w:t>Gated files preserve requested delay, request/call/exposure timing families, timing basis, uncertainty, quality, pump duration, and repetition gaps.</w:t>
      </w:r>
    </w:p>
    <w:p>
      <w:pPr>
        <w:pStyle w:val="ListBullet"/>
        <w:spacing w:after="50"/>
      </w:pPr>
      <w:r>
        <w:t>Spectrum CSV schema v4 and averaged gated-series schema v5 are analysis-oriented; legacy readers remain supported.</w:t>
      </w:r>
    </w:p>
    <w:p>
      <w:pPr>
        <w:pStyle w:val="Heading1"/>
      </w:pPr>
      <w:r>
        <w:t>Use-case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Boundary</w:t>
            </w:r>
          </w:p>
        </w:tc>
        <w:tc>
          <w:tcPr>
            <w:tcW w:type="dxa" w:w="849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Meaning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Good fit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Steady-state spectra, power dependence, calibrated scans, magneto-PL metadata, slow software-gated decays, repeated averages, instrument diagnostics, offline file viewing.</w:t>
            </w:r>
          </w:p>
        </w:tc>
      </w:tr>
      <w:tr>
        <w:tc>
          <w:tcPr>
            <w:tcW w:type="dxa" w:w="17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Conditional</w:t>
            </w:r>
          </w:p>
        </w:tc>
        <w:tc>
          <w:tcPr>
            <w:tcW w:type="dxa" w:w="849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Phosphorescence with weak signals: feasible when collection/background/detector performance is sufficient; timing retention improves consistency but not photon count.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Not claimed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Microsecond-accurate optical gating, analog lock-in behavior, arbitrary safe user code, automatic Step-and-Glue, or detector switching without calibration.</w:t>
            </w:r>
          </w:p>
        </w:tc>
      </w:tr>
      <w:tr>
        <w:tc>
          <w:tcPr>
            <w:tcW w:type="dxa" w:w="172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Future</w:t>
            </w:r>
          </w:p>
        </w:tc>
        <w:tc>
          <w:tcPr>
            <w:tcW w:type="dxa" w:w="849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Hardware-referenced triggers, paired phase cycling, typed plugins, declarative procedures, field-sensor acquisition, wider-range stitched scans.</w:t>
            </w:r>
          </w:p>
        </w:tc>
      </w:tr>
    </w:tbl>
    <w:p/>
    <w:p>
      <w:pPr>
        <w:pStyle w:val="Heading1"/>
      </w:pPr>
      <w:r>
        <w:t>Extensibility direction</w:t>
      </w:r>
    </w:p>
    <w:p>
      <w:pPr>
        <w:pStyle w:val="ListBullet"/>
        <w:spacing w:after="50"/>
      </w:pPr>
      <w:r>
        <w:t>Plugins mean versioned instrument/tool capability providers discovered from manifests; they do not receive MainWindow or raw authority to bypass leases and cleanup.</w:t>
      </w:r>
    </w:p>
    <w:p>
      <w:pPr>
        <w:pStyle w:val="ListBullet"/>
        <w:spacing w:after="50"/>
      </w:pPr>
      <w:r>
        <w:t>Procedures mean validated, bounded measurement recipes compiled into host-owned steps; arbitrary Python is not the default procedure format.</w:t>
      </w:r>
    </w:p>
    <w:p>
      <w:pPr>
        <w:pStyle w:val="ListBullet"/>
        <w:spacing w:after="50"/>
      </w:pPr>
      <w:r>
        <w:t>Third-party code should run in a supervised subprocess or remote service by default; the host retains resource leases, laser authority, validation, cancellation, and audit logs.</w:t>
      </w:r>
    </w:p>
    <w:p>
      <w:pPr>
        <w:pStyle w:val="ListBullet"/>
        <w:spacing w:after="50"/>
      </w:pPr>
      <w:r>
        <w:t>The first pilot remains a read-only field sensor so discovery, capability typing, timestamps/age/uncertainty, and failure isolation can be tested with low actuation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61717F"/>
        <w:sz w:val="15"/>
      </w:rPr>
      <w:t>SPECTROMETER GUI  |  ENGINEERING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7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61717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