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GUI features, design and architecture</w:t>
      </w:r>
    </w:p>
    <w:p>
      <w:r>
        <w:t>Current implementation and extension boundaries</w:t>
      </w:r>
    </w:p>
    <w:p>
      <w:r>
        <w:t>Revision: 2026-10-06</w:t>
      </w:r>
    </w:p>
    <w:p>
      <w:pPr>
        <w:pStyle w:val="Heading1"/>
      </w:pPr>
      <w:r>
        <w:t>Product and instrument model</w:t>
      </w:r>
    </w:p>
    <w:p>
      <w:r>
        <w:t>Windows/Python 3.14/PySide6 spectroscopy acquisition for QEPro, iDus/Kymera, Newport 2936-R, OBIS and optional read-only Lake Shore 335. Existing spectrometer/power/laser modes remain independent; the temperature adapter is explicitly connected per session. Emulators support software development without implying hardware validation.</w:t>
      </w:r>
    </w:p>
    <w:p>
      <w:pPr>
        <w:pStyle w:val="Heading1"/>
      </w:pPr>
      <w:r>
        <w:t>Current feature changes</w:t>
      </w:r>
    </w:p>
    <w:tbl>
      <w:tblPr>
        <w:tblStyle w:val="LightShading-Accent1"/>
        <w:tblW w:type="auto" w:w="0"/>
        <w:tblLook w:firstColumn="1" w:firstRow="1" w:lastColumn="0" w:lastRow="0" w:noHBand="0" w:noVBand="1" w:val="04A0"/>
      </w:tblPr>
      <w:tblGrid>
        <w:gridCol w:w="5112"/>
        <w:gridCol w:w="5112"/>
      </w:tblGrid>
      <w:tr>
        <w:trPr>
          <w:cantSplit/>
        </w:trPr>
        <w:tc>
          <w:tcPr>
            <w:tcW w:type="dxa" w:w="5112"/>
          </w:tcPr>
          <w:p>
            <w:r>
              <w:t>Area</w:t>
            </w:r>
          </w:p>
        </w:tc>
        <w:tc>
          <w:tcPr>
            <w:tcW w:type="dxa" w:w="5112"/>
          </w:tcPr>
          <w:p>
            <w:r>
              <w:t>Behavior</w:t>
            </w:r>
          </w:p>
        </w:tc>
      </w:tr>
      <w:tr>
        <w:trPr>
          <w:cantSplit/>
        </w:trPr>
        <w:tc>
          <w:tcPr>
            <w:tcW w:type="dxa" w:w="5112"/>
          </w:tcPr>
          <w:p>
            <w:r>
              <w:t>Power channels</w:t>
            </w:r>
          </w:p>
        </w:tc>
        <w:tc>
          <w:tcPr>
            <w:tcW w:type="dxa" w:w="5112"/>
          </w:tcPr>
          <w:p>
            <w:r>
              <w:t>Both monitors have independent Channel 1/2 selectors. Selecting only one spectrum-associated channel selects it in both monitors. With both channels associated, each monitor keeps its explicit display selection. Power statistics, normalization, power axes, field-power maps, 3D values, toolbar readout and exported monitor display values use the selected channel. A channel absent from a spectrum association is unknown, not a fallback to channel 1.</w:t>
            </w:r>
          </w:p>
        </w:tc>
      </w:tr>
      <w:tr>
        <w:trPr>
          <w:cantSplit/>
        </w:trPr>
        <w:tc>
          <w:tcPr>
            <w:tcW w:type="dxa" w:w="5112"/>
          </w:tcPr>
          <w:p>
            <w:r>
              <w:t>Monitor timers</w:t>
            </w:r>
          </w:p>
        </w:tc>
        <w:tc>
          <w:tcPr>
            <w:tcW w:type="dxa" w:w="5112"/>
          </w:tcPr>
          <w:p>
            <w:r>
              <w:t>Reset timer sets zero to the current monotonic time and rebases retained history to negative elapsed times. New readings use that origin. Clear remains a separate action. UTC acquisition timestamps, scan clocks, and full-run power logging are unchanged.</w:t>
            </w:r>
          </w:p>
        </w:tc>
      </w:tr>
      <w:tr>
        <w:trPr>
          <w:cantSplit/>
        </w:trPr>
        <w:tc>
          <w:tcPr>
            <w:tcW w:type="dxa" w:w="5112"/>
          </w:tcPr>
          <w:p>
            <w:r>
              <w:t>Smoothing display</w:t>
            </w:r>
          </w:p>
        </w:tc>
        <w:tc>
          <w:tcPr>
            <w:tcW w:type="dxa" w:w="5112"/>
          </w:tcPr>
          <w:p>
            <w:r>
              <w:t>The spectrum plot retains a colored unsmoothed trace alongside the final smoothed curve. Unsmoothed means after background subtraction but before smoothing. Both stages are saved and restored in new spectrum files. Older files with background subtraction cannot reconstruct this stage; no substitute curve is fabricated.</w:t>
            </w:r>
          </w:p>
        </w:tc>
      </w:tr>
      <w:tr>
        <w:trPr>
          <w:cantSplit/>
        </w:trPr>
        <w:tc>
          <w:tcPr>
            <w:tcW w:type="dxa" w:w="5112"/>
          </w:tcPr>
          <w:p>
            <w:r>
              <w:t>Background controls</w:t>
            </w:r>
          </w:p>
        </w:tc>
        <w:tc>
          <w:tcPr>
            <w:tcW w:type="dxa" w:w="5112"/>
          </w:tcPr>
          <w:p>
            <w:r>
              <w:t>Save background exports capture counts, counts/s, exposure, averaging, correction flags, timestamp and strict compatibility signature. Plot background overlays the captured counts on its own wavelength grid and labels them as capture counts. Startup subtraction is disabled until an in-memory background exists. Loading a saved background for reuse is a future task.</w:t>
            </w:r>
          </w:p>
        </w:tc>
      </w:tr>
      <w:tr>
        <w:trPr>
          <w:cantSplit/>
        </w:trPr>
        <w:tc>
          <w:tcPr>
            <w:tcW w:type="dxa" w:w="5112"/>
          </w:tcPr>
          <w:p>
            <w:r>
              <w:t>Andor details</w:t>
            </w:r>
          </w:p>
        </w:tc>
        <w:tc>
          <w:tcPr>
            <w:tcW w:type="dxa" w:w="5112"/>
          </w:tcPr>
          <w:p>
            <w:r>
              <w:t>Timing labels and integration-limit text refresh in the open dialog after Apply and verify succeeds. Values describe the applied configuration; editing a speed alone does not command the camera. Minimum frame period remains distinct from applied minimum exposure.</w:t>
            </w:r>
          </w:p>
        </w:tc>
      </w:tr>
      <w:tr>
        <w:trPr>
          <w:cantSplit/>
        </w:trPr>
        <w:tc>
          <w:tcPr>
            <w:tcW w:type="dxa" w:w="5112"/>
          </w:tcPr>
          <w:p>
            <w:r>
              <w:t>Toolbar and layout</w:t>
            </w:r>
          </w:p>
        </w:tc>
        <w:tc>
          <w:tcPr>
            <w:tcW w:type="dxa" w:w="5112"/>
          </w:tcPr>
          <w:p>
            <w:r>
              <w:t>The acquisition toolbar contains the base filename and Autosave checkbox, synchronized with existing file settings. Suffixes, paths, enumeration and other options remain in Application Settings. The laser table is capped at 130 logical pixels, approximately two-thirds of its former default table height; scrolling retains access to all rows.</w:t>
            </w:r>
          </w:p>
        </w:tc>
      </w:tr>
      <w:tr>
        <w:trPr>
          <w:cantSplit/>
        </w:trPr>
        <w:tc>
          <w:tcPr>
            <w:tcW w:type="dxa" w:w="5112"/>
          </w:tcPr>
          <w:p>
            <w:r>
              <w:t>Ordinary parameter scans</w:t>
            </w:r>
          </w:p>
        </w:tc>
        <w:tc>
          <w:tcPr>
            <w:tcW w:type="dxa" w:w="5112"/>
          </w:tcPr>
          <w:p>
            <w:r>
              <w:t>A new Parameter scans tab provides exposure, Kymera center, scheduled-time and temperature-target scans. Custom lists, linear/logarithmic point generation, repeats and settling are supported, with a maximum of 10000 acquisitions. Generated exposures are rounded to whole milliseconds. Existing power scans and gated coordinators remain separate.</w:t>
            </w:r>
          </w:p>
        </w:tc>
      </w:tr>
      <w:tr>
        <w:trPr>
          <w:cantSplit/>
        </w:trPr>
        <w:tc>
          <w:tcPr>
            <w:tcW w:type="dxa" w:w="5112"/>
          </w:tcPr>
          <w:p>
            <w:r>
              <w:t>Temperature monitoring</w:t>
            </w:r>
          </w:p>
        </w:tc>
        <w:tc>
          <w:tcPr>
            <w:tcW w:type="dxa" w:w="5112"/>
          </w:tcPr>
          <w:p>
            <w:r>
              <w:t>A separate Temperature tab connects explicitly to a Lake Shore 335 USB virtual COM port or emulator. It displays channels A/B in kelvin, status and reading age, and exports a bounded history. Its independent worker sends identification and reading/status queries only; it never changes heaters, PID settings or temperature setpoints.</w:t>
            </w:r>
          </w:p>
        </w:tc>
      </w:tr>
    </w:tbl>
    <w:p/>
    <w:p>
      <w:pPr>
        <w:pStyle w:val="Heading1"/>
      </w:pPr>
      <w:r>
        <w:t>Component responsibilities</w:t>
      </w:r>
    </w:p>
    <w:tbl>
      <w:tblPr>
        <w:tblStyle w:val="LightShading-Accent1"/>
        <w:tblW w:type="auto" w:w="0"/>
        <w:tblLook w:firstColumn="1" w:firstRow="1" w:lastColumn="0" w:lastRow="0" w:noHBand="0" w:noVBand="1" w:val="04A0"/>
      </w:tblPr>
      <w:tblGrid>
        <w:gridCol w:w="5112"/>
        <w:gridCol w:w="5112"/>
      </w:tblGrid>
      <w:tr>
        <w:trPr>
          <w:cantSplit/>
        </w:trPr>
        <w:tc>
          <w:tcPr>
            <w:tcW w:type="dxa" w:w="5112"/>
          </w:tcPr>
          <w:p>
            <w:r>
              <w:t>Component</w:t>
            </w:r>
          </w:p>
        </w:tc>
        <w:tc>
          <w:tcPr>
            <w:tcW w:type="dxa" w:w="5112"/>
          </w:tcPr>
          <w:p>
            <w:r>
              <w:t>Responsibility</w:t>
            </w:r>
          </w:p>
        </w:tc>
      </w:tr>
      <w:tr>
        <w:trPr>
          <w:cantSplit/>
        </w:trPr>
        <w:tc>
          <w:tcPr>
            <w:tcW w:type="dxa" w:w="5112"/>
          </w:tcPr>
          <w:p>
            <w:r>
              <w:t>MainWindow and panels</w:t>
            </w:r>
          </w:p>
        </w:tc>
        <w:tc>
          <w:tcPr>
            <w:tcW w:type="dxa" w:w="5112"/>
          </w:tcPr>
          <w:p>
            <w:r>
              <w:t>UI, capture of run settings, acquisition ownership and result routing. Parameter scans and Temperature are separate central tabs.</w:t>
            </w:r>
          </w:p>
        </w:tc>
      </w:tr>
      <w:tr>
        <w:trPr>
          <w:cantSplit/>
        </w:trPr>
        <w:tc>
          <w:tcPr>
            <w:tcW w:type="dxa" w:w="5112"/>
          </w:tcPr>
          <w:p>
            <w:r>
              <w:t>SequenceArbiter</w:t>
            </w:r>
          </w:p>
        </w:tc>
        <w:tc>
          <w:tcPr>
            <w:tcW w:type="dxa" w:w="5112"/>
          </w:tcPr>
          <w:p>
            <w:r>
              <w:t>One lease among manual, Live, background, power/calibration scans, gated, auto-tune and parameter_scan. Lease persists during in-flight cancellation and Kymera restoration.</w:t>
            </w:r>
          </w:p>
        </w:tc>
      </w:tr>
      <w:tr>
        <w:trPr>
          <w:cantSplit/>
        </w:trPr>
        <w:tc>
          <w:tcPr>
            <w:tcW w:type="dxa" w:w="5112"/>
          </w:tcPr>
          <w:p>
            <w:r>
              <w:t>Existing coordinators</w:t>
            </w:r>
          </w:p>
        </w:tc>
        <w:tc>
          <w:tcPr>
            <w:tcW w:type="dxa" w:w="5112"/>
          </w:tcPr>
          <w:p>
            <w:r>
              <w:t>Power scans, gated sequences and automatic tuning retain their established workflows.</w:t>
            </w:r>
          </w:p>
        </w:tc>
      </w:tr>
      <w:tr>
        <w:trPr>
          <w:cantSplit/>
        </w:trPr>
        <w:tc>
          <w:tcPr>
            <w:tcW w:type="dxa" w:w="5112"/>
          </w:tcPr>
          <w:p>
            <w:r>
              <w:t>ParameterScanPlan / TemperatureGate</w:t>
            </w:r>
          </w:p>
        </w:tc>
        <w:tc>
          <w:tcPr>
            <w:tcW w:type="dxa" w:w="5112"/>
          </w:tcPr>
          <w:p>
            <w:r>
              <w:t>Pure bounded plan validation/point generation and fresh sampled-temperature dwell qualification.</w:t>
            </w:r>
          </w:p>
        </w:tc>
      </w:tr>
      <w:tr>
        <w:trPr>
          <w:cantSplit/>
        </w:trPr>
        <w:tc>
          <w:tcPr>
            <w:tcW w:type="dxa" w:w="5112"/>
          </w:tcPr>
          <w:p>
            <w:r>
              <w:t>ParameterScanCoordinator</w:t>
            </w:r>
          </w:p>
        </w:tc>
        <w:tc>
          <w:tcPr>
            <w:tcW w:type="dxa" w:w="5112"/>
          </w:tcPr>
          <w:p>
            <w:r>
              <w:t>Monotonic scheduling, asynchronous configure/acquire transitions, deterministic overrun policy, cancellation drain, restore, per-point metadata and terminal summary.</w:t>
            </w:r>
          </w:p>
        </w:tc>
      </w:tr>
      <w:tr>
        <w:trPr>
          <w:cantSplit/>
        </w:trPr>
        <w:tc>
          <w:tcPr>
            <w:tcW w:type="dxa" w:w="5112"/>
          </w:tcPr>
          <w:p>
            <w:r>
              <w:t>InstrumentRuntime / DeviceController</w:t>
            </w:r>
          </w:p>
        </w:tc>
        <w:tc>
          <w:tcPr>
            <w:tcW w:type="dxa" w:w="5112"/>
          </w:tcPr>
          <w:p>
            <w:r>
              <w:t>Existing independent spectrometer and Newport queues; worker-owned native acquisition/settings/background processing. The controller now preserves the post-background pre-smoothing array.</w:t>
            </w:r>
          </w:p>
        </w:tc>
      </w:tr>
      <w:tr>
        <w:trPr>
          <w:cantSplit/>
        </w:trPr>
        <w:tc>
          <w:tcPr>
            <w:tcW w:type="dxa" w:w="5112"/>
          </w:tcPr>
          <w:p>
            <w:r>
              <w:t>TemperatureRuntime / TemperatureWorker</w:t>
            </w:r>
          </w:p>
        </w:tc>
        <w:tc>
          <w:tcPr>
            <w:tcW w:type="dxa" w:w="5112"/>
          </w:tcPr>
          <w:p>
            <w:r>
              <w:t>Independent QThread, bounded serial reads and nominal 1 Hz timer. No device adapter calls another adapter. Sensor faults close the transport and invalidate trigger readings.</w:t>
            </w:r>
          </w:p>
        </w:tc>
      </w:tr>
      <w:tr>
        <w:trPr>
          <w:cantSplit/>
        </w:trPr>
        <w:tc>
          <w:tcPr>
            <w:tcW w:type="dxa" w:w="5112"/>
          </w:tcPr>
          <w:p>
            <w:r>
              <w:t>LakeShore335</w:t>
            </w:r>
          </w:p>
        </w:tc>
        <w:tc>
          <w:tcPr>
            <w:tcW w:type="dxa" w:w="5112"/>
          </w:tcPr>
          <w:p>
            <w:r>
              <w:t>57600 baud, 7 data bits, odd parity, one stop bit; *IDN?, KRDG? A/B, RDGST? A/B. No actuation commands. Explicit COM port; no port sweep.</w:t>
            </w:r>
          </w:p>
        </w:tc>
      </w:tr>
      <w:tr>
        <w:trPr>
          <w:cantSplit/>
        </w:trPr>
        <w:tc>
          <w:tcPr>
            <w:tcW w:type="dxa" w:w="5112"/>
          </w:tcPr>
          <w:p>
            <w:r>
              <w:t>FileIOController</w:t>
            </w:r>
          </w:p>
        </w:tc>
        <w:tc>
          <w:tcPr>
            <w:tcW w:type="dxa" w:w="5112"/>
          </w:tcPr>
          <w:p>
            <w:r>
              <w:t>Existing ordered asynchronous writer now also writes scan summary JSON. Spectrum CSV v5, background CSV v1 and temperature history CSV are distinct outputs.</w:t>
            </w:r>
          </w:p>
        </w:tc>
      </w:tr>
    </w:tbl>
    <w:p/>
    <w:p>
      <w:pPr>
        <w:pStyle w:val="Heading1"/>
      </w:pPr>
      <w:r>
        <w:t>Acquisition and data flow</w:t>
      </w:r>
    </w:p>
    <w:p>
      <w:pPr>
        <w:pStyle w:val="ListNumber"/>
      </w:pPr>
      <w:r>
        <w:t>A UI workflow claims ownership and freezes AcquisitionSettings. Parameter scans use ordinary single acquisitions; they do not use the gated timing path.</w:t>
      </w:r>
    </w:p>
    <w:p>
      <w:pPr>
        <w:pStyle w:val="ListNumber"/>
      </w:pPr>
      <w:r>
        <w:t>Wavelength points await worker settings/readback completion before settling. Temperature points consume fresh asynchronous sensor evidence. Scheduled points compare elapsed time to the requested offset.</w:t>
      </w:r>
    </w:p>
    <w:p>
      <w:pPr>
        <w:pStyle w:val="ListNumber"/>
      </w:pPr>
      <w:r>
        <w:t>The spectrometer worker returns canonical raw arrays, post-background unsmoothed arrays, final processed arrays and applied native settings/timing.</w:t>
      </w:r>
    </w:p>
    <w:p>
      <w:pPr>
        <w:pStyle w:val="ListNumber"/>
      </w:pPr>
      <w:r>
        <w:t>MainWindow routes to the owning coordinator first. The coordinator adds scan metadata and queues one save, then advances. Plotting and monitor updates follow.</w:t>
      </w:r>
    </w:p>
    <w:p>
      <w:pPr>
        <w:pStyle w:val="ListNumber"/>
      </w:pPr>
      <w:r>
        <w:t>Completion, abort and failure produce a terminal scan summary. Abort waits for the current result, and wavelength restoration retains ownership until acknowledged. Disk completion remains asynchronous.</w:t>
      </w:r>
    </w:p>
    <w:p>
      <w:pPr>
        <w:pStyle w:val="Heading1"/>
      </w:pPr>
      <w:r>
        <w:t>File schema and compatibility</w:t>
      </w:r>
    </w:p>
    <w:p>
      <w:r>
        <w:t>Spectrum schema v5 adds an optional intensity_counts_unsmoothed column and parameter_scan_json row. Existing raw and optional processed columns keep their meanings. The loader still supports legacy files and v1–v4. Gated averaged-series schema remains v5 and is distinguished by file type. Background CSV is an export, not a reloadable acquisition background. Scan summaries contain acquisition counts rather than independently verified file-write counts.</w:t>
      </w:r>
    </w:p>
    <w:p>
      <w:pPr>
        <w:pStyle w:val="Heading1"/>
      </w:pPr>
      <w:r>
        <w:t>Operational contracts</w:t>
      </w:r>
    </w:p>
    <w:tbl>
      <w:tblPr>
        <w:tblStyle w:val="LightShading-Accent1"/>
        <w:tblW w:type="auto" w:w="0"/>
        <w:tblLook w:firstColumn="1" w:firstRow="1" w:lastColumn="0" w:lastRow="0" w:noHBand="0" w:noVBand="1" w:val="04A0"/>
      </w:tblPr>
      <w:tblGrid>
        <w:gridCol w:w="5112"/>
        <w:gridCol w:w="5112"/>
      </w:tblGrid>
      <w:tr>
        <w:trPr>
          <w:cantSplit/>
        </w:trPr>
        <w:tc>
          <w:tcPr>
            <w:tcW w:type="dxa" w:w="5112"/>
          </w:tcPr>
          <w:p>
            <w:r>
              <w:t>Area</w:t>
            </w:r>
          </w:p>
        </w:tc>
        <w:tc>
          <w:tcPr>
            <w:tcW w:type="dxa" w:w="5112"/>
          </w:tcPr>
          <w:p>
            <w:r>
              <w:t>Rule</w:t>
            </w:r>
          </w:p>
        </w:tc>
      </w:tr>
      <w:tr>
        <w:trPr>
          <w:cantSplit/>
        </w:trPr>
        <w:tc>
          <w:tcPr>
            <w:tcW w:type="dxa" w:w="5112"/>
          </w:tcPr>
          <w:p>
            <w:r>
              <w:t>Exposure</w:t>
            </w:r>
          </w:p>
        </w:tc>
        <w:tc>
          <w:tcPr>
            <w:tcW w:type="dxa" w:w="5112"/>
          </w:tcPr>
          <w:p>
            <w:r>
              <w:t>Points are positive integer milliseconds within the active acquisition UI limits. Settings are frozen per run; subsequent manual acquisition reapplies the original UI exposure. A strict background cannot be reused across this sweep, so subtraction must be off.</w:t>
            </w:r>
          </w:p>
        </w:tc>
      </w:tr>
      <w:tr>
        <w:trPr>
          <w:cantSplit/>
        </w:trPr>
        <w:tc>
          <w:tcPr>
            <w:tcW w:type="dxa" w:w="5112"/>
          </w:tcPr>
          <w:p>
            <w:r>
              <w:t>Kymera center</w:t>
            </w:r>
          </w:p>
        </w:tc>
        <w:tc>
          <w:tcPr>
            <w:tcW w:type="dxa" w:w="5112"/>
          </w:tcPr>
          <w:p>
            <w:r>
              <w:t>Each center uses the existing worker transaction and calibration/readback refresh before settling and acquisition. The current grating limits are preflighted when available. Optional restore is checked by default and retains the lease until the restore transaction returns. This acquires separate spectra; it does not stitch them.</w:t>
            </w:r>
          </w:p>
        </w:tc>
      </w:tr>
      <w:tr>
        <w:trPr>
          <w:cantSplit/>
        </w:trPr>
        <w:tc>
          <w:tcPr>
            <w:tcW w:type="dxa" w:w="5112"/>
          </w:tcPr>
          <w:p>
            <w:r>
              <w:t>Scheduled times</w:t>
            </w:r>
          </w:p>
        </w:tc>
        <w:tc>
          <w:tcPr>
            <w:tcW w:type="dxa" w:w="5112"/>
          </w:tcPr>
          <w:p>
            <w:r>
              <w:t>Points are strictly increasing nonnegative offsets from Start, such as 0, 10, 20 seconds. Repeats is one. No laser transitions occur during the run. Acquisitions are serialized; missed deadlines run late and are recorded, with no dropped point or overlapping acquisition. Scheduling uses a 100 ms GUI check and is not a physical exposure trigger.</w:t>
            </w:r>
          </w:p>
        </w:tc>
      </w:tr>
      <w:tr>
        <w:trPr>
          <w:cantSplit/>
        </w:trPr>
        <w:tc>
          <w:tcPr>
            <w:tcW w:type="dxa" w:w="5112"/>
          </w:tcPr>
          <w:p>
            <w:r>
              <w:t>Temperature targets</w:t>
            </w:r>
          </w:p>
        </w:tc>
        <w:tc>
          <w:tcPr>
            <w:tcW w:type="dxa" w:w="5112"/>
          </w:tcPr>
          <w:p>
            <w:r>
              <w:t>CCD values use degrees Celsius; Lake Shore A/B use kelvin. A new reading must remain inside the tolerance for the requested dwell, with no stale/invalid samples or excessive sample gap. Cached copies of one reading cannot satisfy dwell. Each point, including repeats, requires a new qualification. Timeout bounds the wait. The saved trigger is evidence at request time, not proof of temperature stability throughout exposure.</w:t>
            </w:r>
          </w:p>
        </w:tc>
      </w:tr>
      <w:tr>
        <w:trPr>
          <w:cantSplit/>
        </w:trPr>
        <w:tc>
          <w:tcPr>
            <w:tcW w:type="dxa" w:w="5112"/>
          </w:tcPr>
          <w:p>
            <w:r>
              <w:t>Lasers</w:t>
            </w:r>
          </w:p>
        </w:tc>
        <w:tc>
          <w:tcPr>
            <w:tcW w:type="dxa" w:w="5112"/>
          </w:tcPr>
          <w:p>
            <w:r>
              <w:t>The scan does not turn lasers on or change their power. Set the desired emission before Start. Turn lasers off at end defaults on and can be unchecked for normal completion; abort/failure requests Disable All. This command uses existing OBIS behavior and does not resolve the historical physical-key/interlock limitation.</w:t>
            </w:r>
          </w:p>
        </w:tc>
      </w:tr>
      <w:tr>
        <w:trPr>
          <w:cantSplit/>
        </w:trPr>
        <w:tc>
          <w:tcPr>
            <w:tcW w:type="dxa" w:w="5112"/>
          </w:tcPr>
          <w:p>
            <w:r>
              <w:t>Ownership and cancellation</w:t>
            </w:r>
          </w:p>
        </w:tc>
        <w:tc>
          <w:tcPr>
            <w:tcW w:type="dxa" w:w="5112"/>
          </w:tcPr>
          <w:p>
            <w:r>
              <w:t>The parameter_scan lease excludes Live, manual/background acquisition, power/calibration scans, gated runs and auto-tuning. Abort drains an in-flight spectrum or settings command before release; a returned spectrum is saved once with termination metadata. Window close waits for that drain. A confirmed spectrometer disconnect ends the run without issuing a restore to an unavailable instrument.</w:t>
            </w:r>
          </w:p>
        </w:tc>
      </w:tr>
      <w:tr>
        <w:trPr>
          <w:cantSplit/>
        </w:trPr>
        <w:tc>
          <w:tcPr>
            <w:tcW w:type="dxa" w:w="5112"/>
          </w:tcPr>
          <w:p>
            <w:r>
              <w:t>Saving</w:t>
            </w:r>
          </w:p>
        </w:tc>
        <w:tc>
          <w:tcPr>
            <w:tcW w:type="dxa" w:w="5112"/>
          </w:tcPr>
          <w:p>
            <w:r>
              <w:t>Every acquired scan spectrum is queued once through the ordered writer regardless of the toolbar Autosave checkbox. A UUID ties point metadata to a terminal JSON summary containing the full plan, completed acquisition count and termination reason. Completion refers to acquisition completion; disk failures are separately reported and abort an active scan. The terminal summary is not crash-recovery journaling.</w:t>
            </w:r>
          </w:p>
        </w:tc>
      </w:tr>
      <w:tr>
        <w:trPr>
          <w:cantSplit/>
        </w:trPr>
        <w:tc>
          <w:tcPr>
            <w:tcW w:type="dxa" w:w="5112"/>
          </w:tcPr>
          <w:p>
            <w:r>
              <w:t>Temperature history</w:t>
            </w:r>
          </w:p>
        </w:tc>
        <w:tc>
          <w:tcPr>
            <w:tcW w:type="dxa" w:w="5112"/>
          </w:tcPr>
          <w:p>
            <w:r>
              <w:t>The Lake Shore worker polls at nominal 1 Hz with 1 s serial read/write timeouts. The display retains 20000 channel readings, roughly 2.8 hours for two channels at 1 Hz. Export before older entries roll out; continuous full-run temperature logging remains future work. Emulator values are fixed at 4.2 K and 4.3 K and identified as simulated.</w:t>
            </w:r>
          </w:p>
        </w:tc>
      </w:tr>
    </w:tbl>
    <w:p/>
    <w:p>
      <w:pPr>
        <w:pStyle w:val="Heading1"/>
      </w:pPr>
      <w:r>
        <w:t>Deferred work</w:t>
      </w:r>
    </w:p>
    <w:p>
      <w:r>
        <w:t>Gated timing refinement and phase cycling remain deferred. Hardware-trigger claims, automated temperature control, arbitrary plugins/procedures, calibrated stitching, background-bank reuse, detector switching/calibration mapping, and continuous temperature-to-spectrum association are not implemented by this revision. Prior cooler/restart and OBIS physical-interlock issues remain open.</w:t>
      </w:r>
    </w:p>
    <w:p>
      <w:pPr>
        <w:pStyle w:val="Heading1"/>
      </w:pPr>
      <w:r>
        <w:t>Verification boundary</w:t>
      </w:r>
    </w:p>
    <w:tbl>
      <w:tblPr>
        <w:tblStyle w:val="LightShading-Accent1"/>
        <w:tblW w:type="auto" w:w="0"/>
        <w:tblLook w:firstColumn="1" w:firstRow="1" w:lastColumn="0" w:lastRow="0" w:noHBand="0" w:noVBand="1" w:val="04A0"/>
      </w:tblPr>
      <w:tblGrid>
        <w:gridCol w:w="5112"/>
        <w:gridCol w:w="5112"/>
      </w:tblGrid>
      <w:tr>
        <w:trPr>
          <w:cantSplit/>
        </w:trPr>
        <w:tc>
          <w:tcPr>
            <w:tcW w:type="dxa" w:w="5112"/>
          </w:tcPr>
          <w:p>
            <w:r>
              <w:t>Check</w:t>
            </w:r>
          </w:p>
        </w:tc>
        <w:tc>
          <w:tcPr>
            <w:tcW w:type="dxa" w:w="5112"/>
          </w:tcPr>
          <w:p>
            <w:r>
              <w:t>Evidence</w:t>
            </w:r>
          </w:p>
        </w:tc>
      </w:tr>
      <w:tr>
        <w:trPr>
          <w:cantSplit/>
        </w:trPr>
        <w:tc>
          <w:tcPr>
            <w:tcW w:type="dxa" w:w="5112"/>
          </w:tcPr>
          <w:p>
            <w:r>
              <w:t>Python compilation</w:t>
            </w:r>
          </w:p>
        </w:tc>
        <w:tc>
          <w:tcPr>
            <w:tcW w:type="dxa" w:w="5112"/>
          </w:tcPr>
          <w:p>
            <w:r>
              <w:t>All delivered Python sources compiled under CPython 3.12.14. The project target remains Python 3.14; target-interpreter validation is outstanding.</w:t>
            </w:r>
          </w:p>
        </w:tc>
      </w:tr>
      <w:tr>
        <w:trPr>
          <w:cantSplit/>
        </w:trPr>
        <w:tc>
          <w:tcPr>
            <w:tcW w:type="dxa" w:w="5112"/>
          </w:tcPr>
          <w:p>
            <w:r>
              <w:t>Hardware-independent suite</w:t>
            </w:r>
          </w:p>
        </w:tc>
        <w:tc>
          <w:tcPr>
            <w:tcW w:type="dxa" w:w="5112"/>
          </w:tcPr>
          <w:p>
            <w:r>
              <w:t>155 invocations passed with the repository-specific offline compatibility runner. This includes all 145 original invocations plus 10 added checks. The runner supplies only the pytest constructs used here (raises, scalar approx, parametrization, temporary paths); it is not an installed pytest run.</w:t>
            </w:r>
          </w:p>
        </w:tc>
      </w:tr>
      <w:tr>
        <w:trPr>
          <w:cantSplit/>
        </w:trPr>
        <w:tc>
          <w:tcPr>
            <w:tcW w:type="dxa" w:w="5112"/>
          </w:tcPr>
          <w:p>
            <w:r>
              <w:t>Coordinator and worker logic</w:t>
            </w:r>
          </w:p>
        </w:tc>
        <w:tc>
          <w:tcPr>
            <w:tcW w:type="dxa" w:w="5112"/>
          </w:tcPr>
          <w:p>
            <w:r>
              <w:t>9 checks passed with a synchronous signal/timer harness: eight scan state-machine tests and one real emulator-backed DeviceController processing test. This validates explicit transitions and arrays, not Qt queued delivery, QThread behavior or rendering.</w:t>
            </w:r>
          </w:p>
        </w:tc>
      </w:tr>
      <w:tr>
        <w:trPr>
          <w:cantSplit/>
        </w:trPr>
        <w:tc>
          <w:tcPr>
            <w:tcW w:type="dxa" w:w="5112"/>
          </w:tcPr>
          <w:p>
            <w:r>
              <w:t>Qt/UI checks</w:t>
            </w:r>
          </w:p>
        </w:tc>
        <w:tc>
          <w:tcPr>
            <w:tcW w:type="dxa" w:w="5112"/>
          </w:tcPr>
          <w:p>
            <w:r>
              <w:t>Four target-environment Qt tests were added for power channel/timer behavior, smoothing overlay, monitor map/export, and timing-label refresh. They were not executed here. Full MainWindow startup and interactive workflow checks remain required.</w:t>
            </w:r>
          </w:p>
        </w:tc>
      </w:tr>
      <w:tr>
        <w:trPr>
          <w:cantSplit/>
        </w:trPr>
        <w:tc>
          <w:tcPr>
            <w:tcW w:type="dxa" w:w="5112"/>
          </w:tcPr>
          <w:p>
            <w:r>
              <w:t>Environment limitation</w:t>
            </w:r>
          </w:p>
        </w:tc>
        <w:tc>
          <w:tcPr>
            <w:tcW w:type="dxa" w:w="5112"/>
          </w:tcPr>
          <w:p>
            <w:r>
              <w:t>PySide6, pyqtgraph, pytest and pyserial were unavailable. Attempts to install dependencies from the configured package source failed. No vendor DLL or physical instrument was available; hardware and graphical results are not claimed.</w:t>
            </w:r>
          </w:p>
        </w:tc>
      </w:tr>
    </w:tbl>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Spectrometer GUI · 2026-10-06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