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Remaining implementation questions</w:t>
      </w:r>
    </w:p>
    <w:p>
      <w:pPr>
        <w:pStyle w:val="Subtitle"/>
      </w:pPr>
      <w:r>
        <w:t>Bench evidence and extension decisions after the 2026 09 10 timing review</w:t>
      </w:r>
    </w:p>
    <w:tbl>
      <w:tblPr>
        <w:tblW w:type="auto" w:w="0"/>
        <w:jc w:val="left"/>
        <w:tblLook w:firstColumn="1" w:firstRow="1" w:lastColumn="0" w:lastRow="0" w:noHBand="0" w:noVBand="1" w:val="04A0"/>
      </w:tblPr>
      <w:tblGrid>
        <w:gridCol w:w="3389"/>
        <w:gridCol w:w="3389"/>
        <w:gridCol w:w="3389"/>
      </w:tblGrid>
      <w:tr>
        <w:tc>
          <w:tcPr>
            <w:tcW w:type="dxa" w:w="3389"/>
            <w:shd w:fill="EAF3F5"/>
            <w:tcMar>
              <w:top w:w="90" w:type="dxa"/>
              <w:start w:w="90" w:type="dxa"/>
              <w:bottom w:w="90" w:type="dxa"/>
              <w:end w:w="90" w:type="dxa"/>
            </w:tcMar>
          </w:tcPr>
          <w:p>
            <w:r>
              <w:rPr>
                <w:b/>
                <w:color w:val="087E8B"/>
                <w:sz w:val="14"/>
              </w:rPr>
              <w:t>STATUS</w:t>
              <w:br/>
            </w:r>
            <w:r>
              <w:rPr>
                <w:sz w:val="17"/>
              </w:rPr>
              <w:t>Reviewed source design</w:t>
            </w:r>
          </w:p>
        </w:tc>
        <w:tc>
          <w:tcPr>
            <w:tcW w:type="dxa" w:w="3389"/>
            <w:shd w:fill="EAF3F5"/>
            <w:tcMar>
              <w:top w:w="90" w:type="dxa"/>
              <w:start w:w="90" w:type="dxa"/>
              <w:bottom w:w="90" w:type="dxa"/>
              <w:end w:w="90" w:type="dxa"/>
            </w:tcMar>
          </w:tcPr>
          <w:p>
            <w:r>
              <w:rPr>
                <w:b/>
                <w:color w:val="087E8B"/>
                <w:sz w:val="14"/>
              </w:rPr>
              <w:t>REVISION</w:t>
              <w:br/>
            </w:r>
            <w:r>
              <w:rPr>
                <w:sz w:val="17"/>
              </w:rPr>
              <w:t>2026-09-10</w:t>
            </w:r>
          </w:p>
        </w:tc>
        <w:tc>
          <w:tcPr>
            <w:tcW w:type="dxa" w:w="3389"/>
            <w:shd w:fill="EAF3F5"/>
            <w:tcMar>
              <w:top w:w="90" w:type="dxa"/>
              <w:start w:w="90" w:type="dxa"/>
              <w:bottom w:w="90" w:type="dxa"/>
              <w:end w:w="90" w:type="dxa"/>
            </w:tcMar>
          </w:tcPr>
          <w:p>
            <w:r>
              <w:rPr>
                <w:b/>
                <w:color w:val="087E8B"/>
                <w:sz w:val="14"/>
              </w:rPr>
              <w:t>AUDIENCE</w:t>
              <w:br/>
            </w:r>
            <w:r>
              <w:rPr>
                <w:sz w:val="17"/>
              </w:rPr>
              <w:t>Lab users and maintainers</w:t>
            </w:r>
          </w:p>
        </w:tc>
      </w:tr>
    </w:tbl>
    <w:p/>
    <w:p>
      <w:r>
        <w:t>The current source implements the answered 09/10 choices. These questions cover only evidence or design decisions that still change production behavior. Complete the bench sections first; the extension sections can wait.</w:t>
      </w:r>
    </w:p>
    <w:p>
      <w:pPr>
        <w:pStyle w:val="Heading1"/>
      </w:pPr>
      <w:r>
        <w:t>Andor bench evidence</w:t>
      </w:r>
    </w:p>
    <w:p>
      <w:pPr>
        <w:pStyle w:val="Heading2"/>
      </w:pPr>
      <w:r>
        <w:t>A1 Short exposure matrix</w:t>
      </w:r>
    </w:p>
    <w:p>
      <w:r>
        <w:t>Run the command below with Solis closed and detector light blocked, then attach the JSON. Did SDK2 apply 1, 5, or 10 ms in Run-Till-Abort, and did any mode return an error?</w:t>
      </w:r>
    </w:p>
    <w:p>
      <w:r>
        <w:rPr>
          <w:b/>
        </w:rPr>
        <w:t xml:space="preserve">Options and recommendation  </w:t>
      </w:r>
      <w:r>
        <w:t>Recommended: keep requests available but claim only the applied values measured here.</w:t>
      </w:r>
    </w:p>
    <w:p>
      <w:r>
        <w:rPr>
          <w:b/>
        </w:rPr>
        <w:t xml:space="preserve">Answer  </w:t>
      </w:r>
      <w:r>
        <w:t>________________________________________________________________________</w:t>
      </w:r>
    </w:p>
    <w:p>
      <w:r>
        <w:t>____________________________________________________________________________________________</w:t>
      </w:r>
    </w:p>
    <w:p>
      <w:pPr>
        <w:pStyle w:val="CodeBlock"/>
        <w:keepLines/>
      </w:pPr>
      <w:r>
        <w:t>python -m troubleshooting.andor_timing_probe --camera-dll atmcd64d_legacy.dll --vertical-speed-index 0 --vertical-speed-index 1 --exposure-ms 1 --exposure-ms 5 --exposure-ms 10 --frames 100 --output andor_short_exposure.json</w:t>
      </w:r>
    </w:p>
    <w:p>
      <w:pPr>
        <w:pStyle w:val="Heading2"/>
      </w:pPr>
      <w:r>
        <w:t>A2 Gated stream semantics</w:t>
      </w:r>
    </w:p>
    <w:p>
      <w:r>
        <w:t>For requested delays shorter than one frame period, is the accepted policy still the first frame that completes after the request even when its exposure may have begun before the requested delay?</w:t>
      </w:r>
    </w:p>
    <w:p>
      <w:r>
        <w:rPr>
          <w:b/>
        </w:rPr>
        <w:t xml:space="preserve">Options and recommendation  </w:t>
      </w:r>
      <w:r>
        <w:t>Recommended: yes for the current software-timed mode, because every file records the exposure estimate and uncertainty. Future hardware trigger mode can require exposure start after the edge.</w:t>
      </w:r>
    </w:p>
    <w:p>
      <w:r>
        <w:rPr>
          <w:b/>
        </w:rPr>
        <w:t xml:space="preserve">Answer  </w:t>
      </w:r>
      <w:r>
        <w:t>________________________________________________________________________</w:t>
      </w:r>
    </w:p>
    <w:p>
      <w:r>
        <w:t>____________________________________________________________________________________________</w:t>
      </w:r>
    </w:p>
    <w:p>
      <w:pPr>
        <w:pStyle w:val="Heading2"/>
      </w:pPr>
      <w:r>
        <w:t>A3 Cooler threshold hold</w:t>
      </w:r>
    </w:p>
    <w:p>
      <w:r>
        <w:t>Should normal close occur immediately on the first cooler-OFF reading at or above 0 °C, or must temperature remain above the threshold for a hold period?</w:t>
      </w:r>
    </w:p>
    <w:p>
      <w:r>
        <w:rPr>
          <w:b/>
        </w:rPr>
        <w:t xml:space="preserve">Options and recommendation  </w:t>
      </w:r>
      <w:r>
        <w:t>Current implementation: first reading at or above 0 °C. Alternative: require three consecutive readings or a 30-second hold if Andor guidance or lab practice calls for it.</w:t>
      </w:r>
    </w:p>
    <w:p>
      <w:r>
        <w:rPr>
          <w:b/>
        </w:rPr>
        <w:t xml:space="preserve">Answer  </w:t>
      </w:r>
      <w:r>
        <w:t>________________________________________________________________________</w:t>
      </w:r>
    </w:p>
    <w:p>
      <w:r>
        <w:t>____________________________________________________________________________________________</w:t>
      </w:r>
    </w:p>
    <w:p>
      <w:pPr>
        <w:pStyle w:val="Heading1"/>
      </w:pPr>
      <w:r>
        <w:t>Gated quality characterization</w:t>
      </w:r>
    </w:p>
    <w:p>
      <w:pPr>
        <w:pStyle w:val="Heading2"/>
      </w:pPr>
      <w:r>
        <w:t>B1 Production guard defaults</w:t>
      </w:r>
    </w:p>
    <w:p>
      <w:r>
        <w:t>After several stable and deliberately loaded runs, what rejected fractions and stable residual biases are observed for QEPro and Andor in each gated mode?</w:t>
      </w:r>
    </w:p>
    <w:p>
      <w:r>
        <w:rPr>
          <w:b/>
        </w:rPr>
        <w:t xml:space="preserve">Options and recommendation  </w:t>
      </w:r>
      <w:r>
        <w:t>Recommended: attach representative CSVs before changing 4.5 sigma, five warm-up samples, or abort above 25 percent after ten evaluations.</w:t>
      </w:r>
    </w:p>
    <w:p>
      <w:r>
        <w:rPr>
          <w:b/>
        </w:rPr>
        <w:t xml:space="preserve">Answer  </w:t>
      </w:r>
      <w:r>
        <w:t>________________________________________________________________________</w:t>
      </w:r>
    </w:p>
    <w:p>
      <w:r>
        <w:t>____________________________________________________________________________________________</w:t>
      </w:r>
    </w:p>
    <w:p>
      <w:pPr>
        <w:pStyle w:val="Heading2"/>
      </w:pPr>
      <w:r>
        <w:t>B2 Stable bias warning threshold</w:t>
      </w:r>
    </w:p>
    <w:p>
      <w:r>
        <w:t>Should a future absolute-bias warning use one common millisecond threshold, a detector-specific value, or a fraction of exposure/frame period?</w:t>
      </w:r>
    </w:p>
    <w:p>
      <w:r>
        <w:rPr>
          <w:b/>
        </w:rPr>
        <w:t xml:space="preserve">Options and recommendation  </w:t>
      </w:r>
      <w:r>
        <w:t>Recommended: detector and gated-mode-specific characterization, then warn from a physically meaningful limit without discarding solely for stable bias.</w:t>
      </w:r>
    </w:p>
    <w:p>
      <w:r>
        <w:rPr>
          <w:b/>
        </w:rPr>
        <w:t xml:space="preserve">Answer  </w:t>
      </w:r>
      <w:r>
        <w:t>________________________________________________________________________</w:t>
      </w:r>
    </w:p>
    <w:p>
      <w:r>
        <w:t>____________________________________________________________________________________________</w:t>
      </w:r>
    </w:p>
    <w:p>
      <w:r>
        <w:br w:type="page"/>
      </w:r>
    </w:p>
    <w:p>
      <w:pPr>
        <w:pStyle w:val="Heading1"/>
      </w:pPr>
      <w:r>
        <w:t>Procedure authoring</w:t>
      </w:r>
    </w:p>
    <w:p>
      <w:pPr>
        <w:pStyle w:val="Heading2"/>
      </w:pPr>
      <w:r>
        <w:t>C1 Procedure source format</w:t>
      </w:r>
    </w:p>
    <w:p>
      <w:r>
        <w:t>Which source should the first editor save? Both choices compile into the same typed internal plan and use the same generated form and dry-run preview.</w:t>
      </w:r>
    </w:p>
    <w:p>
      <w:r>
        <w:rPr>
          <w:b/>
        </w:rPr>
        <w:t xml:space="preserve">Options and recommendation  </w:t>
      </w:r>
      <w:r>
        <w:t>Recommended: restricted YAML as the human format plus JSON as canonical interchange. Alternatives: JSON only for strict simplicity, or support both equally from v1 at greater test cost.</w:t>
      </w:r>
    </w:p>
    <w:p>
      <w:r>
        <w:rPr>
          <w:b/>
        </w:rPr>
        <w:t xml:space="preserve">Answer  </w:t>
      </w:r>
      <w:r>
        <w:t>________________________________________________________________________</w:t>
      </w:r>
    </w:p>
    <w:p>
      <w:r>
        <w:t>____________________________________________________________________________________________</w:t>
      </w:r>
    </w:p>
    <w:p>
      <w:pPr>
        <w:pStyle w:val="Heading2"/>
      </w:pPr>
      <w:r>
        <w:t>C2 Expression scope</w:t>
      </w:r>
    </w:p>
    <w:p>
      <w:r>
        <w:t>What calculations must v1 procedures perform beyond named parameters, units, bounded loops, simple comparisons, and references to earlier read-only results?</w:t>
      </w:r>
    </w:p>
    <w:p>
      <w:r>
        <w:rPr>
          <w:b/>
        </w:rPr>
        <w:t xml:space="preserve">Options and recommendation  </w:t>
      </w:r>
      <w:r>
        <w:t>Recommended: no general expressions in v1; add a tiny typed expression language only after concrete procedures demonstrate the need.</w:t>
      </w:r>
    </w:p>
    <w:p>
      <w:r>
        <w:rPr>
          <w:b/>
        </w:rPr>
        <w:t xml:space="preserve">Answer  </w:t>
      </w:r>
      <w:r>
        <w:t>________________________________________________________________________</w:t>
      </w:r>
    </w:p>
    <w:p>
      <w:r>
        <w:t>____________________________________________________________________________________________</w:t>
      </w:r>
    </w:p>
    <w:p>
      <w:pPr>
        <w:pStyle w:val="Heading1"/>
      </w:pPr>
      <w:r>
        <w:t>Administrative and API interaction</w:t>
      </w:r>
    </w:p>
    <w:p>
      <w:pPr>
        <w:pStyle w:val="Heading2"/>
      </w:pPr>
      <w:r>
        <w:t>D1 Administrative mode</w:t>
      </w:r>
    </w:p>
    <w:p>
      <w:r>
        <w:t>Should plugin installation require the explicit --admin launch flag even when the Windows account is an administrator?</w:t>
      </w:r>
    </w:p>
    <w:p>
      <w:r>
        <w:rPr>
          <w:b/>
        </w:rPr>
        <w:t xml:space="preserve">Options and recommendation  </w:t>
      </w:r>
      <w:r>
        <w:t>Recommended: yes. OS permission controls whether files can be written; --admin is explicit application consent and enables install/remove UI for that session only.</w:t>
      </w:r>
    </w:p>
    <w:p>
      <w:r>
        <w:rPr>
          <w:b/>
        </w:rPr>
        <w:t xml:space="preserve">Answer  </w:t>
      </w:r>
      <w:r>
        <w:t>________________________________________________________________________</w:t>
      </w:r>
    </w:p>
    <w:p>
      <w:r>
        <w:t>____________________________________________________________________________________________</w:t>
      </w:r>
    </w:p>
    <w:p>
      <w:pPr>
        <w:pStyle w:val="Heading2"/>
      </w:pPr>
      <w:r>
        <w:t>D2 First external API model</w:t>
      </w:r>
    </w:p>
    <w:p>
      <w:r>
        <w:t>Which first interaction is more valuable: start the normal GUI and connect a notebook to its localhost API, or run a separate headless measurement service that the GUI and notebooks both use?</w:t>
      </w:r>
    </w:p>
    <w:p>
      <w:r>
        <w:rPr>
          <w:b/>
        </w:rPr>
        <w:t xml:space="preserve">Options and recommendation  </w:t>
      </w:r>
      <w:r>
        <w:t>Recommended: GUI-hosted localhost pilot for read-only and emulated work; design messages so they can move to a headless service for remote instruments later.</w:t>
      </w:r>
    </w:p>
    <w:p>
      <w:r>
        <w:rPr>
          <w:b/>
        </w:rPr>
        <w:t xml:space="preserve">Answer  </w:t>
      </w:r>
      <w:r>
        <w:t>________________________________________________________________________</w:t>
      </w:r>
    </w:p>
    <w:p>
      <w:r>
        <w:t>____________________________________________________________________________________________</w:t>
      </w:r>
    </w:p>
    <w:p>
      <w:pPr>
        <w:pStyle w:val="Heading2"/>
      </w:pPr>
      <w:r>
        <w:t>D3 Remote deployment horizon</w:t>
      </w:r>
    </w:p>
    <w:p>
      <w:r>
        <w:t>Within the next year, do remote instruments need only read-only monitoring, or must remote clients run laser and acquisition procedures?</w:t>
      </w:r>
    </w:p>
    <w:p>
      <w:r>
        <w:rPr>
          <w:b/>
        </w:rPr>
        <w:t xml:space="preserve">Options and recommendation  </w:t>
      </w:r>
      <w:r>
        <w:t>Recommended: read-only remote pilot first. Time-sensitive and hazardous sequences should execute entirely on the instrument host under local policy.</w:t>
      </w:r>
    </w:p>
    <w:p>
      <w:r>
        <w:rPr>
          <w:b/>
        </w:rPr>
        <w:t xml:space="preserve">Answer  </w:t>
      </w:r>
      <w:r>
        <w:t>________________________________________________________________________</w:t>
      </w:r>
    </w:p>
    <w:p>
      <w:r>
        <w:t>____________________________________________________________________________________________</w:t>
      </w:r>
    </w:p>
    <w:p>
      <w:pPr>
        <w:pStyle w:val="Heading1"/>
      </w:pPr>
      <w:r>
        <w:t>Optional metadata</w:t>
      </w:r>
    </w:p>
    <w:p>
      <w:pPr>
        <w:pStyle w:val="Heading2"/>
      </w:pPr>
      <w:r>
        <w:t>E1 Detector temperature sampling</w:t>
      </w:r>
    </w:p>
    <w:p>
      <w:r>
        <w:t>If a benchmark shows negligible overhead, what maximum reading age is acceptable when recording Andor temperature on slow spectra?</w:t>
      </w:r>
    </w:p>
    <w:p>
      <w:r>
        <w:rPr>
          <w:b/>
        </w:rPr>
        <w:t xml:space="preserve">Options and recommendation  </w:t>
      </w:r>
      <w:r>
        <w:t>Recommended: query only when exposure or total averaging time exceeds one second, cache the result, and record temperature plus reading age. Do not add it until the benchmark and age are approved.</w:t>
      </w:r>
    </w:p>
    <w:p>
      <w:r>
        <w:rPr>
          <w:b/>
        </w:rPr>
        <w:t xml:space="preserve">Answer  </w:t>
      </w:r>
      <w:r>
        <w:t>________________________________________________________________________</w:t>
      </w:r>
    </w:p>
    <w:p>
      <w:r>
        <w:t>____________________________________________________________________________________________</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2026-09-10  •  Internal engineering handoff     </w:t>
    </w:r>
    <w: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87E8B"/>
      </w:rPr>
      <w:t>SPECTROMETER GUI  |  ENGINEERING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24344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60" w:after="8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80"/>
    </w:pPr>
    <w:rPr>
      <w:rFonts w:asciiTheme="majorHAnsi" w:eastAsiaTheme="majorEastAsia" w:hAnsiTheme="majorHAnsi" w:cstheme="majorBidi" w:ascii="Aptos Display" w:hAnsi="Aptos Display"/>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17" w:right="216"/>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