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rFonts w:ascii="Microsoft JhengHei" w:cs="Microsoft JhengHei" w:eastAsia="Microsoft JhengHei" w:hAnsi="Microsoft JhengHei"/>
          <w:b/>
          <w:bCs/>
          <w:color w:val="01696F"/>
          <w:sz w:val="36"/>
          <w:szCs w:val="36"/>
        </w:rPr>
        <w:t xml:space="preserve">程式設計與網頁資料庫應用</w:t>
      </w:r>
    </w:p>
    <w:p>
      <w:pPr>
        <w:spacing w:after="100" w:before="200"/>
        <w:jc w:val="center"/>
      </w:pPr>
      <w:r>
        <w:rPr>
          <w:rFonts w:ascii="Microsoft JhengHei" w:cs="Microsoft JhengHei" w:eastAsia="Microsoft JhengHei" w:hAnsi="Microsoft JhengHei"/>
          <w:b/>
          <w:bCs/>
          <w:color w:val="0C4E54"/>
          <w:sz w:val="30"/>
          <w:szCs w:val="30"/>
        </w:rPr>
        <w:t xml:space="preserve">第13週｜最佳作業範例</w:t>
      </w:r>
    </w:p>
    <w:p>
      <w:pPr>
        <w:spacing w:after="500" w:before="0"/>
        <w:jc w:val="center"/>
      </w:pPr>
      <w:r>
        <w:rPr>
          <w:rFonts w:ascii="Microsoft JhengHei" w:cs="Microsoft JhengHei" w:eastAsia="Microsoft JhengHei" w:hAnsi="Microsoft JhengHei"/>
          <w:b/>
          <w:bCs/>
          <w:color w:val="28251D"/>
          <w:sz w:val="25"/>
          <w:szCs w:val="25"/>
        </w:rPr>
        <w:t xml:space="preserve">資安修補PR與四重視角同儕審查最佳範例</w:t>
      </w:r>
    </w:p>
    <w:p>
      <w:pPr>
        <w:spacing w:after="500"/>
        <w:jc w:val="center"/>
      </w:pPr>
      <w:r>
        <w:rPr>
          <w:rFonts w:ascii="Microsoft JhengHei" w:cs="Microsoft JhengHei" w:eastAsia="Microsoft JhengHei" w:hAnsi="Microsoft JhengHei"/>
          <w:i/>
          <w:iCs/>
          <w:color w:val="7A7974"/>
          <w:sz w:val="19"/>
          <w:szCs w:val="19"/>
        </w:rPr>
        <w:t xml:space="preserve">課堂展示用範例——本文件示範一份符合作業要求的完整提交，供教師教學參考</w:t>
      </w:r>
    </w:p>
    <w:p>
      <w:pPr>
        <w:pStyle w:val="Heading1"/>
        <w:spacing w:after="180" w:before="360"/>
      </w:pPr>
      <w:r>
        <w:rPr>
          <w:rFonts w:ascii="Microsoft JhengHei" w:cs="Microsoft JhengHei" w:eastAsia="Microsoft JhengHei" w:hAnsi="Microsoft JhengHei"/>
          <w:b/>
          <w:bCs/>
          <w:color w:val="01696F"/>
          <w:sz w:val="32"/>
          <w:szCs w:val="32"/>
        </w:rPr>
        <w:t xml:space="preserve">作業說明</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本週作業要求：針對第12週資安掃描結果選擇至少一項弱點完成修補，並在GitHub Pull Request中撰寫說明「修補了什麼、為什麼、如何驗證」的PR描述；同時運用「四重視角同儕審查」框架，針對同組另一位同學的專案設計提出至少2條結構化審查意見。</w:t>
      </w:r>
    </w:p>
    <w:p>
      <w:pPr>
        <w:pStyle w:val="Heading1"/>
        <w:spacing w:after="180" w:before="360"/>
      </w:pPr>
      <w:r>
        <w:rPr>
          <w:rFonts w:ascii="Microsoft JhengHei" w:cs="Microsoft JhengHei" w:eastAsia="Microsoft JhengHei" w:hAnsi="Microsoft JhengHei"/>
          <w:b/>
          <w:bCs/>
          <w:color w:val="01696F"/>
          <w:sz w:val="32"/>
          <w:szCs w:val="32"/>
        </w:rPr>
        <w:t xml:space="preserve">一、資安修補Pull Request</w:t>
      </w:r>
    </w:p>
    <w:p>
      <w:pPr>
        <w:pStyle w:val="Heading2"/>
        <w:spacing w:after="140" w:before="260"/>
      </w:pPr>
      <w:r>
        <w:rPr>
          <w:rFonts w:ascii="Microsoft JhengHei" w:cs="Microsoft JhengHei" w:eastAsia="Microsoft JhengHei" w:hAnsi="Microsoft JhengHei"/>
          <w:b/>
          <w:bCs/>
          <w:color w:val="0C4E54"/>
          <w:sz w:val="25"/>
          <w:szCs w:val="25"/>
        </w:rPr>
        <w:t xml:space="preserve">PR標題</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修補：為新增用藥時程路由加上輸入驗證，避免SQL Injection風險</w:t>
      </w:r>
    </w:p>
    <w:p>
      <w:pPr>
        <w:pStyle w:val="Heading2"/>
        <w:spacing w:after="140" w:before="260"/>
      </w:pPr>
      <w:r>
        <w:rPr>
          <w:rFonts w:ascii="Microsoft JhengHei" w:cs="Microsoft JhengHei" w:eastAsia="Microsoft JhengHei" w:hAnsi="Microsoft JhengHei"/>
          <w:b/>
          <w:bCs/>
          <w:color w:val="0C4E54"/>
          <w:sz w:val="25"/>
          <w:szCs w:val="25"/>
        </w:rPr>
        <w:t xml:space="preserve">修補前（存在風險的版本）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13544" w:sz="6"/>
              <w:left w:val="single" w:color="A13544" w:sz="6"/>
              <w:bottom w:val="single" w:color="A13544" w:sz="6"/>
              <w:right w:val="single" w:color="A13544" w:sz="6"/>
            </w:tcBorders>
            <w:shd w:fill="F7E9EA" w:val="clear"/>
            <w:tcMar>
              <w:top w:type="dxa" w:w="140"/>
              <w:left w:type="dxa" w:w="200"/>
              <w:bottom w:type="dxa" w:w="140"/>
              <w:right w:type="dxa" w:w="200"/>
            </w:tcMar>
          </w:tcPr>
          <w:p>
            <w:pPr>
              <w:spacing w:after="60"/>
            </w:pPr>
            <w:r>
              <w:rPr>
                <w:rFonts w:ascii="Microsoft JhengHei" w:cs="Microsoft JhengHei" w:eastAsia="Microsoft JhengHei" w:hAnsi="Microsoft JhengHei"/>
                <w:b/>
                <w:bCs/>
                <w:color w:val="A13544"/>
                <w:sz w:val="19"/>
                <w:szCs w:val="19"/>
              </w:rPr>
              <w:t xml:space="preserve">⚠ 修補前（字串拼接使用者輸入）</w:t>
            </w:r>
          </w:p>
          <w:p>
            <w:pPr>
              <w:spacing w:after="30"/>
            </w:pPr>
            <w:r>
              <w:rPr>
                <w:rFonts w:ascii="Courier New" w:cs="Courier New" w:eastAsia="Courier New" w:hAnsi="Courier New"/>
                <w:color w:val="28251D"/>
                <w:sz w:val="19"/>
                <w:szCs w:val="19"/>
              </w:rPr>
              <w:t xml:space="preserve">app.post('/api/schedules', (req, res) =&gt; {</w:t>
            </w:r>
          </w:p>
          <w:p>
            <w:pPr>
              <w:spacing w:after="30"/>
            </w:pPr>
            <w:r>
              <w:rPr>
                <w:rFonts w:ascii="Courier New" w:cs="Courier New" w:eastAsia="Courier New" w:hAnsi="Courier New"/>
                <w:color w:val="28251D"/>
                <w:sz w:val="19"/>
                <w:szCs w:val="19"/>
              </w:rPr>
              <w:t xml:space="preserve">  const { userId, drugName } = req.body;</w:t>
            </w:r>
          </w:p>
          <w:p>
            <w:pPr>
              <w:spacing w:after="30"/>
            </w:pPr>
            <w:r>
              <w:rPr>
                <w:rFonts w:ascii="Courier New" w:cs="Courier New" w:eastAsia="Courier New" w:hAnsi="Courier New"/>
                <w:color w:val="28251D"/>
                <w:sz w:val="19"/>
                <w:szCs w:val="19"/>
              </w:rPr>
              <w:t xml:space="preserve">  db.query("INSERT INTO 用藥時程 (使用者ID, 藥名) VALUES (" + userId + ", '" + drugName + "');");</w:t>
            </w:r>
          </w:p>
          <w:p>
            <w:pPr>
              <w:spacing w:after="30"/>
            </w:pPr>
            <w:r>
              <w:rPr>
                <w:rFonts w:ascii="Courier New" w:cs="Courier New" w:eastAsia="Courier New" w:hAnsi="Courier New"/>
                <w:color w:val="28251D"/>
                <w:sz w:val="19"/>
                <w:szCs w:val="19"/>
              </w:rPr>
              <w:t xml:space="preserve">  res.send('已新增');</w:t>
            </w:r>
          </w:p>
          <w:p>
            <w:pPr>
              <w:spacing w:after="30"/>
            </w:pPr>
            <w:r>
              <w:rPr>
                <w:rFonts w:ascii="Courier New" w:cs="Courier New" w:eastAsia="Courier New" w:hAnsi="Courier New"/>
                <w:color w:val="28251D"/>
                <w:sz w:val="19"/>
                <w:szCs w:val="19"/>
              </w:rPr>
              <w:t xml:space="preserve">});</w:t>
            </w:r>
          </w:p>
        </w:tc>
      </w:tr>
    </w:tbl>
    <w:p>
      <w:pPr>
        <w:pStyle w:val="Heading2"/>
        <w:spacing w:after="140" w:before="260"/>
      </w:pPr>
      <w:r>
        <w:rPr>
          <w:rFonts w:ascii="Microsoft JhengHei" w:cs="Microsoft JhengHei" w:eastAsia="Microsoft JhengHei" w:hAnsi="Microsoft JhengHei"/>
          <w:b/>
          <w:bCs/>
          <w:color w:val="0C4E54"/>
          <w:sz w:val="25"/>
          <w:szCs w:val="25"/>
        </w:rPr>
        <w:t xml:space="preserve">修補後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1F" w:sz="6"/>
              <w:left w:val="single" w:color="3A6B1F" w:sz="6"/>
              <w:bottom w:val="single" w:color="3A6B1F" w:sz="6"/>
              <w:right w:val="single" w:color="3A6B1F" w:sz="6"/>
            </w:tcBorders>
            <w:shd w:fill="EAF3E2" w:val="clear"/>
            <w:tcMar>
              <w:top w:type="dxa" w:w="140"/>
              <w:left w:type="dxa" w:w="200"/>
              <w:bottom w:type="dxa" w:w="140"/>
              <w:right w:type="dxa" w:w="200"/>
            </w:tcMar>
          </w:tcPr>
          <w:p>
            <w:pPr>
              <w:spacing w:after="60"/>
            </w:pPr>
            <w:r>
              <w:rPr>
                <w:rFonts w:ascii="Microsoft JhengHei" w:cs="Microsoft JhengHei" w:eastAsia="Microsoft JhengHei" w:hAnsi="Microsoft JhengHei"/>
                <w:b/>
                <w:bCs/>
                <w:color w:val="3A6B1F"/>
                <w:sz w:val="19"/>
                <w:szCs w:val="19"/>
              </w:rPr>
              <w:t xml:space="preserve">✓ 修補後（參數化查詢＋輸入驗證）</w:t>
            </w:r>
          </w:p>
          <w:p>
            <w:pPr>
              <w:spacing w:after="30"/>
            </w:pPr>
            <w:r>
              <w:rPr>
                <w:rFonts w:ascii="Courier New" w:cs="Courier New" w:eastAsia="Courier New" w:hAnsi="Courier New"/>
                <w:color w:val="28251D"/>
                <w:sz w:val="19"/>
                <w:szCs w:val="19"/>
              </w:rPr>
              <w:t xml:space="preserve">app.post('/api/schedules', async (req, res) =&gt; {</w:t>
            </w:r>
          </w:p>
          <w:p>
            <w:pPr>
              <w:spacing w:after="30"/>
            </w:pPr>
            <w:r>
              <w:rPr>
                <w:rFonts w:ascii="Courier New" w:cs="Courier New" w:eastAsia="Courier New" w:hAnsi="Courier New"/>
                <w:color w:val="28251D"/>
                <w:sz w:val="19"/>
                <w:szCs w:val="19"/>
              </w:rPr>
              <w:t xml:space="preserve">  const { userId, drugName } = req.body;</w:t>
            </w:r>
          </w:p>
          <w:p>
            <w:pPr>
              <w:spacing w:after="30"/>
            </w:pPr>
            <w:r>
              <w:rPr>
                <w:rFonts w:ascii="Courier New" w:cs="Courier New" w:eastAsia="Courier New" w:hAnsi="Courier New"/>
                <w:color w:val="28251D"/>
                <w:sz w:val="19"/>
                <w:szCs w:val="19"/>
              </w:rPr>
              <w:t xml:space="preserve">  if (!userId || !drugName || typeof drugName !== 'string' || drugName.length &gt; 50) {</w:t>
            </w:r>
          </w:p>
          <w:p>
            <w:pPr>
              <w:spacing w:after="30"/>
            </w:pPr>
            <w:r>
              <w:rPr>
                <w:rFonts w:ascii="Courier New" w:cs="Courier New" w:eastAsia="Courier New" w:hAnsi="Courier New"/>
                <w:color w:val="28251D"/>
                <w:sz w:val="19"/>
                <w:szCs w:val="19"/>
              </w:rPr>
              <w:t xml:space="preserve">    return res.status(400).send('輸入資料不完整或格式錯誤');</w:t>
            </w:r>
          </w:p>
          <w:p>
            <w:pPr>
              <w:spacing w:after="30"/>
            </w:pPr>
            <w:r>
              <w:rPr>
                <w:rFonts w:ascii="Courier New" w:cs="Courier New" w:eastAsia="Courier New" w:hAnsi="Courier New"/>
                <w:color w:val="28251D"/>
                <w:sz w:val="19"/>
                <w:szCs w:val="19"/>
              </w:rPr>
              <w:t xml:space="preserve">  }</w:t>
            </w:r>
          </w:p>
          <w:p>
            <w:pPr>
              <w:spacing w:after="30"/>
            </w:pPr>
            <w:r>
              <w:rPr>
                <w:rFonts w:ascii="Courier New" w:cs="Courier New" w:eastAsia="Courier New" w:hAnsi="Courier New"/>
                <w:color w:val="28251D"/>
                <w:sz w:val="19"/>
                <w:szCs w:val="19"/>
              </w:rPr>
              <w:t xml:space="preserve">  await pool.query(</w:t>
            </w:r>
          </w:p>
          <w:p>
            <w:pPr>
              <w:spacing w:after="30"/>
            </w:pPr>
            <w:r>
              <w:rPr>
                <w:rFonts w:ascii="Courier New" w:cs="Courier New" w:eastAsia="Courier New" w:hAnsi="Courier New"/>
                <w:color w:val="28251D"/>
                <w:sz w:val="19"/>
                <w:szCs w:val="19"/>
              </w:rPr>
              <w:t xml:space="preserve">    'INSERT INTO 用藥時程 (使用者ID, 藥名) VALUES ($1, $2);',</w:t>
            </w:r>
          </w:p>
          <w:p>
            <w:pPr>
              <w:spacing w:after="30"/>
            </w:pPr>
            <w:r>
              <w:rPr>
                <w:rFonts w:ascii="Courier New" w:cs="Courier New" w:eastAsia="Courier New" w:hAnsi="Courier New"/>
                <w:color w:val="28251D"/>
                <w:sz w:val="19"/>
                <w:szCs w:val="19"/>
              </w:rPr>
              <w:t xml:space="preserve">    [userId, drugName]</w:t>
            </w:r>
          </w:p>
          <w:p>
            <w:pPr>
              <w:spacing w:after="30"/>
            </w:pPr>
            <w:r>
              <w:rPr>
                <w:rFonts w:ascii="Courier New" w:cs="Courier New" w:eastAsia="Courier New" w:hAnsi="Courier New"/>
                <w:color w:val="28251D"/>
                <w:sz w:val="19"/>
                <w:szCs w:val="19"/>
              </w:rPr>
              <w:t xml:space="preserve">  );</w:t>
            </w:r>
          </w:p>
          <w:p>
            <w:pPr>
              <w:spacing w:after="30"/>
            </w:pPr>
            <w:r>
              <w:rPr>
                <w:rFonts w:ascii="Courier New" w:cs="Courier New" w:eastAsia="Courier New" w:hAnsi="Courier New"/>
                <w:color w:val="28251D"/>
                <w:sz w:val="19"/>
                <w:szCs w:val="19"/>
              </w:rPr>
              <w:t xml:space="preserve">  res.send('已新增');</w:t>
            </w:r>
          </w:p>
          <w:p>
            <w:pPr>
              <w:spacing w:after="30"/>
            </w:pPr>
            <w:r>
              <w:rPr>
                <w:rFonts w:ascii="Courier New" w:cs="Courier New" w:eastAsia="Courier New" w:hAnsi="Courier New"/>
                <w:color w:val="28251D"/>
                <w:sz w:val="19"/>
                <w:szCs w:val="19"/>
              </w:rPr>
              <w:t xml:space="preserve">});</w:t>
            </w:r>
          </w:p>
        </w:tc>
      </w:tr>
    </w:tbl>
    <w:p>
      <w:pPr>
        <w:pStyle w:val="Heading2"/>
        <w:spacing w:after="140" w:before="260"/>
      </w:pPr>
      <w:r>
        <w:rPr>
          <w:rFonts w:ascii="Microsoft JhengHei" w:cs="Microsoft JhengHei" w:eastAsia="Microsoft JhengHei" w:hAnsi="Microsoft JhengHei"/>
          <w:b/>
          <w:bCs/>
          <w:color w:val="0C4E54"/>
          <w:sz w:val="25"/>
          <w:szCs w:val="25"/>
        </w:rPr>
        <w:t xml:space="preserve">PR描述（修補了什麼／為什麼／如何驗證）</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修補了什麼：將新增用藥時程路由中直接字串拼接使用者輸入的SQL語句，改為參數化查詢，並在寫入資料庫前加上基本的輸入驗證（檢查必填欄位是否存在、藥名長度是否合理）。</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為什麼：字串拼接使用者輸入到SQL語句中是造成SQL Injection的最常見原因，OWASP建議一律改用參數化查詢處理使用者輸入，這是延續第10-12週學到的防範原則，對應OWASP SQL Injection Prevention Cheat Sheet所建議的參數化查詢防護原則［6］。</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如何驗證：重新執行OWASP ZAP Baseline Scan，確認SQL Injection測試項目結果為PASS；另外手動測試在drugName欄位輸入含單引號的字串（例如「阿斯匹靈'; DROP TABLE 用藥時程;--」），確認系統會回傳「輸入資料不完整或格式錯誤」而非執行任何非預期的SQL語句。</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這份PR描述的撰寫方式符合GitHub官方文件對於Pull Request審查流程的建議——清楚說明變更內容與驗證方式，讓審查者不需要重新推導整段程式碼的意圖就能理解這次修改［1］［2］，也呼應Sadowski等人針對Google內部程式碼審查實務的研究發現：清楚的PR描述能顯著降低審查者的認知負荷［4］。</w:t>
      </w:r>
    </w:p>
    <w:p>
      <w:pPr>
        <w:pStyle w:val="Heading1"/>
        <w:spacing w:after="180" w:before="360"/>
      </w:pPr>
      <w:r>
        <w:rPr>
          <w:rFonts w:ascii="Microsoft JhengHei" w:cs="Microsoft JhengHei" w:eastAsia="Microsoft JhengHei" w:hAnsi="Microsoft JhengHei"/>
          <w:b/>
          <w:bCs/>
          <w:color w:val="01696F"/>
          <w:sz w:val="32"/>
          <w:szCs w:val="32"/>
        </w:rPr>
        <w:t xml:space="preserve">二、四重視角同儕審查：針對同組同學專案的審查意見</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審查對象：同組同學的「校園失物招領系統」專案設計（物品表＋認領留言表，畫面僅有單一長列表，所有欄位皆可留空送出）。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視角</w:t>
            </w:r>
          </w:p>
        </w:tc>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審查意見1</w:t>
            </w:r>
          </w:p>
        </w:tc>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審查意見2</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系統架構師</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目前物品列表沒有分頁或搜尋功能，物品數量成長到1000筆以上時，使用者需要捲動非常長的頁面才能找到自己的物品，建議至少加上依拾獲地點篩選的功能。</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認領留言表目前沒有限制同一物品可以有多少筆留言，若物品熱門（例如公共區域遺失的雨傘）可能造成留言暴增，影響查詢效能。</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資料庫設計者</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認領留言表的物品ID欄位需要確認是否設有外鍵約束並參照物品表，否則刪除物品後，對應的認領留言會變成無效的孤兒資料，建議加上REFERENCES並討論刪除時的處理策略（CASCADE或RESTRICT）。</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所有欄位可留空直接送出，代表資料庫層級也可能沒有NOT NULL約束，建議至少對「物品名稱」「拾獲地點」加上NOT NULL，避免出現無法辨識的空白紀錄。</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使用者</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所有欄位可留空送出，違反Nielsen十大易用性原則中的「錯誤預防」（error prevention）——與其等使用者送出後才顯示錯誤，應該在畫面上直接標示必填欄位並即時提示［3］。</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認領留言只有「留言人姓名」與「聯絡方式」兩個欄位，沒有讓失主上傳照片佐證，建議加上簡單的圖片上傳功能，降低冒領風險。</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資深工程師</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目前把「搜尋」「篩選」「顯示列表」全部混在同一個頁面元件裡，建議拆成獨立的子功能，未來要新增篩選條件時不需要改動顯示邏輯，降低維護成本。</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建議在物品表加上「狀態」欄位的列舉值檢查（例如僅允許「待認領」「已認領」「已下架」），避免自由輸入造成後續統計時字串比對失誤。</w:t>
            </w:r>
          </w:p>
        </w:tc>
      </w:tr>
    </w:tbl>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這份審查意見依照課堂提供的四重視角結構化提問清單撰寫，每一條都同時指出具體問題情境與可執行建議，而非模糊的「感覺不太好」——這正是課堂強調結構化提問清單能降低同儕審查品質變異的原因所在［5］。</w:t>
      </w:r>
    </w:p>
    <w:p>
      <w:pPr>
        <w:pStyle w:val="Heading2"/>
        <w:spacing w:after="140" w:before="260"/>
      </w:pPr>
      <w:r>
        <w:rPr>
          <w:rFonts w:ascii="Microsoft JhengHei" w:cs="Microsoft JhengHei" w:eastAsia="Microsoft JhengHei" w:hAnsi="Microsoft JhengHei"/>
          <w:b/>
          <w:bCs/>
          <w:color w:val="0C4E54"/>
          <w:sz w:val="25"/>
          <w:szCs w:val="25"/>
        </w:rPr>
        <w:t xml:space="preserve">參考文獻</w:t>
      </w:r>
    </w:p>
    <w:p>
      <w:pPr>
        <w:spacing w:after="130"/>
      </w:pPr>
      <w:r>
        <w:rPr>
          <w:rFonts w:ascii="Microsoft JhengHei" w:cs="Microsoft JhengHei" w:eastAsia="Microsoft JhengHei" w:hAnsi="Microsoft JhengHei"/>
          <w:color w:val="28251D"/>
          <w:sz w:val="19"/>
          <w:szCs w:val="19"/>
        </w:rPr>
        <w:t xml:space="preserve">[1] GitHub Docs. (n.d.). Commenting on a pull request. </w:t>
      </w:r>
      <w:hyperlink w:history="1" r:id="rIdgvkvjbqgdxnsekhxyoecj">
        <w:r>
          <w:rPr>
            <w:rStyle w:val="Hyperlink"/>
            <w:rFonts w:ascii="Microsoft JhengHei" w:cs="Microsoft JhengHei" w:eastAsia="Microsoft JhengHei" w:hAnsi="Microsoft JhengHei"/>
            <w:sz w:val="19"/>
            <w:szCs w:val="19"/>
          </w:rPr>
          <w:t xml:space="preserve">https://docs.github.com/en/pull-requests/how-tos/review-pull-requests/commenting-on-a-pull-request</w:t>
        </w:r>
      </w:hyperlink>
    </w:p>
    <w:p>
      <w:pPr>
        <w:spacing w:after="130"/>
      </w:pPr>
      <w:r>
        <w:rPr>
          <w:rFonts w:ascii="Microsoft JhengHei" w:cs="Microsoft JhengHei" w:eastAsia="Microsoft JhengHei" w:hAnsi="Microsoft JhengHei"/>
          <w:color w:val="28251D"/>
          <w:sz w:val="19"/>
          <w:szCs w:val="19"/>
        </w:rPr>
        <w:t xml:space="preserve">[2] GitHub Docs. (n.d.). About pull request reviews. </w:t>
      </w:r>
      <w:hyperlink w:history="1" r:id="rIdzjbxbucfy3lnaitafqa6t">
        <w:r>
          <w:rPr>
            <w:rStyle w:val="Hyperlink"/>
            <w:rFonts w:ascii="Microsoft JhengHei" w:cs="Microsoft JhengHei" w:eastAsia="Microsoft JhengHei" w:hAnsi="Microsoft JhengHei"/>
            <w:sz w:val="19"/>
            <w:szCs w:val="19"/>
          </w:rPr>
          <w:t xml:space="preserve">https://docs.github.com/en/pull-requests/collaborating-with-pull-requests/reviewing-changes-in-pull-requests/about-pull-request-reviews</w:t>
        </w:r>
      </w:hyperlink>
    </w:p>
    <w:p>
      <w:pPr>
        <w:spacing w:after="130"/>
      </w:pPr>
      <w:r>
        <w:rPr>
          <w:rFonts w:ascii="Microsoft JhengHei" w:cs="Microsoft JhengHei" w:eastAsia="Microsoft JhengHei" w:hAnsi="Microsoft JhengHei"/>
          <w:color w:val="28251D"/>
          <w:sz w:val="19"/>
          <w:szCs w:val="19"/>
        </w:rPr>
        <w:t xml:space="preserve">[3] Nielsen, J. (1994/2024). 10 Usability Heuristics for User Interface Design. Nielsen Norman Group. </w:t>
      </w:r>
      <w:hyperlink w:history="1" r:id="rIdbggdxyzxt_tyjlvorsa6m">
        <w:r>
          <w:rPr>
            <w:rStyle w:val="Hyperlink"/>
            <w:rFonts w:ascii="Microsoft JhengHei" w:cs="Microsoft JhengHei" w:eastAsia="Microsoft JhengHei" w:hAnsi="Microsoft JhengHei"/>
            <w:sz w:val="19"/>
            <w:szCs w:val="19"/>
          </w:rPr>
          <w:t xml:space="preserve">https://www.nngroup.com/articles/ten-usability-heuristics/</w:t>
        </w:r>
      </w:hyperlink>
    </w:p>
    <w:p>
      <w:pPr>
        <w:spacing w:after="130"/>
      </w:pPr>
      <w:r>
        <w:rPr>
          <w:rFonts w:ascii="Microsoft JhengHei" w:cs="Microsoft JhengHei" w:eastAsia="Microsoft JhengHei" w:hAnsi="Microsoft JhengHei"/>
          <w:color w:val="28251D"/>
          <w:sz w:val="19"/>
          <w:szCs w:val="19"/>
        </w:rPr>
        <w:t xml:space="preserve">[4] Sadowski, C., Söderberg, E., Church, L., Sipko, M., &amp; Bacchelli, A. (2018). Modern code review: a case study at Google. Proceedings of the 40th International Conference on Software Engineering: Software Engineering in Practice (ICSE-SEIP '18). </w:t>
      </w:r>
      <w:hyperlink w:history="1" r:id="rId9im-dyidrrk_fulmb5lzn">
        <w:r>
          <w:rPr>
            <w:rStyle w:val="Hyperlink"/>
            <w:rFonts w:ascii="Microsoft JhengHei" w:cs="Microsoft JhengHei" w:eastAsia="Microsoft JhengHei" w:hAnsi="Microsoft JhengHei"/>
            <w:sz w:val="19"/>
            <w:szCs w:val="19"/>
          </w:rPr>
          <w:t xml:space="preserve">https://dl.acm.org/doi/10.1145/3183519.3183525</w:t>
        </w:r>
      </w:hyperlink>
    </w:p>
    <w:p>
      <w:pPr>
        <w:spacing w:after="130"/>
      </w:pPr>
      <w:r>
        <w:rPr>
          <w:rFonts w:ascii="Microsoft JhengHei" w:cs="Microsoft JhengHei" w:eastAsia="Microsoft JhengHei" w:hAnsi="Microsoft JhengHei"/>
          <w:color w:val="28251D"/>
          <w:sz w:val="19"/>
          <w:szCs w:val="19"/>
        </w:rPr>
        <w:t xml:space="preserve">[5] Bradley, S. (2019). Addressing Bias to Improve Reliability in Peer Review of Programming Coursework. Proceedings of the 21st Australasian Computing Education Conference (ACE '19). </w:t>
      </w:r>
      <w:hyperlink w:history="1" r:id="rIdfyxzgsdxbyniboeo9sw_y">
        <w:r>
          <w:rPr>
            <w:rStyle w:val="Hyperlink"/>
            <w:rFonts w:ascii="Microsoft JhengHei" w:cs="Microsoft JhengHei" w:eastAsia="Microsoft JhengHei" w:hAnsi="Microsoft JhengHei"/>
            <w:sz w:val="19"/>
            <w:szCs w:val="19"/>
          </w:rPr>
          <w:t xml:space="preserve">https://dl.acm.org/doi/10.1145/3364510.3364523</w:t>
        </w:r>
      </w:hyperlink>
    </w:p>
    <w:p>
      <w:pPr>
        <w:spacing w:after="130"/>
      </w:pPr>
      <w:r>
        <w:rPr>
          <w:rFonts w:ascii="Microsoft JhengHei" w:cs="Microsoft JhengHei" w:eastAsia="Microsoft JhengHei" w:hAnsi="Microsoft JhengHei"/>
          <w:color w:val="28251D"/>
          <w:sz w:val="19"/>
          <w:szCs w:val="19"/>
        </w:rPr>
        <w:t xml:space="preserve">[6] OWASP Foundation. (n.d.). SQL Injection Prevention Cheat Sheet. </w:t>
      </w:r>
      <w:hyperlink w:history="1" r:id="rIdm3eia-3-criw9dqp3x1lh">
        <w:r>
          <w:rPr>
            <w:rStyle w:val="Hyperlink"/>
            <w:rFonts w:ascii="Microsoft JhengHei" w:cs="Microsoft JhengHei" w:eastAsia="Microsoft JhengHei" w:hAnsi="Microsoft JhengHei"/>
            <w:sz w:val="19"/>
            <w:szCs w:val="19"/>
          </w:rPr>
          <w:t xml:space="preserve">https://cheatsheetseries.owasp.org/cheatsheets/SQL_Injection_Prevention_Cheat_Sheet.html</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sz w:val="16"/>
        <w:szCs w:val="16"/>
      </w:rPr>
      <w:t xml:space="preserve">第 </w:t>
    </w:r>
    <w:r>
      <w:rPr>
        <w:sz w:val="16"/>
        <w:szCs w:val="16"/>
      </w:rPr>
      <w:fldChar w:fldCharType="begin"/>
      <w:instrText xml:space="preserve">PAGE</w:instrText>
      <w:fldChar w:fldCharType="separate"/>
      <w:fldChar w:fldCharType="end"/>
    </w:r>
    <w:r>
      <w:rPr>
        <w:rFonts w:ascii="Microsoft JhengHei" w:cs="Microsoft JhengHei" w:eastAsia="Microsoft JhengHei" w:hAnsi="Microsoft JhengHei"/>
        <w:sz w:val="16"/>
        <w:szCs w:val="16"/>
      </w:rPr>
      <w:t xml:space="preserve"> 頁，共 </w:t>
    </w:r>
    <w:r>
      <w:rPr>
        <w:sz w:val="16"/>
        <w:szCs w:val="16"/>
      </w:rPr>
      <w:fldChar w:fldCharType="begin"/>
      <w:instrText xml:space="preserve">NUMPAGES</w:instrText>
      <w:fldChar w:fldCharType="separate"/>
      <w:fldChar w:fldCharType="end"/>
    </w:r>
    <w:r>
      <w:rPr>
        <w:rFonts w:ascii="Microsoft JhengHei" w:cs="Microsoft JhengHei" w:eastAsia="Microsoft JhengHei" w:hAnsi="Microsoft JhengHei"/>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i/>
        <w:iCs/>
        <w:color w:val="7A7974"/>
        <w:sz w:val="16"/>
        <w:szCs w:val="16"/>
      </w:rPr>
      <w:t xml:space="preserve">程式設計與網頁資料庫應用｜第13週最佳作業範例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vkvjbqgdxnsekhxyoecj" Type="http://schemas.openxmlformats.org/officeDocument/2006/relationships/hyperlink" Target="https://docs.github.com/en/pull-requests/how-tos/review-pull-requests/commenting-on-a-pull-request" TargetMode="External"/><Relationship Id="rIdzjbxbucfy3lnaitafqa6t" Type="http://schemas.openxmlformats.org/officeDocument/2006/relationships/hyperlink" Target="https://docs.github.com/en/pull-requests/collaborating-with-pull-requests/reviewing-changes-in-pull-requests/about-pull-request-reviews" TargetMode="External"/><Relationship Id="rIdbggdxyzxt_tyjlvorsa6m" Type="http://schemas.openxmlformats.org/officeDocument/2006/relationships/hyperlink" Target="https://www.nngroup.com/articles/ten-usability-heuristics/" TargetMode="External"/><Relationship Id="rId9im-dyidrrk_fulmb5lzn" Type="http://schemas.openxmlformats.org/officeDocument/2006/relationships/hyperlink" Target="https://dl.acm.org/doi/10.1145/3183519.3183525" TargetMode="External"/><Relationship Id="rIdfyxzgsdxbyniboeo9sw_y" Type="http://schemas.openxmlformats.org/officeDocument/2006/relationships/hyperlink" Target="https://dl.acm.org/doi/10.1145/3364510.3364523" TargetMode="External"/><Relationship Id="rIdm3eia-3-criw9dqp3x1lh" Type="http://schemas.openxmlformats.org/officeDocument/2006/relationships/hyperlink" Target="https://cheatsheetseries.owasp.org/cheatsheets/SQL_Injection_Prevention_Cheat_Sheet.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2026-08-22T14:06:40.346Z</dcterms:created>
  <dcterms:modified xsi:type="dcterms:W3CDTF">2026-08-22T14:06:40.346Z</dcterms:modified>
</cp:coreProperties>
</file>

<file path=docProps/custom.xml><?xml version="1.0" encoding="utf-8"?>
<Properties xmlns="http://schemas.openxmlformats.org/officeDocument/2006/custom-properties" xmlns:vt="http://schemas.openxmlformats.org/officeDocument/2006/docPropsVTypes"/>
</file>