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276F" w:rsidRPr="00CD1F61" w:rsidRDefault="00CD1F61">
      <w:pPr>
        <w:jc w:val="center"/>
        <w:rPr>
          <w:rFonts w:ascii="Times New Roman" w:eastAsia="標楷體" w:hAnsi="Times New Roman" w:hint="eastAsia"/>
          <w:sz w:val="28"/>
          <w:lang w:eastAsia="zh-TW"/>
        </w:rPr>
      </w:pPr>
      <w:bookmarkStart w:id="0" w:name="_GoBack"/>
      <w:r w:rsidRPr="00CD1F61">
        <w:rPr>
          <w:rFonts w:ascii="Times New Roman" w:eastAsia="標楷體" w:hAnsi="Times New Roman"/>
          <w:sz w:val="28"/>
          <w:lang w:eastAsia="zh-TW"/>
        </w:rPr>
        <w:t>水電資源管理對公司價值與營運成本之影響</w:t>
      </w:r>
      <w:r w:rsidRPr="00CD1F61">
        <w:rPr>
          <w:rFonts w:ascii="Times New Roman" w:eastAsia="標楷體" w:hAnsi="Times New Roman"/>
          <w:sz w:val="28"/>
          <w:lang w:eastAsia="zh-TW"/>
        </w:rPr>
        <w:br/>
        <w:t>——</w:t>
      </w:r>
      <w:r w:rsidRPr="00CD1F61">
        <w:rPr>
          <w:rFonts w:ascii="Times New Roman" w:eastAsia="標楷體" w:hAnsi="Times New Roman"/>
          <w:sz w:val="28"/>
          <w:lang w:eastAsia="zh-TW"/>
        </w:rPr>
        <w:t>以台灣電子相關產業為例</w:t>
      </w:r>
    </w:p>
    <w:p w:rsidR="00A9276F" w:rsidRPr="00CD1F61" w:rsidRDefault="00CD1F61">
      <w:pPr>
        <w:jc w:val="center"/>
        <w:rPr>
          <w:rFonts w:ascii="Times New Roman" w:eastAsia="標楷體" w:hAnsi="Times New Roman" w:hint="eastAsia"/>
          <w:sz w:val="28"/>
        </w:rPr>
      </w:pPr>
      <w:r w:rsidRPr="00CD1F61">
        <w:rPr>
          <w:rFonts w:ascii="Times New Roman" w:eastAsia="標楷體" w:hAnsi="Times New Roman"/>
          <w:sz w:val="28"/>
        </w:rPr>
        <w:t>The Effect of Water and Renewable Energy Management on Firm Value and Operating Cost:</w:t>
      </w:r>
      <w:r w:rsidRPr="00CD1F61">
        <w:rPr>
          <w:rFonts w:ascii="Times New Roman" w:eastAsia="標楷體" w:hAnsi="Times New Roman"/>
          <w:sz w:val="28"/>
        </w:rPr>
        <w:br/>
        <w:t>Evidence from Taiwan's Electronics-related Industries</w:t>
      </w:r>
    </w:p>
    <w:p w:rsidR="00A9276F" w:rsidRPr="00CD1F61" w:rsidRDefault="00A9276F">
      <w:pPr>
        <w:rPr>
          <w:rFonts w:ascii="Times New Roman" w:eastAsia="標楷體" w:hAnsi="Times New Roman" w:hint="eastAsia"/>
          <w:sz w:val="28"/>
        </w:rPr>
      </w:pPr>
    </w:p>
    <w:p w:rsidR="00A9276F" w:rsidRPr="00CD1F61" w:rsidRDefault="00CD1F61">
      <w:pPr>
        <w:spacing w:before="240" w:after="120"/>
        <w:rPr>
          <w:rFonts w:ascii="Times New Roman" w:eastAsia="標楷體" w:hAnsi="Times New Roman" w:hint="eastAsia"/>
          <w:sz w:val="28"/>
          <w:lang w:eastAsia="zh-TW"/>
        </w:rPr>
      </w:pPr>
      <w:r w:rsidRPr="00CD1F61">
        <w:rPr>
          <w:rFonts w:ascii="Times New Roman" w:eastAsia="標楷體" w:hAnsi="Times New Roman"/>
          <w:sz w:val="28"/>
          <w:lang w:eastAsia="zh-TW"/>
        </w:rPr>
        <w:t>摘要</w:t>
      </w:r>
    </w:p>
    <w:p w:rsidR="00A9276F" w:rsidRPr="00CD1F61" w:rsidRDefault="00CD1F61">
      <w:pPr>
        <w:spacing w:after="80" w:line="360" w:lineRule="auto"/>
        <w:ind w:firstLine="480"/>
        <w:rPr>
          <w:rFonts w:ascii="Times New Roman" w:eastAsia="標楷體" w:hAnsi="Times New Roman" w:hint="eastAsia"/>
          <w:sz w:val="28"/>
          <w:lang w:eastAsia="zh-TW"/>
        </w:rPr>
      </w:pPr>
      <w:r w:rsidRPr="00CD1F61">
        <w:rPr>
          <w:rFonts w:ascii="Times New Roman" w:eastAsia="標楷體" w:hAnsi="Times New Roman"/>
          <w:sz w:val="28"/>
          <w:lang w:eastAsia="zh-TW"/>
        </w:rPr>
        <w:t>在全球淨零轉型與</w:t>
      </w:r>
      <w:r w:rsidRPr="00CD1F61">
        <w:rPr>
          <w:rFonts w:ascii="Times New Roman" w:eastAsia="標楷體" w:hAnsi="Times New Roman"/>
          <w:sz w:val="28"/>
          <w:lang w:eastAsia="zh-TW"/>
        </w:rPr>
        <w:t xml:space="preserve"> ESG </w:t>
      </w:r>
      <w:r w:rsidRPr="00CD1F61">
        <w:rPr>
          <w:rFonts w:ascii="Times New Roman" w:eastAsia="標楷體" w:hAnsi="Times New Roman"/>
          <w:sz w:val="28"/>
          <w:lang w:eastAsia="zh-TW"/>
        </w:rPr>
        <w:t>浪潮下，企業對水資源循環與再生能源的投入日益受到重視。本研究探討企業水資源管理（水回收率）與再生能源使用對公司價值（</w:t>
      </w:r>
      <w:r w:rsidRPr="00CD1F61">
        <w:rPr>
          <w:rFonts w:ascii="Times New Roman" w:eastAsia="標楷體" w:hAnsi="Times New Roman"/>
          <w:sz w:val="28"/>
          <w:lang w:eastAsia="zh-TW"/>
        </w:rPr>
        <w:t>Tobin's Q</w:t>
      </w:r>
      <w:r w:rsidRPr="00CD1F61">
        <w:rPr>
          <w:rFonts w:ascii="Times New Roman" w:eastAsia="標楷體" w:hAnsi="Times New Roman"/>
          <w:sz w:val="28"/>
          <w:lang w:eastAsia="zh-TW"/>
        </w:rPr>
        <w:t>）與營運成本（營業費用率）的影響，並進一步檢驗兩者是否具有「水能互補綜效」，以及水電設備專項資本支出的時間落差效應。本研究以台灣經濟新報（</w:t>
      </w:r>
      <w:r w:rsidRPr="00CD1F61">
        <w:rPr>
          <w:rFonts w:ascii="Times New Roman" w:eastAsia="標楷體" w:hAnsi="Times New Roman"/>
          <w:sz w:val="28"/>
          <w:lang w:eastAsia="zh-TW"/>
        </w:rPr>
        <w:t>TEJ</w:t>
      </w:r>
      <w:r w:rsidRPr="00CD1F61">
        <w:rPr>
          <w:rFonts w:ascii="Times New Roman" w:eastAsia="標楷體" w:hAnsi="Times New Roman"/>
          <w:sz w:val="28"/>
          <w:lang w:eastAsia="zh-TW"/>
        </w:rPr>
        <w:t>）資料庫，取</w:t>
      </w:r>
      <w:r w:rsidRPr="00CD1F61">
        <w:rPr>
          <w:rFonts w:ascii="Times New Roman" w:eastAsia="標楷體" w:hAnsi="Times New Roman"/>
          <w:sz w:val="28"/>
          <w:lang w:eastAsia="zh-TW"/>
        </w:rPr>
        <w:t xml:space="preserve"> 2013–2024 </w:t>
      </w:r>
      <w:r w:rsidRPr="00CD1F61">
        <w:rPr>
          <w:rFonts w:ascii="Times New Roman" w:eastAsia="標楷體" w:hAnsi="Times New Roman"/>
          <w:sz w:val="28"/>
          <w:lang w:eastAsia="zh-TW"/>
        </w:rPr>
        <w:t>年半導體、電子零組件與光電等電子相關產業為樣本（</w:t>
      </w:r>
      <w:r w:rsidRPr="00CD1F61">
        <w:rPr>
          <w:rFonts w:ascii="Times New Roman" w:eastAsia="標楷體" w:hAnsi="Times New Roman"/>
          <w:sz w:val="28"/>
          <w:lang w:eastAsia="zh-TW"/>
        </w:rPr>
        <w:t xml:space="preserve">758 </w:t>
      </w:r>
      <w:r w:rsidRPr="00CD1F61">
        <w:rPr>
          <w:rFonts w:ascii="Times New Roman" w:eastAsia="標楷體" w:hAnsi="Times New Roman"/>
          <w:sz w:val="28"/>
          <w:lang w:eastAsia="zh-TW"/>
        </w:rPr>
        <w:t>家公司、</w:t>
      </w:r>
      <w:r w:rsidRPr="00CD1F61">
        <w:rPr>
          <w:rFonts w:ascii="Times New Roman" w:eastAsia="標楷體" w:hAnsi="Times New Roman"/>
          <w:sz w:val="28"/>
          <w:lang w:eastAsia="zh-TW"/>
        </w:rPr>
        <w:t xml:space="preserve">7473 </w:t>
      </w:r>
      <w:r w:rsidRPr="00CD1F61">
        <w:rPr>
          <w:rFonts w:ascii="Times New Roman" w:eastAsia="標楷體" w:hAnsi="Times New Roman"/>
          <w:sz w:val="28"/>
          <w:lang w:eastAsia="zh-TW"/>
        </w:rPr>
        <w:t>個公司</w:t>
      </w:r>
      <w:r w:rsidRPr="00CD1F61">
        <w:rPr>
          <w:rFonts w:ascii="Times New Roman" w:eastAsia="標楷體" w:hAnsi="Times New Roman"/>
          <w:sz w:val="28"/>
          <w:lang w:eastAsia="zh-TW"/>
        </w:rPr>
        <w:t>-</w:t>
      </w:r>
      <w:r w:rsidRPr="00CD1F61">
        <w:rPr>
          <w:rFonts w:ascii="Times New Roman" w:eastAsia="標楷體" w:hAnsi="Times New Roman"/>
          <w:sz w:val="28"/>
          <w:lang w:eastAsia="zh-TW"/>
        </w:rPr>
        <w:t>年觀測），採雙向固定效果面板迴歸進行分析。實證結果顯示：水資源管理與再生能源使用的「交乘項」對</w:t>
      </w:r>
      <w:r w:rsidRPr="00CD1F61">
        <w:rPr>
          <w:rFonts w:ascii="Times New Roman" w:eastAsia="標楷體" w:hAnsi="Times New Roman"/>
          <w:sz w:val="28"/>
          <w:lang w:eastAsia="zh-TW"/>
        </w:rPr>
        <w:t xml:space="preserve"> Tobin's Q </w:t>
      </w:r>
      <w:r w:rsidRPr="00CD1F61">
        <w:rPr>
          <w:rFonts w:ascii="Times New Roman" w:eastAsia="標楷體" w:hAnsi="Times New Roman"/>
          <w:sz w:val="28"/>
          <w:lang w:eastAsia="zh-TW"/>
        </w:rPr>
        <w:t>顯</w:t>
      </w:r>
      <w:r w:rsidRPr="00CD1F61">
        <w:rPr>
          <w:rFonts w:ascii="Times New Roman" w:eastAsia="標楷體" w:hAnsi="Times New Roman"/>
          <w:sz w:val="28"/>
          <w:lang w:eastAsia="zh-TW"/>
        </w:rPr>
        <w:t>著為正、對營業費用率顯著為負，支持水能互補綜效假說；且此結果在擴充產業樣本後仍然穩健。研究結果指出，企業同時推動再生水與綠電的雙軸資源管理，較能創造顯著的價值溢酬與降本效益。</w:t>
      </w:r>
    </w:p>
    <w:p w:rsidR="00A9276F" w:rsidRPr="00CD1F61" w:rsidRDefault="00CD1F61">
      <w:pPr>
        <w:rPr>
          <w:rFonts w:ascii="Times New Roman" w:eastAsia="標楷體" w:hAnsi="Times New Roman" w:hint="eastAsia"/>
          <w:sz w:val="28"/>
          <w:lang w:eastAsia="zh-TW"/>
        </w:rPr>
      </w:pPr>
      <w:r w:rsidRPr="00CD1F61">
        <w:rPr>
          <w:rFonts w:ascii="Times New Roman" w:eastAsia="標楷體" w:hAnsi="Times New Roman"/>
          <w:sz w:val="28"/>
          <w:lang w:eastAsia="zh-TW"/>
        </w:rPr>
        <w:t>關鍵字：水資源管理、再生能源、水能互補綜效、公司價值、</w:t>
      </w:r>
      <w:r w:rsidRPr="00CD1F61">
        <w:rPr>
          <w:rFonts w:ascii="Times New Roman" w:eastAsia="標楷體" w:hAnsi="Times New Roman"/>
          <w:sz w:val="28"/>
          <w:lang w:eastAsia="zh-TW"/>
        </w:rPr>
        <w:t>Tobin's Q</w:t>
      </w:r>
      <w:r w:rsidRPr="00CD1F61">
        <w:rPr>
          <w:rFonts w:ascii="Times New Roman" w:eastAsia="標楷體" w:hAnsi="Times New Roman"/>
          <w:sz w:val="28"/>
          <w:lang w:eastAsia="zh-TW"/>
        </w:rPr>
        <w:t>、面板資料</w:t>
      </w:r>
    </w:p>
    <w:p w:rsidR="00A9276F" w:rsidRPr="00CD1F61" w:rsidRDefault="00CD1F61">
      <w:pPr>
        <w:spacing w:before="240" w:after="120"/>
        <w:rPr>
          <w:rFonts w:ascii="Times New Roman" w:eastAsia="標楷體" w:hAnsi="Times New Roman" w:hint="eastAsia"/>
          <w:sz w:val="28"/>
        </w:rPr>
      </w:pPr>
      <w:r w:rsidRPr="00CD1F61">
        <w:rPr>
          <w:rFonts w:ascii="Times New Roman" w:eastAsia="標楷體" w:hAnsi="Times New Roman"/>
          <w:sz w:val="28"/>
        </w:rPr>
        <w:t>Abstract</w:t>
      </w:r>
    </w:p>
    <w:p w:rsidR="00A9276F" w:rsidRPr="00CD1F61" w:rsidRDefault="00CD1F61">
      <w:pPr>
        <w:spacing w:line="360" w:lineRule="auto"/>
        <w:ind w:firstLine="480"/>
        <w:rPr>
          <w:rFonts w:ascii="Times New Roman" w:eastAsia="標楷體" w:hAnsi="Times New Roman" w:hint="eastAsia"/>
          <w:sz w:val="28"/>
        </w:rPr>
      </w:pPr>
      <w:r w:rsidRPr="00CD1F61">
        <w:rPr>
          <w:rFonts w:ascii="Times New Roman" w:eastAsia="標楷體" w:hAnsi="Times New Roman"/>
          <w:sz w:val="28"/>
        </w:rPr>
        <w:t>Amid the global net-zero transition and the rise of ESG, corporate investment in water recycling and renewable energy</w:t>
      </w:r>
      <w:r w:rsidRPr="00CD1F61">
        <w:rPr>
          <w:rFonts w:ascii="Times New Roman" w:eastAsia="標楷體" w:hAnsi="Times New Roman"/>
          <w:sz w:val="28"/>
        </w:rPr>
        <w:t xml:space="preserve"> has drawn increasing attention. This study examines how corporate water management (water recycling rate) and renewable energy use affect firm value (Tobin's Q) and </w:t>
      </w:r>
      <w:r w:rsidRPr="00CD1F61">
        <w:rPr>
          <w:rFonts w:ascii="Times New Roman" w:eastAsia="標楷體" w:hAnsi="Times New Roman"/>
          <w:sz w:val="28"/>
        </w:rPr>
        <w:lastRenderedPageBreak/>
        <w:t>operating cost (operating expense ratio), and further tests whether the two exhibit a wate</w:t>
      </w:r>
      <w:r w:rsidRPr="00CD1F61">
        <w:rPr>
          <w:rFonts w:ascii="Times New Roman" w:eastAsia="標楷體" w:hAnsi="Times New Roman"/>
          <w:sz w:val="28"/>
        </w:rPr>
        <w:t xml:space="preserve">r-energy complementary synergy, as well as the time-lag effect of dedicated water and energy capital expenditure. Using the TEJ database and a sample of Taiwan's electronics-related industries from 2013 to 2024 (758 firms, 7473 firm-year observations), we </w:t>
      </w:r>
      <w:r w:rsidRPr="00CD1F61">
        <w:rPr>
          <w:rFonts w:ascii="Times New Roman" w:eastAsia="標楷體" w:hAnsi="Times New Roman"/>
          <w:sz w:val="28"/>
        </w:rPr>
        <w:t>apply two-way fixed-effects panel regressions. The results show that the interaction of water management and renewable energy use is significantly positive for Tobin's Q and significantly negative for the operating expense ratio, supporting the synergy hyp</w:t>
      </w:r>
      <w:r w:rsidRPr="00CD1F61">
        <w:rPr>
          <w:rFonts w:ascii="Times New Roman" w:eastAsia="標楷體" w:hAnsi="Times New Roman"/>
          <w:sz w:val="28"/>
        </w:rPr>
        <w:t>othesis; the finding remains robust after expanding the industry sample.</w:t>
      </w:r>
    </w:p>
    <w:p w:rsidR="00A9276F" w:rsidRPr="00CD1F61" w:rsidRDefault="00CD1F61">
      <w:pPr>
        <w:rPr>
          <w:rFonts w:ascii="Times New Roman" w:eastAsia="標楷體" w:hAnsi="Times New Roman" w:hint="eastAsia"/>
          <w:sz w:val="28"/>
        </w:rPr>
      </w:pPr>
      <w:r w:rsidRPr="00CD1F61">
        <w:rPr>
          <w:rFonts w:ascii="Times New Roman" w:eastAsia="標楷體" w:hAnsi="Times New Roman"/>
          <w:sz w:val="28"/>
        </w:rPr>
        <w:t>Keywords: water management, renewable energy, water-energy synergy, firm value, Tobin's Q, panel data</w:t>
      </w:r>
    </w:p>
    <w:p w:rsidR="00A9276F" w:rsidRPr="00CD1F61" w:rsidRDefault="00CD1F61">
      <w:pPr>
        <w:rPr>
          <w:rFonts w:ascii="Times New Roman" w:eastAsia="標楷體" w:hAnsi="Times New Roman" w:hint="eastAsia"/>
          <w:sz w:val="28"/>
        </w:rPr>
      </w:pPr>
      <w:r w:rsidRPr="00CD1F61">
        <w:rPr>
          <w:rFonts w:ascii="Times New Roman" w:eastAsia="標楷體" w:hAnsi="Times New Roman"/>
          <w:sz w:val="28"/>
        </w:rPr>
        <w:br w:type="page"/>
      </w:r>
    </w:p>
    <w:p w:rsidR="00A9276F" w:rsidRPr="00CD1F61" w:rsidRDefault="00CD1F61">
      <w:pPr>
        <w:spacing w:before="240" w:after="120"/>
        <w:rPr>
          <w:rFonts w:ascii="Times New Roman" w:eastAsia="標楷體" w:hAnsi="Times New Roman" w:hint="eastAsia"/>
          <w:sz w:val="28"/>
          <w:lang w:eastAsia="zh-TW"/>
        </w:rPr>
      </w:pPr>
      <w:r w:rsidRPr="00CD1F61">
        <w:rPr>
          <w:rFonts w:ascii="Times New Roman" w:eastAsia="標楷體" w:hAnsi="Times New Roman"/>
          <w:sz w:val="28"/>
          <w:lang w:eastAsia="zh-TW"/>
        </w:rPr>
        <w:lastRenderedPageBreak/>
        <w:t>第一章　緒論</w:t>
      </w:r>
    </w:p>
    <w:p w:rsidR="00A9276F" w:rsidRPr="00CD1F61" w:rsidRDefault="00CD1F61">
      <w:pPr>
        <w:spacing w:before="240" w:after="120"/>
        <w:rPr>
          <w:rFonts w:ascii="Times New Roman" w:eastAsia="標楷體" w:hAnsi="Times New Roman" w:hint="eastAsia"/>
          <w:sz w:val="28"/>
          <w:lang w:eastAsia="zh-TW"/>
        </w:rPr>
      </w:pPr>
      <w:r w:rsidRPr="00CD1F61">
        <w:rPr>
          <w:rFonts w:ascii="Times New Roman" w:eastAsia="標楷體" w:hAnsi="Times New Roman"/>
          <w:sz w:val="28"/>
          <w:lang w:eastAsia="zh-TW"/>
        </w:rPr>
        <w:t>1-1</w:t>
      </w:r>
      <w:r w:rsidRPr="00CD1F61">
        <w:rPr>
          <w:rFonts w:ascii="Times New Roman" w:eastAsia="標楷體" w:hAnsi="Times New Roman"/>
          <w:sz w:val="28"/>
          <w:lang w:eastAsia="zh-TW"/>
        </w:rPr>
        <w:t xml:space="preserve">　研究背景與動機</w:t>
      </w:r>
    </w:p>
    <w:p w:rsidR="00A9276F" w:rsidRPr="00CD1F61" w:rsidRDefault="00CD1F61">
      <w:pPr>
        <w:spacing w:after="80" w:line="360" w:lineRule="auto"/>
        <w:ind w:firstLine="480"/>
        <w:rPr>
          <w:rFonts w:ascii="Times New Roman" w:eastAsia="標楷體" w:hAnsi="Times New Roman" w:hint="eastAsia"/>
          <w:sz w:val="28"/>
          <w:lang w:eastAsia="zh-TW"/>
        </w:rPr>
      </w:pPr>
      <w:r w:rsidRPr="00CD1F61">
        <w:rPr>
          <w:rFonts w:ascii="Times New Roman" w:eastAsia="標楷體" w:hAnsi="Times New Roman"/>
          <w:sz w:val="28"/>
          <w:lang w:eastAsia="zh-TW"/>
        </w:rPr>
        <w:t>工業化為經濟帶來高度成長，卻也對環境造成龐大負荷。近年在氣候變遷、水資源短缺與能源轉型的壓力下，企業永續發展（</w:t>
      </w:r>
      <w:r w:rsidRPr="00CD1F61">
        <w:rPr>
          <w:rFonts w:ascii="Times New Roman" w:eastAsia="標楷體" w:hAnsi="Times New Roman"/>
          <w:sz w:val="28"/>
          <w:lang w:eastAsia="zh-TW"/>
        </w:rPr>
        <w:t>ESG</w:t>
      </w:r>
      <w:r w:rsidRPr="00CD1F61">
        <w:rPr>
          <w:rFonts w:ascii="Times New Roman" w:eastAsia="標楷體" w:hAnsi="Times New Roman"/>
          <w:sz w:val="28"/>
          <w:lang w:eastAsia="zh-TW"/>
        </w:rPr>
        <w:t>）已</w:t>
      </w:r>
      <w:r w:rsidRPr="00CD1F61">
        <w:rPr>
          <w:rFonts w:ascii="Times New Roman" w:eastAsia="標楷體" w:hAnsi="Times New Roman"/>
          <w:sz w:val="28"/>
          <w:lang w:eastAsia="zh-TW"/>
        </w:rPr>
        <w:t>從道德訴求轉為攸關競爭力與估值的關鍵議題。台灣以電子製造業為出口主力，半導體與面板等製程屬高耗水、高耗電產業，水與電的資源管理不僅是環境責任，更直接牽動生產成本與供應鏈韌性。因此，企業投入再生水回收與再生能源，究竟能否反映在財務績效與公司價值上，值得深入探討。</w:t>
      </w:r>
    </w:p>
    <w:p w:rsidR="00A9276F" w:rsidRPr="00CD1F61" w:rsidRDefault="00CD1F61">
      <w:pPr>
        <w:spacing w:before="240" w:after="120"/>
        <w:rPr>
          <w:rFonts w:ascii="Times New Roman" w:eastAsia="標楷體" w:hAnsi="Times New Roman" w:hint="eastAsia"/>
          <w:sz w:val="28"/>
          <w:lang w:eastAsia="zh-TW"/>
        </w:rPr>
      </w:pPr>
      <w:r w:rsidRPr="00CD1F61">
        <w:rPr>
          <w:rFonts w:ascii="Times New Roman" w:eastAsia="標楷體" w:hAnsi="Times New Roman"/>
          <w:sz w:val="28"/>
          <w:lang w:eastAsia="zh-TW"/>
        </w:rPr>
        <w:t>1-2</w:t>
      </w:r>
      <w:r w:rsidRPr="00CD1F61">
        <w:rPr>
          <w:rFonts w:ascii="Times New Roman" w:eastAsia="標楷體" w:hAnsi="Times New Roman"/>
          <w:sz w:val="28"/>
          <w:lang w:eastAsia="zh-TW"/>
        </w:rPr>
        <w:t xml:space="preserve">　研究目的</w:t>
      </w:r>
    </w:p>
    <w:p w:rsidR="00A9276F" w:rsidRPr="00CD1F61" w:rsidRDefault="00CD1F61">
      <w:pPr>
        <w:spacing w:after="80" w:line="360" w:lineRule="auto"/>
        <w:ind w:firstLine="480"/>
        <w:rPr>
          <w:rFonts w:ascii="Times New Roman" w:eastAsia="標楷體" w:hAnsi="Times New Roman" w:hint="eastAsia"/>
          <w:sz w:val="28"/>
          <w:lang w:eastAsia="zh-TW"/>
        </w:rPr>
      </w:pPr>
      <w:r w:rsidRPr="00CD1F61">
        <w:rPr>
          <w:rFonts w:ascii="Times New Roman" w:eastAsia="標楷體" w:hAnsi="Times New Roman"/>
          <w:sz w:val="28"/>
          <w:lang w:eastAsia="zh-TW"/>
        </w:rPr>
        <w:t>本研究之目的有三：</w:t>
      </w:r>
      <w:r w:rsidRPr="00CD1F61">
        <w:rPr>
          <w:rFonts w:ascii="Times New Roman" w:eastAsia="標楷體" w:hAnsi="Times New Roman"/>
          <w:sz w:val="28"/>
          <w:lang w:eastAsia="zh-TW"/>
        </w:rPr>
        <w:t xml:space="preserve">(1) </w:t>
      </w:r>
      <w:r w:rsidRPr="00CD1F61">
        <w:rPr>
          <w:rFonts w:ascii="Times New Roman" w:eastAsia="標楷體" w:hAnsi="Times New Roman"/>
          <w:sz w:val="28"/>
          <w:lang w:eastAsia="zh-TW"/>
        </w:rPr>
        <w:t>檢驗水資源管理與再生能源使用是否能直接降低營運成本、提升公司價值；</w:t>
      </w:r>
      <w:r w:rsidRPr="00CD1F61">
        <w:rPr>
          <w:rFonts w:ascii="Times New Roman" w:eastAsia="標楷體" w:hAnsi="Times New Roman"/>
          <w:sz w:val="28"/>
          <w:lang w:eastAsia="zh-TW"/>
        </w:rPr>
        <w:t xml:space="preserve">(2) </w:t>
      </w:r>
      <w:r w:rsidRPr="00CD1F61">
        <w:rPr>
          <w:rFonts w:ascii="Times New Roman" w:eastAsia="標楷體" w:hAnsi="Times New Roman"/>
          <w:sz w:val="28"/>
          <w:lang w:eastAsia="zh-TW"/>
        </w:rPr>
        <w:t>檢驗企業同時投入再生水與再生能源是否產生「</w:t>
      </w:r>
      <w:r w:rsidRPr="00CD1F61">
        <w:rPr>
          <w:rFonts w:ascii="Times New Roman" w:eastAsia="標楷體" w:hAnsi="Times New Roman"/>
          <w:sz w:val="28"/>
          <w:lang w:eastAsia="zh-TW"/>
        </w:rPr>
        <w:t>1+1&gt;2</w:t>
      </w:r>
      <w:r w:rsidRPr="00CD1F61">
        <w:rPr>
          <w:rFonts w:ascii="Times New Roman" w:eastAsia="標楷體" w:hAnsi="Times New Roman"/>
          <w:sz w:val="28"/>
          <w:lang w:eastAsia="zh-TW"/>
        </w:rPr>
        <w:t>」的水能互補綜效；</w:t>
      </w:r>
      <w:r w:rsidRPr="00CD1F61">
        <w:rPr>
          <w:rFonts w:ascii="Times New Roman" w:eastAsia="標楷體" w:hAnsi="Times New Roman"/>
          <w:sz w:val="28"/>
          <w:lang w:eastAsia="zh-TW"/>
        </w:rPr>
        <w:t xml:space="preserve">(3) </w:t>
      </w:r>
      <w:r w:rsidRPr="00CD1F61">
        <w:rPr>
          <w:rFonts w:ascii="Times New Roman" w:eastAsia="標楷體" w:hAnsi="Times New Roman"/>
          <w:sz w:val="28"/>
          <w:lang w:eastAsia="zh-TW"/>
        </w:rPr>
        <w:t>檢驗水電設備專項資本支出對財務績效的時間落差（遞延期）</w:t>
      </w:r>
      <w:r w:rsidRPr="00CD1F61">
        <w:rPr>
          <w:rFonts w:ascii="Times New Roman" w:eastAsia="標楷體" w:hAnsi="Times New Roman"/>
          <w:sz w:val="28"/>
          <w:lang w:eastAsia="zh-TW"/>
        </w:rPr>
        <w:t>效應。</w:t>
      </w:r>
    </w:p>
    <w:p w:rsidR="00A9276F" w:rsidRPr="00CD1F61" w:rsidRDefault="00CD1F61">
      <w:pPr>
        <w:spacing w:before="240" w:after="120"/>
        <w:rPr>
          <w:rFonts w:ascii="Times New Roman" w:eastAsia="標楷體" w:hAnsi="Times New Roman" w:hint="eastAsia"/>
          <w:sz w:val="28"/>
          <w:lang w:eastAsia="zh-TW"/>
        </w:rPr>
      </w:pPr>
      <w:r w:rsidRPr="00CD1F61">
        <w:rPr>
          <w:rFonts w:ascii="Times New Roman" w:eastAsia="標楷體" w:hAnsi="Times New Roman"/>
          <w:sz w:val="28"/>
          <w:lang w:eastAsia="zh-TW"/>
        </w:rPr>
        <w:t>1-3</w:t>
      </w:r>
      <w:r w:rsidRPr="00CD1F61">
        <w:rPr>
          <w:rFonts w:ascii="Times New Roman" w:eastAsia="標楷體" w:hAnsi="Times New Roman"/>
          <w:sz w:val="28"/>
          <w:lang w:eastAsia="zh-TW"/>
        </w:rPr>
        <w:t xml:space="preserve">　研究流程</w:t>
      </w:r>
    </w:p>
    <w:p w:rsidR="00A9276F" w:rsidRPr="00CD1F61" w:rsidRDefault="00CD1F61">
      <w:pPr>
        <w:spacing w:after="80" w:line="360" w:lineRule="auto"/>
        <w:ind w:firstLine="480"/>
        <w:rPr>
          <w:rFonts w:ascii="Times New Roman" w:eastAsia="標楷體" w:hAnsi="Times New Roman" w:hint="eastAsia"/>
          <w:sz w:val="28"/>
          <w:lang w:eastAsia="zh-TW"/>
        </w:rPr>
      </w:pPr>
      <w:r w:rsidRPr="00CD1F61">
        <w:rPr>
          <w:rFonts w:ascii="Times New Roman" w:eastAsia="標楷體" w:hAnsi="Times New Roman"/>
          <w:sz w:val="28"/>
          <w:lang w:eastAsia="zh-TW"/>
        </w:rPr>
        <w:t>本研究先蒐集</w:t>
      </w:r>
      <w:r w:rsidRPr="00CD1F61">
        <w:rPr>
          <w:rFonts w:ascii="Times New Roman" w:eastAsia="標楷體" w:hAnsi="Times New Roman"/>
          <w:sz w:val="28"/>
          <w:lang w:eastAsia="zh-TW"/>
        </w:rPr>
        <w:t xml:space="preserve"> TEJ </w:t>
      </w:r>
      <w:r w:rsidRPr="00CD1F61">
        <w:rPr>
          <w:rFonts w:ascii="Times New Roman" w:eastAsia="標楷體" w:hAnsi="Times New Roman"/>
          <w:sz w:val="28"/>
          <w:lang w:eastAsia="zh-TW"/>
        </w:rPr>
        <w:t>永續與財務資料庫，合併為年度追蹤資料，經變數建構、極端值縮尾與樣本篩選後，以雙向固定效果面板迴歸依序檢驗三個模型，並以替代變數與擴充產業樣本進行穩健性檢定，最後歸納結論與建議。</w:t>
      </w:r>
    </w:p>
    <w:p w:rsidR="00A9276F" w:rsidRPr="00CD1F61" w:rsidRDefault="00CD1F61">
      <w:pPr>
        <w:spacing w:before="240" w:after="120"/>
        <w:rPr>
          <w:rFonts w:ascii="Times New Roman" w:eastAsia="標楷體" w:hAnsi="Times New Roman" w:hint="eastAsia"/>
          <w:sz w:val="28"/>
          <w:lang w:eastAsia="zh-TW"/>
        </w:rPr>
      </w:pPr>
      <w:r w:rsidRPr="00CD1F61">
        <w:rPr>
          <w:rFonts w:ascii="Times New Roman" w:eastAsia="標楷體" w:hAnsi="Times New Roman"/>
          <w:sz w:val="28"/>
          <w:lang w:eastAsia="zh-TW"/>
        </w:rPr>
        <w:t>第二章　文獻探討</w:t>
      </w:r>
    </w:p>
    <w:p w:rsidR="00A9276F" w:rsidRPr="00CD1F61" w:rsidRDefault="00CD1F61">
      <w:pPr>
        <w:spacing w:before="240" w:after="120"/>
        <w:rPr>
          <w:rFonts w:ascii="Times New Roman" w:eastAsia="標楷體" w:hAnsi="Times New Roman" w:hint="eastAsia"/>
          <w:sz w:val="28"/>
          <w:lang w:eastAsia="zh-TW"/>
        </w:rPr>
      </w:pPr>
      <w:r w:rsidRPr="00CD1F61">
        <w:rPr>
          <w:rFonts w:ascii="Times New Roman" w:eastAsia="標楷體" w:hAnsi="Times New Roman"/>
          <w:sz w:val="28"/>
          <w:lang w:eastAsia="zh-TW"/>
        </w:rPr>
        <w:t>2-1</w:t>
      </w:r>
      <w:r w:rsidRPr="00CD1F61">
        <w:rPr>
          <w:rFonts w:ascii="Times New Roman" w:eastAsia="標楷體" w:hAnsi="Times New Roman"/>
          <w:sz w:val="28"/>
          <w:lang w:eastAsia="zh-TW"/>
        </w:rPr>
        <w:t xml:space="preserve">　企業永續發展與資源管理</w:t>
      </w:r>
    </w:p>
    <w:p w:rsidR="00A9276F" w:rsidRPr="00CD1F61" w:rsidRDefault="00CD1F61">
      <w:pPr>
        <w:spacing w:after="80" w:line="360" w:lineRule="auto"/>
        <w:ind w:firstLine="480"/>
        <w:rPr>
          <w:rFonts w:ascii="Times New Roman" w:eastAsia="標楷體" w:hAnsi="Times New Roman" w:hint="eastAsia"/>
          <w:sz w:val="28"/>
          <w:lang w:eastAsia="zh-TW"/>
        </w:rPr>
      </w:pPr>
      <w:r w:rsidRPr="00CD1F61">
        <w:rPr>
          <w:rFonts w:ascii="Times New Roman" w:eastAsia="標楷體" w:hAnsi="Times New Roman"/>
          <w:sz w:val="28"/>
          <w:lang w:eastAsia="zh-TW"/>
        </w:rPr>
        <w:lastRenderedPageBreak/>
        <w:t>自</w:t>
      </w:r>
      <w:r w:rsidRPr="00CD1F61">
        <w:rPr>
          <w:rFonts w:ascii="Times New Roman" w:eastAsia="標楷體" w:hAnsi="Times New Roman"/>
          <w:sz w:val="28"/>
          <w:lang w:eastAsia="zh-TW"/>
        </w:rPr>
        <w:t xml:space="preserve"> Freeman</w:t>
      </w:r>
      <w:r w:rsidRPr="00CD1F61">
        <w:rPr>
          <w:rFonts w:ascii="Times New Roman" w:eastAsia="標楷體" w:hAnsi="Times New Roman"/>
          <w:sz w:val="28"/>
          <w:lang w:eastAsia="zh-TW"/>
        </w:rPr>
        <w:t>（</w:t>
      </w:r>
      <w:r w:rsidRPr="00CD1F61">
        <w:rPr>
          <w:rFonts w:ascii="Times New Roman" w:eastAsia="標楷體" w:hAnsi="Times New Roman"/>
          <w:sz w:val="28"/>
          <w:lang w:eastAsia="zh-TW"/>
        </w:rPr>
        <w:t>1984</w:t>
      </w:r>
      <w:r w:rsidRPr="00CD1F61">
        <w:rPr>
          <w:rFonts w:ascii="Times New Roman" w:eastAsia="標楷體" w:hAnsi="Times New Roman"/>
          <w:sz w:val="28"/>
          <w:lang w:eastAsia="zh-TW"/>
        </w:rPr>
        <w:t>）提出利害關係人理論以來，企業目標不再僅追求利潤極大化，而須兼顧對環境與社會的影響。聯合國全球盟約（</w:t>
      </w:r>
      <w:r w:rsidRPr="00CD1F61">
        <w:rPr>
          <w:rFonts w:ascii="Times New Roman" w:eastAsia="標楷體" w:hAnsi="Times New Roman"/>
          <w:sz w:val="28"/>
          <w:lang w:eastAsia="zh-TW"/>
        </w:rPr>
        <w:t>1999</w:t>
      </w:r>
      <w:r w:rsidRPr="00CD1F61">
        <w:rPr>
          <w:rFonts w:ascii="Times New Roman" w:eastAsia="標楷體" w:hAnsi="Times New Roman"/>
          <w:sz w:val="28"/>
          <w:lang w:eastAsia="zh-TW"/>
        </w:rPr>
        <w:t>）與永續發展目標（</w:t>
      </w:r>
      <w:r w:rsidRPr="00CD1F61">
        <w:rPr>
          <w:rFonts w:ascii="Times New Roman" w:eastAsia="標楷體" w:hAnsi="Times New Roman"/>
          <w:sz w:val="28"/>
          <w:lang w:eastAsia="zh-TW"/>
        </w:rPr>
        <w:t>SDGs, 2016</w:t>
      </w:r>
      <w:r w:rsidRPr="00CD1F61">
        <w:rPr>
          <w:rFonts w:ascii="Times New Roman" w:eastAsia="標楷體" w:hAnsi="Times New Roman"/>
          <w:sz w:val="28"/>
          <w:lang w:eastAsia="zh-TW"/>
        </w:rPr>
        <w:t>）進一步將水資源（</w:t>
      </w:r>
      <w:r w:rsidRPr="00CD1F61">
        <w:rPr>
          <w:rFonts w:ascii="Times New Roman" w:eastAsia="標楷體" w:hAnsi="Times New Roman"/>
          <w:sz w:val="28"/>
          <w:lang w:eastAsia="zh-TW"/>
        </w:rPr>
        <w:t>SDG 6</w:t>
      </w:r>
      <w:r w:rsidRPr="00CD1F61">
        <w:rPr>
          <w:rFonts w:ascii="Times New Roman" w:eastAsia="標楷體" w:hAnsi="Times New Roman"/>
          <w:sz w:val="28"/>
          <w:lang w:eastAsia="zh-TW"/>
        </w:rPr>
        <w:t>）與可負擔潔淨能源（</w:t>
      </w:r>
      <w:r w:rsidRPr="00CD1F61">
        <w:rPr>
          <w:rFonts w:ascii="Times New Roman" w:eastAsia="標楷體" w:hAnsi="Times New Roman"/>
          <w:sz w:val="28"/>
          <w:lang w:eastAsia="zh-TW"/>
        </w:rPr>
        <w:t>SDG 7</w:t>
      </w:r>
      <w:r w:rsidRPr="00CD1F61">
        <w:rPr>
          <w:rFonts w:ascii="Times New Roman" w:eastAsia="標楷體" w:hAnsi="Times New Roman"/>
          <w:sz w:val="28"/>
          <w:lang w:eastAsia="zh-TW"/>
        </w:rPr>
        <w:t>）列</w:t>
      </w:r>
      <w:r w:rsidRPr="00CD1F61">
        <w:rPr>
          <w:rFonts w:ascii="Times New Roman" w:eastAsia="標楷體" w:hAnsi="Times New Roman"/>
          <w:sz w:val="28"/>
          <w:lang w:eastAsia="zh-TW"/>
        </w:rPr>
        <w:t>為核心議題，帶動企業揭露用水與用電資訊並投入資源循環。</w:t>
      </w:r>
    </w:p>
    <w:p w:rsidR="00A9276F" w:rsidRPr="00CD1F61" w:rsidRDefault="00CD1F61">
      <w:pPr>
        <w:spacing w:before="240" w:after="120"/>
        <w:rPr>
          <w:rFonts w:ascii="Times New Roman" w:eastAsia="標楷體" w:hAnsi="Times New Roman" w:hint="eastAsia"/>
          <w:sz w:val="28"/>
          <w:lang w:eastAsia="zh-TW"/>
        </w:rPr>
      </w:pPr>
      <w:r w:rsidRPr="00CD1F61">
        <w:rPr>
          <w:rFonts w:ascii="Times New Roman" w:eastAsia="標楷體" w:hAnsi="Times New Roman"/>
          <w:sz w:val="28"/>
          <w:lang w:eastAsia="zh-TW"/>
        </w:rPr>
        <w:t>2-2</w:t>
      </w:r>
      <w:r w:rsidRPr="00CD1F61">
        <w:rPr>
          <w:rFonts w:ascii="Times New Roman" w:eastAsia="標楷體" w:hAnsi="Times New Roman"/>
          <w:sz w:val="28"/>
          <w:lang w:eastAsia="zh-TW"/>
        </w:rPr>
        <w:t xml:space="preserve">　水資源管理與財務績效</w:t>
      </w:r>
    </w:p>
    <w:p w:rsidR="00A9276F" w:rsidRPr="00CD1F61" w:rsidRDefault="00CD1F61">
      <w:pPr>
        <w:spacing w:after="80" w:line="360" w:lineRule="auto"/>
        <w:ind w:firstLine="480"/>
        <w:rPr>
          <w:rFonts w:ascii="Times New Roman" w:eastAsia="標楷體" w:hAnsi="Times New Roman" w:hint="eastAsia"/>
          <w:sz w:val="28"/>
          <w:lang w:eastAsia="zh-TW"/>
        </w:rPr>
      </w:pPr>
      <w:r w:rsidRPr="00CD1F61">
        <w:rPr>
          <w:rFonts w:ascii="Times New Roman" w:eastAsia="標楷體" w:hAnsi="Times New Roman"/>
          <w:sz w:val="28"/>
          <w:lang w:eastAsia="zh-TW"/>
        </w:rPr>
        <w:t>資源基礎觀點（</w:t>
      </w:r>
      <w:r w:rsidRPr="00CD1F61">
        <w:rPr>
          <w:rFonts w:ascii="Times New Roman" w:eastAsia="標楷體" w:hAnsi="Times New Roman"/>
          <w:sz w:val="28"/>
          <w:lang w:eastAsia="zh-TW"/>
        </w:rPr>
        <w:t>Resource-Based View</w:t>
      </w:r>
      <w:r w:rsidRPr="00CD1F61">
        <w:rPr>
          <w:rFonts w:ascii="Times New Roman" w:eastAsia="標楷體" w:hAnsi="Times New Roman"/>
          <w:sz w:val="28"/>
          <w:lang w:eastAsia="zh-TW"/>
        </w:rPr>
        <w:t>）主張，稀缺且不易模仿的資源能形成競爭優勢。製程用水回收可降低取水與廢水處理成本，並提升缺水風險下的營運韌性。過往文獻（如</w:t>
      </w:r>
      <w:r w:rsidRPr="00CD1F61">
        <w:rPr>
          <w:rFonts w:ascii="Times New Roman" w:eastAsia="標楷體" w:hAnsi="Times New Roman"/>
          <w:sz w:val="28"/>
          <w:lang w:eastAsia="zh-TW"/>
        </w:rPr>
        <w:t xml:space="preserve"> Russo &amp; Fouts, 1997</w:t>
      </w:r>
      <w:r w:rsidRPr="00CD1F61">
        <w:rPr>
          <w:rFonts w:ascii="Times New Roman" w:eastAsia="標楷體" w:hAnsi="Times New Roman"/>
          <w:sz w:val="28"/>
          <w:lang w:eastAsia="zh-TW"/>
        </w:rPr>
        <w:t>；</w:t>
      </w:r>
      <w:r w:rsidRPr="00CD1F61">
        <w:rPr>
          <w:rFonts w:ascii="Times New Roman" w:eastAsia="標楷體" w:hAnsi="Times New Roman"/>
          <w:sz w:val="28"/>
          <w:lang w:eastAsia="zh-TW"/>
        </w:rPr>
        <w:t>King &amp; Lenox, 2002</w:t>
      </w:r>
      <w:r w:rsidRPr="00CD1F61">
        <w:rPr>
          <w:rFonts w:ascii="Times New Roman" w:eastAsia="標楷體" w:hAnsi="Times New Roman"/>
          <w:sz w:val="28"/>
          <w:lang w:eastAsia="zh-TW"/>
        </w:rPr>
        <w:t>）指出良好的環境管理與財務績效正相關。據此提出：</w:t>
      </w:r>
      <w:r w:rsidRPr="00CD1F61">
        <w:rPr>
          <w:rFonts w:ascii="Times New Roman" w:eastAsia="標楷體" w:hAnsi="Times New Roman"/>
          <w:sz w:val="28"/>
          <w:lang w:eastAsia="zh-TW"/>
        </w:rPr>
        <w:br/>
        <w:t>H1</w:t>
      </w:r>
      <w:r w:rsidRPr="00CD1F61">
        <w:rPr>
          <w:rFonts w:ascii="Times New Roman" w:eastAsia="標楷體" w:hAnsi="Times New Roman"/>
          <w:sz w:val="28"/>
          <w:lang w:eastAsia="zh-TW"/>
        </w:rPr>
        <w:t>：水資源管理（水回收率）愈高，公司價值愈高、營運成本愈低。</w:t>
      </w:r>
    </w:p>
    <w:p w:rsidR="00A9276F" w:rsidRPr="00CD1F61" w:rsidRDefault="00CD1F61">
      <w:pPr>
        <w:spacing w:before="240" w:after="120"/>
        <w:rPr>
          <w:rFonts w:ascii="Times New Roman" w:eastAsia="標楷體" w:hAnsi="Times New Roman" w:hint="eastAsia"/>
          <w:sz w:val="28"/>
          <w:lang w:eastAsia="zh-TW"/>
        </w:rPr>
      </w:pPr>
      <w:r w:rsidRPr="00CD1F61">
        <w:rPr>
          <w:rFonts w:ascii="Times New Roman" w:eastAsia="標楷體" w:hAnsi="Times New Roman"/>
          <w:sz w:val="28"/>
          <w:lang w:eastAsia="zh-TW"/>
        </w:rPr>
        <w:t>2-3</w:t>
      </w:r>
      <w:r w:rsidRPr="00CD1F61">
        <w:rPr>
          <w:rFonts w:ascii="Times New Roman" w:eastAsia="標楷體" w:hAnsi="Times New Roman"/>
          <w:sz w:val="28"/>
          <w:lang w:eastAsia="zh-TW"/>
        </w:rPr>
        <w:t xml:space="preserve">　再生能源使用與公司價值</w:t>
      </w:r>
    </w:p>
    <w:p w:rsidR="00A9276F" w:rsidRPr="00CD1F61" w:rsidRDefault="00CD1F61">
      <w:pPr>
        <w:spacing w:after="80" w:line="360" w:lineRule="auto"/>
        <w:ind w:firstLine="480"/>
        <w:rPr>
          <w:rFonts w:ascii="Times New Roman" w:eastAsia="標楷體" w:hAnsi="Times New Roman" w:hint="eastAsia"/>
          <w:sz w:val="28"/>
          <w:lang w:eastAsia="zh-TW"/>
        </w:rPr>
      </w:pPr>
      <w:r w:rsidRPr="00CD1F61">
        <w:rPr>
          <w:rFonts w:ascii="Times New Roman" w:eastAsia="標楷體" w:hAnsi="Times New Roman"/>
          <w:sz w:val="28"/>
          <w:lang w:eastAsia="zh-TW"/>
        </w:rPr>
        <w:t>在</w:t>
      </w:r>
      <w:r w:rsidRPr="00CD1F61">
        <w:rPr>
          <w:rFonts w:ascii="Times New Roman" w:eastAsia="標楷體" w:hAnsi="Times New Roman"/>
          <w:sz w:val="28"/>
          <w:lang w:eastAsia="zh-TW"/>
        </w:rPr>
        <w:t xml:space="preserve"> RE100 </w:t>
      </w:r>
      <w:r w:rsidRPr="00CD1F61">
        <w:rPr>
          <w:rFonts w:ascii="Times New Roman" w:eastAsia="標楷體" w:hAnsi="Times New Roman"/>
          <w:sz w:val="28"/>
          <w:lang w:eastAsia="zh-TW"/>
        </w:rPr>
        <w:t>與碳定價趨勢</w:t>
      </w:r>
      <w:r w:rsidRPr="00CD1F61">
        <w:rPr>
          <w:rFonts w:ascii="Times New Roman" w:eastAsia="標楷體" w:hAnsi="Times New Roman"/>
          <w:sz w:val="28"/>
          <w:lang w:eastAsia="zh-TW"/>
        </w:rPr>
        <w:t>下，導入綠電可對沖電價與碳成本風險，並向市場傳遞正向的環境訊號。惟綠電導入初期常伴隨較高的電力採購或建置成本，短期對費用率的影響方向未必為負。</w:t>
      </w:r>
    </w:p>
    <w:p w:rsidR="00A9276F" w:rsidRPr="00CD1F61" w:rsidRDefault="00CD1F61">
      <w:pPr>
        <w:spacing w:before="240" w:after="120"/>
        <w:rPr>
          <w:rFonts w:ascii="Times New Roman" w:eastAsia="標楷體" w:hAnsi="Times New Roman" w:hint="eastAsia"/>
          <w:sz w:val="28"/>
          <w:lang w:eastAsia="zh-TW"/>
        </w:rPr>
      </w:pPr>
      <w:r w:rsidRPr="00CD1F61">
        <w:rPr>
          <w:rFonts w:ascii="Times New Roman" w:eastAsia="標楷體" w:hAnsi="Times New Roman"/>
          <w:sz w:val="28"/>
          <w:lang w:eastAsia="zh-TW"/>
        </w:rPr>
        <w:t>2-4</w:t>
      </w:r>
      <w:r w:rsidRPr="00CD1F61">
        <w:rPr>
          <w:rFonts w:ascii="Times New Roman" w:eastAsia="標楷體" w:hAnsi="Times New Roman"/>
          <w:sz w:val="28"/>
          <w:lang w:eastAsia="zh-TW"/>
        </w:rPr>
        <w:t xml:space="preserve">　水能互補綜效與資本支出時間落差</w:t>
      </w:r>
    </w:p>
    <w:p w:rsidR="00A9276F" w:rsidRPr="00CD1F61" w:rsidRDefault="00CD1F61">
      <w:pPr>
        <w:spacing w:after="80" w:line="360" w:lineRule="auto"/>
        <w:ind w:firstLine="480"/>
        <w:rPr>
          <w:rFonts w:ascii="Times New Roman" w:eastAsia="標楷體" w:hAnsi="Times New Roman" w:hint="eastAsia"/>
          <w:sz w:val="28"/>
        </w:rPr>
      </w:pPr>
      <w:r w:rsidRPr="00CD1F61">
        <w:rPr>
          <w:rFonts w:ascii="Times New Roman" w:eastAsia="標楷體" w:hAnsi="Times New Roman"/>
          <w:sz w:val="28"/>
          <w:lang w:eastAsia="zh-TW"/>
        </w:rPr>
        <w:t>水處理（如再生水、廢水回收）本身為高耗能程序，而再生能源可支應水處理設備之電力需求；兩者在製程上相互支援，可能產生綜效。</w:t>
      </w:r>
      <w:r w:rsidRPr="00CD1F61">
        <w:rPr>
          <w:rFonts w:ascii="Times New Roman" w:eastAsia="標楷體" w:hAnsi="Times New Roman"/>
          <w:sz w:val="28"/>
        </w:rPr>
        <w:t>此外，水電設備屬長期資產，其專項資本支出於建置期造成折舊與費用上升，須待完工啟用後方能發酵，呈現先蝕後揚的時間落差。據此提出：</w:t>
      </w:r>
      <w:r w:rsidRPr="00CD1F61">
        <w:rPr>
          <w:rFonts w:ascii="Times New Roman" w:eastAsia="標楷體" w:hAnsi="Times New Roman"/>
          <w:sz w:val="28"/>
        </w:rPr>
        <w:br/>
      </w:r>
      <w:r w:rsidRPr="00CD1F61">
        <w:rPr>
          <w:rFonts w:ascii="Times New Roman" w:eastAsia="標楷體" w:hAnsi="Times New Roman"/>
          <w:sz w:val="28"/>
        </w:rPr>
        <w:lastRenderedPageBreak/>
        <w:t>H2</w:t>
      </w:r>
      <w:r w:rsidRPr="00CD1F61">
        <w:rPr>
          <w:rFonts w:ascii="Times New Roman" w:eastAsia="標楷體" w:hAnsi="Times New Roman"/>
          <w:sz w:val="28"/>
        </w:rPr>
        <w:t>：企業同時投入水資源管理與再生能源，具正向的水能互補綜效。</w:t>
      </w:r>
      <w:r w:rsidRPr="00CD1F61">
        <w:rPr>
          <w:rFonts w:ascii="Times New Roman" w:eastAsia="標楷體" w:hAnsi="Times New Roman"/>
          <w:sz w:val="28"/>
        </w:rPr>
        <w:br/>
      </w:r>
      <w:r w:rsidRPr="00CD1F61">
        <w:rPr>
          <w:rFonts w:ascii="Times New Roman" w:eastAsia="標楷體" w:hAnsi="Times New Roman"/>
          <w:sz w:val="28"/>
        </w:rPr>
        <w:t>H3</w:t>
      </w:r>
      <w:r w:rsidRPr="00CD1F61">
        <w:rPr>
          <w:rFonts w:ascii="Times New Roman" w:eastAsia="標楷體" w:hAnsi="Times New Roman"/>
          <w:sz w:val="28"/>
        </w:rPr>
        <w:t>：水電設備專項資本支出對財務績效具時間落差（遞延期）效應。</w:t>
      </w:r>
    </w:p>
    <w:p w:rsidR="00A9276F" w:rsidRPr="00CD1F61" w:rsidRDefault="00CD1F61">
      <w:pPr>
        <w:spacing w:before="240" w:after="120"/>
        <w:rPr>
          <w:rFonts w:ascii="Times New Roman" w:eastAsia="標楷體" w:hAnsi="Times New Roman" w:hint="eastAsia"/>
          <w:sz w:val="28"/>
        </w:rPr>
      </w:pPr>
      <w:r w:rsidRPr="00CD1F61">
        <w:rPr>
          <w:rFonts w:ascii="Times New Roman" w:eastAsia="標楷體" w:hAnsi="Times New Roman"/>
          <w:sz w:val="28"/>
        </w:rPr>
        <w:t>第三章　研究方法</w:t>
      </w:r>
    </w:p>
    <w:p w:rsidR="00A9276F" w:rsidRPr="00CD1F61" w:rsidRDefault="00CD1F61">
      <w:pPr>
        <w:spacing w:before="240" w:after="120"/>
        <w:rPr>
          <w:rFonts w:ascii="Times New Roman" w:eastAsia="標楷體" w:hAnsi="Times New Roman" w:hint="eastAsia"/>
          <w:sz w:val="28"/>
        </w:rPr>
      </w:pPr>
      <w:r w:rsidRPr="00CD1F61">
        <w:rPr>
          <w:rFonts w:ascii="Times New Roman" w:eastAsia="標楷體" w:hAnsi="Times New Roman"/>
          <w:sz w:val="28"/>
        </w:rPr>
        <w:t>3-1</w:t>
      </w:r>
      <w:r w:rsidRPr="00CD1F61">
        <w:rPr>
          <w:rFonts w:ascii="Times New Roman" w:eastAsia="標楷體" w:hAnsi="Times New Roman"/>
          <w:sz w:val="28"/>
        </w:rPr>
        <w:t xml:space="preserve">　資料來源與研究樣本</w:t>
      </w:r>
    </w:p>
    <w:p w:rsidR="00A9276F" w:rsidRPr="00CD1F61" w:rsidRDefault="00CD1F61">
      <w:pPr>
        <w:spacing w:after="80" w:line="360" w:lineRule="auto"/>
        <w:ind w:firstLine="480"/>
        <w:rPr>
          <w:rFonts w:ascii="Times New Roman" w:eastAsia="標楷體" w:hAnsi="Times New Roman" w:hint="eastAsia"/>
          <w:sz w:val="28"/>
        </w:rPr>
      </w:pPr>
      <w:r w:rsidRPr="00CD1F61">
        <w:rPr>
          <w:rFonts w:ascii="Times New Roman" w:eastAsia="標楷體" w:hAnsi="Times New Roman"/>
          <w:sz w:val="28"/>
        </w:rPr>
        <w:t>本研究資料取自台灣經濟新報（</w:t>
      </w:r>
      <w:r w:rsidRPr="00CD1F61">
        <w:rPr>
          <w:rFonts w:ascii="Times New Roman" w:eastAsia="標楷體" w:hAnsi="Times New Roman"/>
          <w:sz w:val="28"/>
        </w:rPr>
        <w:t>TEJ</w:t>
      </w:r>
      <w:r w:rsidRPr="00CD1F61">
        <w:rPr>
          <w:rFonts w:ascii="Times New Roman" w:eastAsia="標楷體" w:hAnsi="Times New Roman"/>
          <w:sz w:val="28"/>
        </w:rPr>
        <w:t>）資料庫，包含</w:t>
      </w:r>
      <w:r w:rsidRPr="00CD1F61">
        <w:rPr>
          <w:rFonts w:ascii="Times New Roman" w:eastAsia="標楷體" w:hAnsi="Times New Roman"/>
          <w:sz w:val="28"/>
        </w:rPr>
        <w:t xml:space="preserve"> TESG </w:t>
      </w:r>
      <w:r w:rsidRPr="00CD1F61">
        <w:rPr>
          <w:rFonts w:ascii="Times New Roman" w:eastAsia="標楷體" w:hAnsi="Times New Roman"/>
          <w:sz w:val="28"/>
        </w:rPr>
        <w:t>永續資料集之「企業用水量」與「企業使用綠電情形」、</w:t>
      </w:r>
      <w:r w:rsidRPr="00CD1F61">
        <w:rPr>
          <w:rFonts w:ascii="Times New Roman" w:eastAsia="標楷體" w:hAnsi="Times New Roman"/>
          <w:sz w:val="28"/>
        </w:rPr>
        <w:t xml:space="preserve">IFRS </w:t>
      </w:r>
      <w:r w:rsidRPr="00CD1F61">
        <w:rPr>
          <w:rFonts w:ascii="Times New Roman" w:eastAsia="標楷體" w:hAnsi="Times New Roman"/>
          <w:sz w:val="28"/>
        </w:rPr>
        <w:t>財務報表之財務比率與資產負債表明細，以及企業基本資料。以「證券代碼」與「西元年份」為主鍵合併為年度追蹤資料。由於用水資料自</w:t>
      </w:r>
      <w:r w:rsidRPr="00CD1F61">
        <w:rPr>
          <w:rFonts w:ascii="Times New Roman" w:eastAsia="標楷體" w:hAnsi="Times New Roman"/>
          <w:sz w:val="28"/>
        </w:rPr>
        <w:t xml:space="preserve"> 2013 </w:t>
      </w:r>
      <w:r w:rsidRPr="00CD1F61">
        <w:rPr>
          <w:rFonts w:ascii="Times New Roman" w:eastAsia="標楷體" w:hAnsi="Times New Roman"/>
          <w:sz w:val="28"/>
        </w:rPr>
        <w:t>年、綠電資料自</w:t>
      </w:r>
      <w:r w:rsidRPr="00CD1F61">
        <w:rPr>
          <w:rFonts w:ascii="Times New Roman" w:eastAsia="標楷體" w:hAnsi="Times New Roman"/>
          <w:sz w:val="28"/>
        </w:rPr>
        <w:t xml:space="preserve"> 2021 </w:t>
      </w:r>
      <w:r w:rsidRPr="00CD1F61">
        <w:rPr>
          <w:rFonts w:ascii="Times New Roman" w:eastAsia="標楷體" w:hAnsi="Times New Roman"/>
          <w:sz w:val="28"/>
        </w:rPr>
        <w:t>年起收錄，研究期間設定為</w:t>
      </w:r>
      <w:r w:rsidRPr="00CD1F61">
        <w:rPr>
          <w:rFonts w:ascii="Times New Roman" w:eastAsia="標楷體" w:hAnsi="Times New Roman"/>
          <w:sz w:val="28"/>
        </w:rPr>
        <w:t xml:space="preserve"> 2013–2024 </w:t>
      </w:r>
      <w:r w:rsidRPr="00CD1F61">
        <w:rPr>
          <w:rFonts w:ascii="Times New Roman" w:eastAsia="標楷體" w:hAnsi="Times New Roman"/>
          <w:sz w:val="28"/>
        </w:rPr>
        <w:t>年，並排除金融業、剔除資料異常（企業年齡負值）之觀測。主樣本鎖定用水揭露較充</w:t>
      </w:r>
      <w:r w:rsidRPr="00CD1F61">
        <w:rPr>
          <w:rFonts w:ascii="Times New Roman" w:eastAsia="標楷體" w:hAnsi="Times New Roman"/>
          <w:sz w:val="28"/>
        </w:rPr>
        <w:t>分之半導體、電子零組件與光電產業，計</w:t>
      </w:r>
      <w:r w:rsidRPr="00CD1F61">
        <w:rPr>
          <w:rFonts w:ascii="Times New Roman" w:eastAsia="標楷體" w:hAnsi="Times New Roman"/>
          <w:sz w:val="28"/>
        </w:rPr>
        <w:t xml:space="preserve"> 758 </w:t>
      </w:r>
      <w:r w:rsidRPr="00CD1F61">
        <w:rPr>
          <w:rFonts w:ascii="Times New Roman" w:eastAsia="標楷體" w:hAnsi="Times New Roman"/>
          <w:sz w:val="28"/>
        </w:rPr>
        <w:t>家公司、</w:t>
      </w:r>
      <w:r w:rsidRPr="00CD1F61">
        <w:rPr>
          <w:rFonts w:ascii="Times New Roman" w:eastAsia="標楷體" w:hAnsi="Times New Roman"/>
          <w:sz w:val="28"/>
        </w:rPr>
        <w:t xml:space="preserve">7473 </w:t>
      </w:r>
      <w:r w:rsidRPr="00CD1F61">
        <w:rPr>
          <w:rFonts w:ascii="Times New Roman" w:eastAsia="標楷體" w:hAnsi="Times New Roman"/>
          <w:sz w:val="28"/>
        </w:rPr>
        <w:t>個公司</w:t>
      </w:r>
      <w:r w:rsidRPr="00CD1F61">
        <w:rPr>
          <w:rFonts w:ascii="Times New Roman" w:eastAsia="標楷體" w:hAnsi="Times New Roman"/>
          <w:sz w:val="28"/>
        </w:rPr>
        <w:t>-</w:t>
      </w:r>
      <w:r w:rsidRPr="00CD1F61">
        <w:rPr>
          <w:rFonts w:ascii="Times New Roman" w:eastAsia="標楷體" w:hAnsi="Times New Roman"/>
          <w:sz w:val="28"/>
        </w:rPr>
        <w:t>年觀測；惟因水與綠電揭露並非全面，實際進入迴歸之有效觀測數視變數完整性而定（詳見各表）。</w:t>
      </w:r>
    </w:p>
    <w:p w:rsidR="00A9276F" w:rsidRPr="00CD1F61" w:rsidRDefault="00CD1F61">
      <w:pPr>
        <w:spacing w:before="240" w:after="120"/>
        <w:rPr>
          <w:rFonts w:ascii="Times New Roman" w:eastAsia="標楷體" w:hAnsi="Times New Roman" w:hint="eastAsia"/>
          <w:sz w:val="28"/>
        </w:rPr>
      </w:pPr>
      <w:r w:rsidRPr="00CD1F61">
        <w:rPr>
          <w:rFonts w:ascii="Times New Roman" w:eastAsia="標楷體" w:hAnsi="Times New Roman"/>
          <w:sz w:val="28"/>
        </w:rPr>
        <w:t>3-2</w:t>
      </w:r>
      <w:r w:rsidRPr="00CD1F61">
        <w:rPr>
          <w:rFonts w:ascii="Times New Roman" w:eastAsia="標楷體" w:hAnsi="Times New Roman"/>
          <w:sz w:val="28"/>
        </w:rPr>
        <w:t xml:space="preserve">　變數定義</w:t>
      </w:r>
    </w:p>
    <w:p w:rsidR="00A9276F" w:rsidRPr="00CD1F61" w:rsidRDefault="00CD1F61">
      <w:pPr>
        <w:spacing w:before="240" w:after="120"/>
        <w:rPr>
          <w:rFonts w:ascii="Times New Roman" w:eastAsia="標楷體" w:hAnsi="Times New Roman" w:hint="eastAsia"/>
          <w:sz w:val="28"/>
        </w:rPr>
      </w:pPr>
      <w:r w:rsidRPr="00CD1F61">
        <w:rPr>
          <w:rFonts w:ascii="Times New Roman" w:eastAsia="標楷體" w:hAnsi="Times New Roman"/>
          <w:sz w:val="28"/>
        </w:rPr>
        <w:t>3-2-1</w:t>
      </w:r>
      <w:r w:rsidRPr="00CD1F61">
        <w:rPr>
          <w:rFonts w:ascii="Times New Roman" w:eastAsia="標楷體" w:hAnsi="Times New Roman"/>
          <w:sz w:val="28"/>
        </w:rPr>
        <w:t xml:space="preserve">　自變數</w:t>
      </w:r>
    </w:p>
    <w:p w:rsidR="00A9276F" w:rsidRPr="00CD1F61" w:rsidRDefault="00CD1F61">
      <w:pPr>
        <w:spacing w:after="80" w:line="360" w:lineRule="auto"/>
        <w:ind w:firstLine="480"/>
        <w:rPr>
          <w:rFonts w:ascii="Times New Roman" w:eastAsia="標楷體" w:hAnsi="Times New Roman" w:hint="eastAsia"/>
          <w:sz w:val="28"/>
        </w:rPr>
      </w:pPr>
      <w:r w:rsidRPr="00CD1F61">
        <w:rPr>
          <w:rFonts w:ascii="Times New Roman" w:eastAsia="標楷體" w:hAnsi="Times New Roman"/>
          <w:sz w:val="28"/>
        </w:rPr>
        <w:t>水資源管理（</w:t>
      </w:r>
      <w:r w:rsidRPr="00CD1F61">
        <w:rPr>
          <w:rFonts w:ascii="Times New Roman" w:eastAsia="標楷體" w:hAnsi="Times New Roman"/>
          <w:sz w:val="28"/>
        </w:rPr>
        <w:t>Water</w:t>
      </w:r>
      <w:r w:rsidRPr="00CD1F61">
        <w:rPr>
          <w:rFonts w:ascii="Times New Roman" w:eastAsia="標楷體" w:hAnsi="Times New Roman"/>
          <w:sz w:val="28"/>
        </w:rPr>
        <w:t>）以「水回收率</w:t>
      </w:r>
      <w:r w:rsidRPr="00CD1F61">
        <w:rPr>
          <w:rFonts w:ascii="Times New Roman" w:eastAsia="標楷體" w:hAnsi="Times New Roman"/>
          <w:sz w:val="28"/>
        </w:rPr>
        <w:t>(%)</w:t>
      </w:r>
      <w:r w:rsidRPr="00CD1F61">
        <w:rPr>
          <w:rFonts w:ascii="Times New Roman" w:eastAsia="標楷體" w:hAnsi="Times New Roman"/>
          <w:sz w:val="28"/>
        </w:rPr>
        <w:t>」衡量；再生能源使用（</w:t>
      </w:r>
      <w:r w:rsidRPr="00CD1F61">
        <w:rPr>
          <w:rFonts w:ascii="Times New Roman" w:eastAsia="標楷體" w:hAnsi="Times New Roman"/>
          <w:sz w:val="28"/>
        </w:rPr>
        <w:t>Energy</w:t>
      </w:r>
      <w:r w:rsidRPr="00CD1F61">
        <w:rPr>
          <w:rFonts w:ascii="Times New Roman" w:eastAsia="標楷體" w:hAnsi="Times New Roman"/>
          <w:sz w:val="28"/>
        </w:rPr>
        <w:t>）以「再生能源使用率」衡量，</w:t>
      </w:r>
      <w:r w:rsidRPr="00CD1F61">
        <w:rPr>
          <w:rFonts w:ascii="Times New Roman" w:eastAsia="標楷體" w:hAnsi="Times New Roman"/>
          <w:sz w:val="28"/>
        </w:rPr>
        <w:t xml:space="preserve">2021 </w:t>
      </w:r>
      <w:r w:rsidRPr="00CD1F61">
        <w:rPr>
          <w:rFonts w:ascii="Times New Roman" w:eastAsia="標楷體" w:hAnsi="Times New Roman"/>
          <w:sz w:val="28"/>
        </w:rPr>
        <w:t>年前未揭露者視為尚未導入（設為</w:t>
      </w:r>
      <w:r w:rsidRPr="00CD1F61">
        <w:rPr>
          <w:rFonts w:ascii="Times New Roman" w:eastAsia="標楷體" w:hAnsi="Times New Roman"/>
          <w:sz w:val="28"/>
        </w:rPr>
        <w:t xml:space="preserve"> 0</w:t>
      </w:r>
      <w:r w:rsidRPr="00CD1F61">
        <w:rPr>
          <w:rFonts w:ascii="Times New Roman" w:eastAsia="標楷體" w:hAnsi="Times New Roman"/>
          <w:sz w:val="28"/>
        </w:rPr>
        <w:t>），構成不平衡面板。水電設備專項資本支出（</w:t>
      </w:r>
      <w:r w:rsidRPr="00CD1F61">
        <w:rPr>
          <w:rFonts w:ascii="Times New Roman" w:eastAsia="標楷體" w:hAnsi="Times New Roman"/>
          <w:sz w:val="28"/>
        </w:rPr>
        <w:t>CAPEX</w:t>
      </w:r>
      <w:r w:rsidRPr="00CD1F61">
        <w:rPr>
          <w:rFonts w:ascii="Times New Roman" w:eastAsia="標楷體" w:hAnsi="Times New Roman"/>
          <w:sz w:val="28"/>
        </w:rPr>
        <w:t>）以「當期水電設備成本</w:t>
      </w:r>
      <w:r w:rsidRPr="00CD1F61">
        <w:rPr>
          <w:rFonts w:ascii="Times New Roman" w:eastAsia="標楷體" w:hAnsi="Times New Roman"/>
          <w:sz w:val="28"/>
        </w:rPr>
        <w:t>−</w:t>
      </w:r>
      <w:r w:rsidRPr="00CD1F61">
        <w:rPr>
          <w:rFonts w:ascii="Times New Roman" w:eastAsia="標楷體" w:hAnsi="Times New Roman"/>
          <w:sz w:val="28"/>
        </w:rPr>
        <w:t>前期水電設備成本」計算，並取縮尾後之值。</w:t>
      </w:r>
    </w:p>
    <w:p w:rsidR="00A9276F" w:rsidRPr="00CD1F61" w:rsidRDefault="00CD1F61">
      <w:pPr>
        <w:spacing w:before="240" w:after="120"/>
        <w:rPr>
          <w:rFonts w:ascii="Times New Roman" w:eastAsia="標楷體" w:hAnsi="Times New Roman" w:hint="eastAsia"/>
          <w:sz w:val="28"/>
        </w:rPr>
      </w:pPr>
      <w:r w:rsidRPr="00CD1F61">
        <w:rPr>
          <w:rFonts w:ascii="Times New Roman" w:eastAsia="標楷體" w:hAnsi="Times New Roman"/>
          <w:sz w:val="28"/>
        </w:rPr>
        <w:t>3-2-2</w:t>
      </w:r>
      <w:r w:rsidRPr="00CD1F61">
        <w:rPr>
          <w:rFonts w:ascii="Times New Roman" w:eastAsia="標楷體" w:hAnsi="Times New Roman"/>
          <w:sz w:val="28"/>
        </w:rPr>
        <w:t xml:space="preserve">　應變數</w:t>
      </w:r>
    </w:p>
    <w:p w:rsidR="00A9276F" w:rsidRPr="00CD1F61" w:rsidRDefault="00CD1F61">
      <w:pPr>
        <w:spacing w:after="80" w:line="360" w:lineRule="auto"/>
        <w:ind w:firstLine="480"/>
        <w:rPr>
          <w:rFonts w:ascii="Times New Roman" w:eastAsia="標楷體" w:hAnsi="Times New Roman" w:hint="eastAsia"/>
          <w:sz w:val="28"/>
        </w:rPr>
      </w:pPr>
      <w:r w:rsidRPr="00CD1F61">
        <w:rPr>
          <w:rFonts w:ascii="Times New Roman" w:eastAsia="標楷體" w:hAnsi="Times New Roman"/>
          <w:sz w:val="28"/>
        </w:rPr>
        <w:lastRenderedPageBreak/>
        <w:t>公司價值以</w:t>
      </w:r>
      <w:r w:rsidRPr="00CD1F61">
        <w:rPr>
          <w:rFonts w:ascii="Times New Roman" w:eastAsia="標楷體" w:hAnsi="Times New Roman"/>
          <w:sz w:val="28"/>
        </w:rPr>
        <w:t xml:space="preserve"> Tobin's</w:t>
      </w:r>
      <w:r w:rsidRPr="00CD1F61">
        <w:rPr>
          <w:rFonts w:ascii="Times New Roman" w:eastAsia="標楷體" w:hAnsi="Times New Roman"/>
          <w:sz w:val="28"/>
        </w:rPr>
        <w:t xml:space="preserve"> Q </w:t>
      </w:r>
      <w:r w:rsidRPr="00CD1F61">
        <w:rPr>
          <w:rFonts w:ascii="Times New Roman" w:eastAsia="標楷體" w:hAnsi="Times New Roman"/>
          <w:sz w:val="28"/>
        </w:rPr>
        <w:t>衡量，營運成本以營業費用率衡量；兩者皆經前後</w:t>
      </w:r>
      <w:r w:rsidRPr="00CD1F61">
        <w:rPr>
          <w:rFonts w:ascii="Times New Roman" w:eastAsia="標楷體" w:hAnsi="Times New Roman"/>
          <w:sz w:val="28"/>
        </w:rPr>
        <w:t xml:space="preserve"> 1% </w:t>
      </w:r>
      <w:r w:rsidRPr="00CD1F61">
        <w:rPr>
          <w:rFonts w:ascii="Times New Roman" w:eastAsia="標楷體" w:hAnsi="Times New Roman"/>
          <w:sz w:val="28"/>
        </w:rPr>
        <w:t>縮尾（</w:t>
      </w:r>
      <w:r w:rsidRPr="00CD1F61">
        <w:rPr>
          <w:rFonts w:ascii="Times New Roman" w:eastAsia="標楷體" w:hAnsi="Times New Roman"/>
          <w:sz w:val="28"/>
        </w:rPr>
        <w:t>Winsorize</w:t>
      </w:r>
      <w:r w:rsidRPr="00CD1F61">
        <w:rPr>
          <w:rFonts w:ascii="Times New Roman" w:eastAsia="標楷體" w:hAnsi="Times New Roman"/>
          <w:sz w:val="28"/>
        </w:rPr>
        <w:t>）處理，以降低極端值干擾。模型</w:t>
      </w:r>
      <w:r w:rsidRPr="00CD1F61">
        <w:rPr>
          <w:rFonts w:ascii="Times New Roman" w:eastAsia="標楷體" w:hAnsi="Times New Roman"/>
          <w:sz w:val="28"/>
        </w:rPr>
        <w:t xml:space="preserve"> 3 </w:t>
      </w:r>
      <w:r w:rsidRPr="00CD1F61">
        <w:rPr>
          <w:rFonts w:ascii="Times New Roman" w:eastAsia="標楷體" w:hAnsi="Times New Roman"/>
          <w:sz w:val="28"/>
        </w:rPr>
        <w:t>另將應變數向後遞延</w:t>
      </w:r>
      <w:r w:rsidRPr="00CD1F61">
        <w:rPr>
          <w:rFonts w:ascii="Times New Roman" w:eastAsia="標楷體" w:hAnsi="Times New Roman"/>
          <w:sz w:val="28"/>
        </w:rPr>
        <w:t xml:space="preserve"> 1</w:t>
      </w:r>
      <w:r w:rsidRPr="00CD1F61">
        <w:rPr>
          <w:rFonts w:ascii="Times New Roman" w:eastAsia="標楷體" w:hAnsi="Times New Roman"/>
          <w:sz w:val="28"/>
        </w:rPr>
        <w:t>、</w:t>
      </w:r>
      <w:r w:rsidRPr="00CD1F61">
        <w:rPr>
          <w:rFonts w:ascii="Times New Roman" w:eastAsia="標楷體" w:hAnsi="Times New Roman"/>
          <w:sz w:val="28"/>
        </w:rPr>
        <w:t>3</w:t>
      </w:r>
      <w:r w:rsidRPr="00CD1F61">
        <w:rPr>
          <w:rFonts w:ascii="Times New Roman" w:eastAsia="標楷體" w:hAnsi="Times New Roman"/>
          <w:sz w:val="28"/>
        </w:rPr>
        <w:t>、</w:t>
      </w:r>
      <w:r w:rsidRPr="00CD1F61">
        <w:rPr>
          <w:rFonts w:ascii="Times New Roman" w:eastAsia="標楷體" w:hAnsi="Times New Roman"/>
          <w:sz w:val="28"/>
        </w:rPr>
        <w:t xml:space="preserve">5 </w:t>
      </w:r>
      <w:r w:rsidRPr="00CD1F61">
        <w:rPr>
          <w:rFonts w:ascii="Times New Roman" w:eastAsia="標楷體" w:hAnsi="Times New Roman"/>
          <w:sz w:val="28"/>
        </w:rPr>
        <w:t>期（</w:t>
      </w:r>
      <w:r w:rsidRPr="00CD1F61">
        <w:rPr>
          <w:rFonts w:ascii="Times New Roman" w:eastAsia="標楷體" w:hAnsi="Times New Roman"/>
          <w:sz w:val="28"/>
        </w:rPr>
        <w:t>t+k</w:t>
      </w:r>
      <w:r w:rsidRPr="00CD1F61">
        <w:rPr>
          <w:rFonts w:ascii="Times New Roman" w:eastAsia="標楷體" w:hAnsi="Times New Roman"/>
          <w:sz w:val="28"/>
        </w:rPr>
        <w:t>）以檢驗時間落差效應。</w:t>
      </w:r>
    </w:p>
    <w:p w:rsidR="00A9276F" w:rsidRPr="00CD1F61" w:rsidRDefault="00CD1F61">
      <w:pPr>
        <w:spacing w:before="240" w:after="120"/>
        <w:rPr>
          <w:rFonts w:ascii="Times New Roman" w:eastAsia="標楷體" w:hAnsi="Times New Roman" w:hint="eastAsia"/>
          <w:sz w:val="28"/>
        </w:rPr>
      </w:pPr>
      <w:r w:rsidRPr="00CD1F61">
        <w:rPr>
          <w:rFonts w:ascii="Times New Roman" w:eastAsia="標楷體" w:hAnsi="Times New Roman"/>
          <w:sz w:val="28"/>
        </w:rPr>
        <w:t>3-2-3</w:t>
      </w:r>
      <w:r w:rsidRPr="00CD1F61">
        <w:rPr>
          <w:rFonts w:ascii="Times New Roman" w:eastAsia="標楷體" w:hAnsi="Times New Roman"/>
          <w:sz w:val="28"/>
        </w:rPr>
        <w:t xml:space="preserve">　控制變數</w:t>
      </w:r>
    </w:p>
    <w:p w:rsidR="00A9276F" w:rsidRPr="00CD1F61" w:rsidRDefault="00CD1F61">
      <w:pPr>
        <w:spacing w:after="80" w:line="360" w:lineRule="auto"/>
        <w:ind w:firstLine="480"/>
        <w:rPr>
          <w:rFonts w:ascii="Times New Roman" w:eastAsia="標楷體" w:hAnsi="Times New Roman" w:hint="eastAsia"/>
          <w:sz w:val="28"/>
        </w:rPr>
      </w:pPr>
      <w:r w:rsidRPr="00CD1F61">
        <w:rPr>
          <w:rFonts w:ascii="Times New Roman" w:eastAsia="標楷體" w:hAnsi="Times New Roman"/>
          <w:sz w:val="28"/>
        </w:rPr>
        <w:t>控制變數包含：研發費用率（</w:t>
      </w:r>
      <w:r w:rsidRPr="00CD1F61">
        <w:rPr>
          <w:rFonts w:ascii="Times New Roman" w:eastAsia="標楷體" w:hAnsi="Times New Roman"/>
          <w:sz w:val="28"/>
        </w:rPr>
        <w:t>RD</w:t>
      </w:r>
      <w:r w:rsidRPr="00CD1F61">
        <w:rPr>
          <w:rFonts w:ascii="Times New Roman" w:eastAsia="標楷體" w:hAnsi="Times New Roman"/>
          <w:sz w:val="28"/>
        </w:rPr>
        <w:t>，控制技術升級）、公司規模（</w:t>
      </w:r>
      <w:r w:rsidRPr="00CD1F61">
        <w:rPr>
          <w:rFonts w:ascii="Times New Roman" w:eastAsia="標楷體" w:hAnsi="Times New Roman"/>
          <w:sz w:val="28"/>
        </w:rPr>
        <w:t>SIZE</w:t>
      </w:r>
      <w:r w:rsidRPr="00CD1F61">
        <w:rPr>
          <w:rFonts w:ascii="Times New Roman" w:eastAsia="標楷體" w:hAnsi="Times New Roman"/>
          <w:sz w:val="28"/>
        </w:rPr>
        <w:t>，資產總額取自然對數）與負債比率（</w:t>
      </w:r>
      <w:r w:rsidRPr="00CD1F61">
        <w:rPr>
          <w:rFonts w:ascii="Times New Roman" w:eastAsia="標楷體" w:hAnsi="Times New Roman"/>
          <w:sz w:val="28"/>
        </w:rPr>
        <w:t>LEV</w:t>
      </w:r>
      <w:r w:rsidRPr="00CD1F61">
        <w:rPr>
          <w:rFonts w:ascii="Times New Roman" w:eastAsia="標楷體" w:hAnsi="Times New Roman"/>
          <w:sz w:val="28"/>
        </w:rPr>
        <w:t>，控制財務風險）。變數定義彙整如表</w:t>
      </w:r>
      <w:r w:rsidRPr="00CD1F61">
        <w:rPr>
          <w:rFonts w:ascii="Times New Roman" w:eastAsia="標楷體" w:hAnsi="Times New Roman"/>
          <w:sz w:val="28"/>
        </w:rPr>
        <w:t xml:space="preserve"> 1</w:t>
      </w:r>
      <w:r w:rsidRPr="00CD1F61">
        <w:rPr>
          <w:rFonts w:ascii="Times New Roman" w:eastAsia="標楷體" w:hAnsi="Times New Roman"/>
          <w:sz w:val="28"/>
        </w:rPr>
        <w:t>。</w:t>
      </w:r>
    </w:p>
    <w:p w:rsidR="00A9276F" w:rsidRPr="00CD1F61" w:rsidRDefault="00CD1F61">
      <w:pPr>
        <w:spacing w:before="160"/>
        <w:rPr>
          <w:rFonts w:ascii="Times New Roman" w:eastAsia="標楷體" w:hAnsi="Times New Roman" w:hint="eastAsia"/>
          <w:sz w:val="28"/>
        </w:rPr>
      </w:pPr>
      <w:r w:rsidRPr="00CD1F61">
        <w:rPr>
          <w:rFonts w:ascii="Times New Roman" w:eastAsia="標楷體" w:hAnsi="Times New Roman"/>
          <w:sz w:val="28"/>
        </w:rPr>
        <w:t>表</w:t>
      </w:r>
      <w:r w:rsidRPr="00CD1F61">
        <w:rPr>
          <w:rFonts w:ascii="Times New Roman" w:eastAsia="標楷體" w:hAnsi="Times New Roman"/>
          <w:sz w:val="28"/>
        </w:rPr>
        <w:t xml:space="preserve"> 1</w:t>
      </w:r>
      <w:r w:rsidRPr="00CD1F61">
        <w:rPr>
          <w:rFonts w:ascii="Times New Roman" w:eastAsia="標楷體" w:hAnsi="Times New Roman"/>
          <w:sz w:val="28"/>
        </w:rPr>
        <w:t xml:space="preserve">　變數定義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9276F" w:rsidRPr="00CD1F61">
        <w:trPr>
          <w:jc w:val="center"/>
        </w:trPr>
        <w:tc>
          <w:tcPr>
            <w:tcW w:w="2880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類別</w:t>
            </w:r>
          </w:p>
        </w:tc>
        <w:tc>
          <w:tcPr>
            <w:tcW w:w="2880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變數</w:t>
            </w:r>
          </w:p>
        </w:tc>
        <w:tc>
          <w:tcPr>
            <w:tcW w:w="2880" w:type="dxa"/>
          </w:tcPr>
          <w:p w:rsidR="00A9276F" w:rsidRPr="00CD1F61" w:rsidRDefault="00CD1F61">
            <w:pPr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衡量方式</w:t>
            </w:r>
          </w:p>
        </w:tc>
      </w:tr>
      <w:tr w:rsidR="00A9276F" w:rsidRPr="00CD1F61">
        <w:trPr>
          <w:jc w:val="center"/>
        </w:trPr>
        <w:tc>
          <w:tcPr>
            <w:tcW w:w="2880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應變數</w:t>
            </w:r>
          </w:p>
        </w:tc>
        <w:tc>
          <w:tcPr>
            <w:tcW w:w="2880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Tobin's Q</w:t>
            </w:r>
          </w:p>
        </w:tc>
        <w:tc>
          <w:tcPr>
            <w:tcW w:w="2880" w:type="dxa"/>
          </w:tcPr>
          <w:p w:rsidR="00A9276F" w:rsidRPr="00CD1F61" w:rsidRDefault="00CD1F61">
            <w:pPr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公司市值</w:t>
            </w:r>
            <w:r w:rsidRPr="00CD1F61">
              <w:rPr>
                <w:rFonts w:ascii="Times New Roman" w:eastAsia="標楷體" w:hAnsi="Times New Roman"/>
                <w:sz w:val="28"/>
              </w:rPr>
              <w:t>/</w:t>
            </w:r>
            <w:r w:rsidRPr="00CD1F61">
              <w:rPr>
                <w:rFonts w:ascii="Times New Roman" w:eastAsia="標楷體" w:hAnsi="Times New Roman"/>
                <w:sz w:val="28"/>
              </w:rPr>
              <w:t>資產重置成本（縮尾後）</w:t>
            </w:r>
          </w:p>
        </w:tc>
      </w:tr>
      <w:tr w:rsidR="00A9276F" w:rsidRPr="00CD1F61">
        <w:trPr>
          <w:jc w:val="center"/>
        </w:trPr>
        <w:tc>
          <w:tcPr>
            <w:tcW w:w="2880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應變數</w:t>
            </w:r>
          </w:p>
        </w:tc>
        <w:tc>
          <w:tcPr>
            <w:tcW w:w="2880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營業費用率</w:t>
            </w:r>
          </w:p>
        </w:tc>
        <w:tc>
          <w:tcPr>
            <w:tcW w:w="2880" w:type="dxa"/>
          </w:tcPr>
          <w:p w:rsidR="00A9276F" w:rsidRPr="00CD1F61" w:rsidRDefault="00CD1F61">
            <w:pPr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營業費用</w:t>
            </w:r>
            <w:r w:rsidRPr="00CD1F61">
              <w:rPr>
                <w:rFonts w:ascii="Times New Roman" w:eastAsia="標楷體" w:hAnsi="Times New Roman"/>
                <w:sz w:val="28"/>
              </w:rPr>
              <w:t>/</w:t>
            </w:r>
            <w:r w:rsidRPr="00CD1F61">
              <w:rPr>
                <w:rFonts w:ascii="Times New Roman" w:eastAsia="標楷體" w:hAnsi="Times New Roman"/>
                <w:sz w:val="28"/>
              </w:rPr>
              <w:t>營業收入（</w:t>
            </w:r>
            <w:r w:rsidRPr="00CD1F61">
              <w:rPr>
                <w:rFonts w:ascii="Times New Roman" w:eastAsia="標楷體" w:hAnsi="Times New Roman"/>
                <w:sz w:val="28"/>
              </w:rPr>
              <w:t>%</w:t>
            </w:r>
            <w:r w:rsidRPr="00CD1F61">
              <w:rPr>
                <w:rFonts w:ascii="Times New Roman" w:eastAsia="標楷體" w:hAnsi="Times New Roman"/>
                <w:sz w:val="28"/>
              </w:rPr>
              <w:t>，縮尾後）</w:t>
            </w:r>
          </w:p>
        </w:tc>
      </w:tr>
      <w:tr w:rsidR="00A9276F" w:rsidRPr="00CD1F61">
        <w:trPr>
          <w:jc w:val="center"/>
        </w:trPr>
        <w:tc>
          <w:tcPr>
            <w:tcW w:w="2880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自變數</w:t>
            </w:r>
          </w:p>
        </w:tc>
        <w:tc>
          <w:tcPr>
            <w:tcW w:w="2880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Water</w:t>
            </w:r>
          </w:p>
        </w:tc>
        <w:tc>
          <w:tcPr>
            <w:tcW w:w="2880" w:type="dxa"/>
          </w:tcPr>
          <w:p w:rsidR="00A9276F" w:rsidRPr="00CD1F61" w:rsidRDefault="00CD1F61">
            <w:pPr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水回收率</w:t>
            </w:r>
            <w:r w:rsidRPr="00CD1F61">
              <w:rPr>
                <w:rFonts w:ascii="Times New Roman" w:eastAsia="標楷體" w:hAnsi="Times New Roman"/>
                <w:sz w:val="28"/>
              </w:rPr>
              <w:t>(%)</w:t>
            </w:r>
          </w:p>
        </w:tc>
      </w:tr>
      <w:tr w:rsidR="00A9276F" w:rsidRPr="00CD1F61">
        <w:trPr>
          <w:jc w:val="center"/>
        </w:trPr>
        <w:tc>
          <w:tcPr>
            <w:tcW w:w="2880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自變數</w:t>
            </w:r>
          </w:p>
        </w:tc>
        <w:tc>
          <w:tcPr>
            <w:tcW w:w="2880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Energy</w:t>
            </w:r>
          </w:p>
        </w:tc>
        <w:tc>
          <w:tcPr>
            <w:tcW w:w="2880" w:type="dxa"/>
          </w:tcPr>
          <w:p w:rsidR="00A9276F" w:rsidRPr="00CD1F61" w:rsidRDefault="00CD1F61">
            <w:pPr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再生能源使用率（</w:t>
            </w:r>
            <w:r w:rsidRPr="00CD1F61">
              <w:rPr>
                <w:rFonts w:ascii="Times New Roman" w:eastAsia="標楷體" w:hAnsi="Times New Roman"/>
                <w:sz w:val="28"/>
              </w:rPr>
              <w:t xml:space="preserve">2021 </w:t>
            </w:r>
            <w:r w:rsidRPr="00CD1F61">
              <w:rPr>
                <w:rFonts w:ascii="Times New Roman" w:eastAsia="標楷體" w:hAnsi="Times New Roman"/>
                <w:sz w:val="28"/>
              </w:rPr>
              <w:t>前未揭露設為</w:t>
            </w:r>
            <w:r w:rsidRPr="00CD1F61">
              <w:rPr>
                <w:rFonts w:ascii="Times New Roman" w:eastAsia="標楷體" w:hAnsi="Times New Roman"/>
                <w:sz w:val="28"/>
              </w:rPr>
              <w:t xml:space="preserve"> 0</w:t>
            </w:r>
            <w:r w:rsidRPr="00CD1F61">
              <w:rPr>
                <w:rFonts w:ascii="Times New Roman" w:eastAsia="標楷體" w:hAnsi="Times New Roman"/>
                <w:sz w:val="28"/>
              </w:rPr>
              <w:t>）</w:t>
            </w:r>
          </w:p>
        </w:tc>
      </w:tr>
      <w:tr w:rsidR="00A9276F" w:rsidRPr="00CD1F61">
        <w:trPr>
          <w:jc w:val="center"/>
        </w:trPr>
        <w:tc>
          <w:tcPr>
            <w:tcW w:w="2880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自變數</w:t>
            </w:r>
          </w:p>
        </w:tc>
        <w:tc>
          <w:tcPr>
            <w:tcW w:w="2880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Water×Energy</w:t>
            </w:r>
          </w:p>
        </w:tc>
        <w:tc>
          <w:tcPr>
            <w:tcW w:w="2880" w:type="dxa"/>
          </w:tcPr>
          <w:p w:rsidR="00A9276F" w:rsidRPr="00CD1F61" w:rsidRDefault="00CD1F61">
            <w:pPr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水回收率</w:t>
            </w:r>
            <w:r w:rsidRPr="00CD1F61">
              <w:rPr>
                <w:rFonts w:ascii="Times New Roman" w:eastAsia="標楷體" w:hAnsi="Times New Roman"/>
                <w:sz w:val="28"/>
              </w:rPr>
              <w:t xml:space="preserve"> × </w:t>
            </w:r>
            <w:r w:rsidRPr="00CD1F61">
              <w:rPr>
                <w:rFonts w:ascii="Times New Roman" w:eastAsia="標楷體" w:hAnsi="Times New Roman"/>
                <w:sz w:val="28"/>
              </w:rPr>
              <w:t>再生能源使用率（交乘項）</w:t>
            </w:r>
          </w:p>
        </w:tc>
      </w:tr>
      <w:tr w:rsidR="00A9276F" w:rsidRPr="00CD1F61">
        <w:trPr>
          <w:jc w:val="center"/>
        </w:trPr>
        <w:tc>
          <w:tcPr>
            <w:tcW w:w="2880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自變數</w:t>
            </w:r>
          </w:p>
        </w:tc>
        <w:tc>
          <w:tcPr>
            <w:tcW w:w="2880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CAPEX</w:t>
            </w:r>
          </w:p>
        </w:tc>
        <w:tc>
          <w:tcPr>
            <w:tcW w:w="2880" w:type="dxa"/>
          </w:tcPr>
          <w:p w:rsidR="00A9276F" w:rsidRPr="00CD1F61" w:rsidRDefault="00CD1F61">
            <w:pPr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當期</w:t>
            </w:r>
            <w:r w:rsidRPr="00CD1F61">
              <w:rPr>
                <w:rFonts w:ascii="Times New Roman" w:eastAsia="標楷體" w:hAnsi="Times New Roman"/>
                <w:sz w:val="28"/>
              </w:rPr>
              <w:t>−</w:t>
            </w:r>
            <w:r w:rsidRPr="00CD1F61">
              <w:rPr>
                <w:rFonts w:ascii="Times New Roman" w:eastAsia="標楷體" w:hAnsi="Times New Roman"/>
                <w:sz w:val="28"/>
              </w:rPr>
              <w:t>前期水電設備成本（縮尾後）</w:t>
            </w:r>
          </w:p>
        </w:tc>
      </w:tr>
      <w:tr w:rsidR="00A9276F" w:rsidRPr="00CD1F61">
        <w:trPr>
          <w:jc w:val="center"/>
        </w:trPr>
        <w:tc>
          <w:tcPr>
            <w:tcW w:w="2880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控制</w:t>
            </w:r>
          </w:p>
        </w:tc>
        <w:tc>
          <w:tcPr>
            <w:tcW w:w="2880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RD</w:t>
            </w:r>
          </w:p>
        </w:tc>
        <w:tc>
          <w:tcPr>
            <w:tcW w:w="2880" w:type="dxa"/>
          </w:tcPr>
          <w:p w:rsidR="00A9276F" w:rsidRPr="00CD1F61" w:rsidRDefault="00CD1F61">
            <w:pPr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研究發展費用率</w:t>
            </w:r>
          </w:p>
        </w:tc>
      </w:tr>
      <w:tr w:rsidR="00A9276F" w:rsidRPr="00CD1F61">
        <w:trPr>
          <w:jc w:val="center"/>
        </w:trPr>
        <w:tc>
          <w:tcPr>
            <w:tcW w:w="2880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控制</w:t>
            </w:r>
          </w:p>
        </w:tc>
        <w:tc>
          <w:tcPr>
            <w:tcW w:w="2880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SIZE</w:t>
            </w:r>
          </w:p>
        </w:tc>
        <w:tc>
          <w:tcPr>
            <w:tcW w:w="2880" w:type="dxa"/>
          </w:tcPr>
          <w:p w:rsidR="00A9276F" w:rsidRPr="00CD1F61" w:rsidRDefault="00CD1F61">
            <w:pPr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資產總額取自然對數</w:t>
            </w:r>
            <w:r w:rsidRPr="00CD1F61">
              <w:rPr>
                <w:rFonts w:ascii="Times New Roman" w:eastAsia="標楷體" w:hAnsi="Times New Roman"/>
                <w:sz w:val="28"/>
              </w:rPr>
              <w:t xml:space="preserve"> LN(</w:t>
            </w:r>
            <w:r w:rsidRPr="00CD1F61">
              <w:rPr>
                <w:rFonts w:ascii="Times New Roman" w:eastAsia="標楷體" w:hAnsi="Times New Roman"/>
                <w:sz w:val="28"/>
              </w:rPr>
              <w:t>資產總額</w:t>
            </w:r>
            <w:r w:rsidRPr="00CD1F61">
              <w:rPr>
                <w:rFonts w:ascii="Times New Roman" w:eastAsia="標楷體" w:hAnsi="Times New Roman"/>
                <w:sz w:val="28"/>
              </w:rPr>
              <w:t>)</w:t>
            </w:r>
          </w:p>
        </w:tc>
      </w:tr>
      <w:tr w:rsidR="00A9276F" w:rsidRPr="00CD1F61">
        <w:trPr>
          <w:jc w:val="center"/>
        </w:trPr>
        <w:tc>
          <w:tcPr>
            <w:tcW w:w="2880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控制</w:t>
            </w:r>
          </w:p>
        </w:tc>
        <w:tc>
          <w:tcPr>
            <w:tcW w:w="2880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LEV</w:t>
            </w:r>
          </w:p>
        </w:tc>
        <w:tc>
          <w:tcPr>
            <w:tcW w:w="2880" w:type="dxa"/>
          </w:tcPr>
          <w:p w:rsidR="00A9276F" w:rsidRPr="00CD1F61" w:rsidRDefault="00CD1F61">
            <w:pPr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負債比率</w:t>
            </w:r>
            <w:r w:rsidRPr="00CD1F61">
              <w:rPr>
                <w:rFonts w:ascii="Times New Roman" w:eastAsia="標楷體" w:hAnsi="Times New Roman"/>
                <w:sz w:val="28"/>
              </w:rPr>
              <w:t>(%)</w:t>
            </w:r>
          </w:p>
        </w:tc>
      </w:tr>
    </w:tbl>
    <w:p w:rsidR="00A9276F" w:rsidRPr="00CD1F61" w:rsidRDefault="00CD1F61">
      <w:pPr>
        <w:spacing w:before="240" w:after="120"/>
        <w:rPr>
          <w:rFonts w:ascii="Times New Roman" w:eastAsia="標楷體" w:hAnsi="Times New Roman" w:hint="eastAsia"/>
          <w:sz w:val="28"/>
        </w:rPr>
      </w:pPr>
      <w:r w:rsidRPr="00CD1F61">
        <w:rPr>
          <w:rFonts w:ascii="Times New Roman" w:eastAsia="標楷體" w:hAnsi="Times New Roman"/>
          <w:sz w:val="28"/>
        </w:rPr>
        <w:t>3-3</w:t>
      </w:r>
      <w:r w:rsidRPr="00CD1F61">
        <w:rPr>
          <w:rFonts w:ascii="Times New Roman" w:eastAsia="標楷體" w:hAnsi="Times New Roman"/>
          <w:sz w:val="28"/>
        </w:rPr>
        <w:t xml:space="preserve">　研究模型</w:t>
      </w:r>
    </w:p>
    <w:p w:rsidR="00A9276F" w:rsidRPr="00CD1F61" w:rsidRDefault="00CD1F61">
      <w:pPr>
        <w:spacing w:after="80" w:line="360" w:lineRule="auto"/>
        <w:ind w:firstLine="480"/>
        <w:rPr>
          <w:rFonts w:ascii="Times New Roman" w:eastAsia="標楷體" w:hAnsi="Times New Roman" w:hint="eastAsia"/>
          <w:sz w:val="28"/>
        </w:rPr>
      </w:pPr>
      <w:r w:rsidRPr="00CD1F61">
        <w:rPr>
          <w:rFonts w:ascii="Times New Roman" w:eastAsia="標楷體" w:hAnsi="Times New Roman"/>
          <w:sz w:val="28"/>
        </w:rPr>
        <w:t>本研究以雙向固定效果（公司別與年度）面板迴歸估計，標準誤採公司叢集穩健。三個模型設定如下：</w:t>
      </w:r>
    </w:p>
    <w:p w:rsidR="00A9276F" w:rsidRPr="00CD1F61" w:rsidRDefault="00CD1F61">
      <w:pPr>
        <w:ind w:left="480"/>
        <w:rPr>
          <w:rFonts w:ascii="Times New Roman" w:eastAsia="標楷體" w:hAnsi="Times New Roman" w:hint="eastAsia"/>
          <w:sz w:val="28"/>
        </w:rPr>
      </w:pPr>
      <w:r w:rsidRPr="00CD1F61">
        <w:rPr>
          <w:rFonts w:ascii="Times New Roman" w:eastAsia="標楷體" w:hAnsi="Times New Roman"/>
          <w:sz w:val="28"/>
        </w:rPr>
        <w:lastRenderedPageBreak/>
        <w:t>模型</w:t>
      </w:r>
      <w:r w:rsidRPr="00CD1F61">
        <w:rPr>
          <w:rFonts w:ascii="Times New Roman" w:eastAsia="標楷體" w:hAnsi="Times New Roman"/>
          <w:sz w:val="28"/>
        </w:rPr>
        <w:t xml:space="preserve"> </w:t>
      </w:r>
      <w:r w:rsidRPr="00CD1F61">
        <w:rPr>
          <w:rFonts w:ascii="Times New Roman" w:eastAsia="標楷體" w:hAnsi="Times New Roman"/>
          <w:sz w:val="28"/>
        </w:rPr>
        <w:t>1</w:t>
      </w:r>
      <w:r w:rsidRPr="00CD1F61">
        <w:rPr>
          <w:rFonts w:ascii="Times New Roman" w:eastAsia="標楷體" w:hAnsi="Times New Roman"/>
          <w:sz w:val="28"/>
        </w:rPr>
        <w:t>（基礎效應）：</w:t>
      </w:r>
      <w:r w:rsidRPr="00CD1F61">
        <w:rPr>
          <w:rFonts w:ascii="Times New Roman" w:eastAsia="標楷體" w:hAnsi="Times New Roman"/>
          <w:sz w:val="28"/>
        </w:rPr>
        <w:t>Y(i,t)=α+β1·Water+β2·Energy+γ·Controls+ε</w:t>
      </w:r>
    </w:p>
    <w:p w:rsidR="00A9276F" w:rsidRPr="00CD1F61" w:rsidRDefault="00CD1F61">
      <w:pPr>
        <w:ind w:left="480"/>
        <w:rPr>
          <w:rFonts w:ascii="Times New Roman" w:eastAsia="標楷體" w:hAnsi="Times New Roman" w:hint="eastAsia"/>
          <w:sz w:val="28"/>
        </w:rPr>
      </w:pPr>
      <w:r w:rsidRPr="00CD1F61">
        <w:rPr>
          <w:rFonts w:ascii="Times New Roman" w:eastAsia="標楷體" w:hAnsi="Times New Roman"/>
          <w:sz w:val="28"/>
        </w:rPr>
        <w:t>模型</w:t>
      </w:r>
      <w:r w:rsidRPr="00CD1F61">
        <w:rPr>
          <w:rFonts w:ascii="Times New Roman" w:eastAsia="標楷體" w:hAnsi="Times New Roman"/>
          <w:sz w:val="28"/>
        </w:rPr>
        <w:t xml:space="preserve"> 2</w:t>
      </w:r>
      <w:r w:rsidRPr="00CD1F61">
        <w:rPr>
          <w:rFonts w:ascii="Times New Roman" w:eastAsia="標楷體" w:hAnsi="Times New Roman"/>
          <w:sz w:val="28"/>
        </w:rPr>
        <w:t>（水能互補綜效）：</w:t>
      </w:r>
      <w:r w:rsidRPr="00CD1F61">
        <w:rPr>
          <w:rFonts w:ascii="Times New Roman" w:eastAsia="標楷體" w:hAnsi="Times New Roman"/>
          <w:sz w:val="28"/>
        </w:rPr>
        <w:t>Y(i,t)=α+β1·Water+β2·Energy+β3·(Water×Energy)+γ·Controls+ε</w:t>
      </w:r>
    </w:p>
    <w:p w:rsidR="00A9276F" w:rsidRPr="00CD1F61" w:rsidRDefault="00CD1F61">
      <w:pPr>
        <w:ind w:left="480"/>
        <w:rPr>
          <w:rFonts w:ascii="Times New Roman" w:eastAsia="標楷體" w:hAnsi="Times New Roman" w:hint="eastAsia"/>
          <w:sz w:val="28"/>
        </w:rPr>
      </w:pPr>
      <w:r w:rsidRPr="00CD1F61">
        <w:rPr>
          <w:rFonts w:ascii="Times New Roman" w:eastAsia="標楷體" w:hAnsi="Times New Roman"/>
          <w:sz w:val="28"/>
        </w:rPr>
        <w:t>模型</w:t>
      </w:r>
      <w:r w:rsidRPr="00CD1F61">
        <w:rPr>
          <w:rFonts w:ascii="Times New Roman" w:eastAsia="標楷體" w:hAnsi="Times New Roman"/>
          <w:sz w:val="28"/>
        </w:rPr>
        <w:t xml:space="preserve"> 3</w:t>
      </w:r>
      <w:r w:rsidRPr="00CD1F61">
        <w:rPr>
          <w:rFonts w:ascii="Times New Roman" w:eastAsia="標楷體" w:hAnsi="Times New Roman"/>
          <w:sz w:val="28"/>
        </w:rPr>
        <w:t>（遞延期效應）：</w:t>
      </w:r>
      <w:r w:rsidRPr="00CD1F61">
        <w:rPr>
          <w:rFonts w:ascii="Times New Roman" w:eastAsia="標楷體" w:hAnsi="Times New Roman"/>
          <w:sz w:val="28"/>
        </w:rPr>
        <w:t>Y(i,t+k)=α+β1·CAPEX+β2·Water+β3·Energy+γ·Controls+ε</w:t>
      </w:r>
      <w:r w:rsidRPr="00CD1F61">
        <w:rPr>
          <w:rFonts w:ascii="Times New Roman" w:eastAsia="標楷體" w:hAnsi="Times New Roman"/>
          <w:sz w:val="28"/>
        </w:rPr>
        <w:t>，</w:t>
      </w:r>
      <w:r w:rsidRPr="00CD1F61">
        <w:rPr>
          <w:rFonts w:ascii="Times New Roman" w:eastAsia="標楷體" w:hAnsi="Times New Roman"/>
          <w:sz w:val="28"/>
        </w:rPr>
        <w:t>k=1,3,5</w:t>
      </w:r>
    </w:p>
    <w:p w:rsidR="00A9276F" w:rsidRPr="00CD1F61" w:rsidRDefault="00CD1F61">
      <w:pPr>
        <w:spacing w:before="240" w:after="120"/>
        <w:rPr>
          <w:rFonts w:ascii="Times New Roman" w:eastAsia="標楷體" w:hAnsi="Times New Roman" w:hint="eastAsia"/>
          <w:sz w:val="28"/>
        </w:rPr>
      </w:pPr>
      <w:r w:rsidRPr="00CD1F61">
        <w:rPr>
          <w:rFonts w:ascii="Times New Roman" w:eastAsia="標楷體" w:hAnsi="Times New Roman"/>
          <w:sz w:val="28"/>
        </w:rPr>
        <w:t>第四章　實證結果</w:t>
      </w:r>
    </w:p>
    <w:p w:rsidR="00A9276F" w:rsidRPr="00CD1F61" w:rsidRDefault="00CD1F61">
      <w:pPr>
        <w:spacing w:before="240" w:after="120"/>
        <w:rPr>
          <w:rFonts w:ascii="Times New Roman" w:eastAsia="標楷體" w:hAnsi="Times New Roman" w:hint="eastAsia"/>
          <w:sz w:val="28"/>
        </w:rPr>
      </w:pPr>
      <w:r w:rsidRPr="00CD1F61">
        <w:rPr>
          <w:rFonts w:ascii="Times New Roman" w:eastAsia="標楷體" w:hAnsi="Times New Roman"/>
          <w:sz w:val="28"/>
        </w:rPr>
        <w:t>4-1</w:t>
      </w:r>
      <w:r w:rsidRPr="00CD1F61">
        <w:rPr>
          <w:rFonts w:ascii="Times New Roman" w:eastAsia="標楷體" w:hAnsi="Times New Roman"/>
          <w:sz w:val="28"/>
        </w:rPr>
        <w:t xml:space="preserve">　敘述統計</w:t>
      </w:r>
    </w:p>
    <w:p w:rsidR="00A9276F" w:rsidRPr="00CD1F61" w:rsidRDefault="00CD1F61">
      <w:pPr>
        <w:spacing w:after="80" w:line="360" w:lineRule="auto"/>
        <w:ind w:firstLine="480"/>
        <w:rPr>
          <w:rFonts w:ascii="Times New Roman" w:eastAsia="標楷體" w:hAnsi="Times New Roman" w:hint="eastAsia"/>
          <w:sz w:val="28"/>
        </w:rPr>
      </w:pPr>
      <w:r w:rsidRPr="00CD1F61">
        <w:rPr>
          <w:rFonts w:ascii="Times New Roman" w:eastAsia="標楷體" w:hAnsi="Times New Roman"/>
          <w:sz w:val="28"/>
        </w:rPr>
        <w:t>表</w:t>
      </w:r>
      <w:r w:rsidRPr="00CD1F61">
        <w:rPr>
          <w:rFonts w:ascii="Times New Roman" w:eastAsia="標楷體" w:hAnsi="Times New Roman"/>
          <w:sz w:val="28"/>
        </w:rPr>
        <w:t xml:space="preserve"> 2 </w:t>
      </w:r>
      <w:r w:rsidRPr="00CD1F61">
        <w:rPr>
          <w:rFonts w:ascii="Times New Roman" w:eastAsia="標楷體" w:hAnsi="Times New Roman"/>
          <w:sz w:val="28"/>
        </w:rPr>
        <w:t>為主要變數之敘述統計。由表可知，樣本公司在水回收率與再生能源使用率上呈現高度分散，反映各公司資源管理投入程度差異甚大；</w:t>
      </w:r>
      <w:r w:rsidRPr="00CD1F61">
        <w:rPr>
          <w:rFonts w:ascii="Times New Roman" w:eastAsia="標楷體" w:hAnsi="Times New Roman"/>
          <w:sz w:val="28"/>
        </w:rPr>
        <w:t xml:space="preserve">Tobin's Q </w:t>
      </w:r>
      <w:r w:rsidRPr="00CD1F61">
        <w:rPr>
          <w:rFonts w:ascii="Times New Roman" w:eastAsia="標楷體" w:hAnsi="Times New Roman"/>
          <w:sz w:val="28"/>
        </w:rPr>
        <w:t>平均約大於</w:t>
      </w:r>
      <w:r w:rsidRPr="00CD1F61">
        <w:rPr>
          <w:rFonts w:ascii="Times New Roman" w:eastAsia="標楷體" w:hAnsi="Times New Roman"/>
          <w:sz w:val="28"/>
        </w:rPr>
        <w:t xml:space="preserve"> 1</w:t>
      </w:r>
      <w:r w:rsidRPr="00CD1F61">
        <w:rPr>
          <w:rFonts w:ascii="Times New Roman" w:eastAsia="標楷體" w:hAnsi="Times New Roman"/>
          <w:sz w:val="28"/>
        </w:rPr>
        <w:t>，顯示樣本以具成長性之電子業為主。</w:t>
      </w:r>
    </w:p>
    <w:p w:rsidR="00A9276F" w:rsidRPr="00CD1F61" w:rsidRDefault="00CD1F61">
      <w:pPr>
        <w:spacing w:before="160"/>
        <w:rPr>
          <w:rFonts w:ascii="Times New Roman" w:eastAsia="標楷體" w:hAnsi="Times New Roman" w:hint="eastAsia"/>
          <w:sz w:val="28"/>
        </w:rPr>
      </w:pPr>
      <w:r w:rsidRPr="00CD1F61">
        <w:rPr>
          <w:rFonts w:ascii="Times New Roman" w:eastAsia="標楷體" w:hAnsi="Times New Roman"/>
          <w:sz w:val="28"/>
        </w:rPr>
        <w:t>表</w:t>
      </w:r>
      <w:r w:rsidRPr="00CD1F61">
        <w:rPr>
          <w:rFonts w:ascii="Times New Roman" w:eastAsia="標楷體" w:hAnsi="Times New Roman"/>
          <w:sz w:val="28"/>
        </w:rPr>
        <w:t xml:space="preserve"> 2</w:t>
      </w:r>
      <w:r w:rsidRPr="00CD1F61">
        <w:rPr>
          <w:rFonts w:ascii="Times New Roman" w:eastAsia="標楷體" w:hAnsi="Times New Roman"/>
          <w:sz w:val="28"/>
        </w:rPr>
        <w:t xml:space="preserve">　敘述統計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868"/>
        <w:gridCol w:w="854"/>
        <w:gridCol w:w="1028"/>
        <w:gridCol w:w="1028"/>
        <w:gridCol w:w="1266"/>
        <w:gridCol w:w="1266"/>
        <w:gridCol w:w="1546"/>
      </w:tblGrid>
      <w:tr w:rsidR="00A9276F" w:rsidRPr="00CD1F61">
        <w:trPr>
          <w:jc w:val="center"/>
        </w:trPr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變數</w:t>
            </w:r>
          </w:p>
        </w:tc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N</w:t>
            </w:r>
          </w:p>
        </w:tc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平均數</w:t>
            </w:r>
          </w:p>
        </w:tc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中位數</w:t>
            </w:r>
          </w:p>
        </w:tc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標準差</w:t>
            </w:r>
          </w:p>
        </w:tc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最小值</w:t>
            </w:r>
          </w:p>
        </w:tc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最大值</w:t>
            </w:r>
          </w:p>
        </w:tc>
      </w:tr>
      <w:tr w:rsidR="00A9276F" w:rsidRPr="00CD1F61">
        <w:trPr>
          <w:jc w:val="center"/>
        </w:trPr>
        <w:tc>
          <w:tcPr>
            <w:tcW w:w="1234" w:type="dxa"/>
          </w:tcPr>
          <w:p w:rsidR="00A9276F" w:rsidRPr="00CD1F61" w:rsidRDefault="00CD1F61">
            <w:pPr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Tobin's Q</w:t>
            </w:r>
          </w:p>
        </w:tc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7465</w:t>
            </w:r>
          </w:p>
        </w:tc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1.325</w:t>
            </w:r>
          </w:p>
        </w:tc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0.970</w:t>
            </w:r>
          </w:p>
        </w:tc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1.058</w:t>
            </w:r>
          </w:p>
        </w:tc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0.250</w:t>
            </w:r>
          </w:p>
        </w:tc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6.440</w:t>
            </w:r>
          </w:p>
        </w:tc>
      </w:tr>
      <w:tr w:rsidR="00A9276F" w:rsidRPr="00CD1F61">
        <w:trPr>
          <w:jc w:val="center"/>
        </w:trPr>
        <w:tc>
          <w:tcPr>
            <w:tcW w:w="1234" w:type="dxa"/>
          </w:tcPr>
          <w:p w:rsidR="00A9276F" w:rsidRPr="00CD1F61" w:rsidRDefault="00CD1F61">
            <w:pPr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營業費用率</w:t>
            </w:r>
            <w:r w:rsidRPr="00CD1F61">
              <w:rPr>
                <w:rFonts w:ascii="Times New Roman" w:eastAsia="標楷體" w:hAnsi="Times New Roman"/>
                <w:sz w:val="28"/>
              </w:rPr>
              <w:t>(%)</w:t>
            </w:r>
          </w:p>
        </w:tc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7417</w:t>
            </w:r>
          </w:p>
        </w:tc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46.472</w:t>
            </w:r>
          </w:p>
        </w:tc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16.580</w:t>
            </w:r>
          </w:p>
        </w:tc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1297.333</w:t>
            </w:r>
          </w:p>
        </w:tc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-6135.270</w:t>
            </w:r>
          </w:p>
        </w:tc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108772.340</w:t>
            </w:r>
          </w:p>
        </w:tc>
      </w:tr>
      <w:tr w:rsidR="00A9276F" w:rsidRPr="00CD1F61">
        <w:trPr>
          <w:jc w:val="center"/>
        </w:trPr>
        <w:tc>
          <w:tcPr>
            <w:tcW w:w="1234" w:type="dxa"/>
          </w:tcPr>
          <w:p w:rsidR="00A9276F" w:rsidRPr="00CD1F61" w:rsidRDefault="00CD1F61">
            <w:pPr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水回收率</w:t>
            </w:r>
            <w:r w:rsidRPr="00CD1F61">
              <w:rPr>
                <w:rFonts w:ascii="Times New Roman" w:eastAsia="標楷體" w:hAnsi="Times New Roman"/>
                <w:sz w:val="28"/>
              </w:rPr>
              <w:t>(Water)</w:t>
            </w:r>
          </w:p>
        </w:tc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382</w:t>
            </w:r>
          </w:p>
        </w:tc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34.734</w:t>
            </w:r>
          </w:p>
        </w:tc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28.415</w:t>
            </w:r>
          </w:p>
        </w:tc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27.502</w:t>
            </w:r>
          </w:p>
        </w:tc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0.000</w:t>
            </w:r>
          </w:p>
        </w:tc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99.050</w:t>
            </w:r>
          </w:p>
        </w:tc>
      </w:tr>
      <w:tr w:rsidR="00A9276F" w:rsidRPr="00CD1F61">
        <w:trPr>
          <w:jc w:val="center"/>
        </w:trPr>
        <w:tc>
          <w:tcPr>
            <w:tcW w:w="1234" w:type="dxa"/>
          </w:tcPr>
          <w:p w:rsidR="00A9276F" w:rsidRPr="00CD1F61" w:rsidRDefault="00CD1F61">
            <w:pPr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再生能源使用率</w:t>
            </w:r>
            <w:r w:rsidRPr="00CD1F61">
              <w:rPr>
                <w:rFonts w:ascii="Times New Roman" w:eastAsia="標楷體" w:hAnsi="Times New Roman"/>
                <w:sz w:val="28"/>
              </w:rPr>
              <w:t>(Energy)</w:t>
            </w:r>
          </w:p>
        </w:tc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5196</w:t>
            </w:r>
          </w:p>
        </w:tc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0.082</w:t>
            </w:r>
          </w:p>
        </w:tc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0.000</w:t>
            </w:r>
          </w:p>
        </w:tc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1.922</w:t>
            </w:r>
          </w:p>
        </w:tc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0.000</w:t>
            </w:r>
          </w:p>
        </w:tc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84.480</w:t>
            </w:r>
          </w:p>
        </w:tc>
      </w:tr>
      <w:tr w:rsidR="00A9276F" w:rsidRPr="00CD1F61">
        <w:trPr>
          <w:jc w:val="center"/>
        </w:trPr>
        <w:tc>
          <w:tcPr>
            <w:tcW w:w="1234" w:type="dxa"/>
          </w:tcPr>
          <w:p w:rsidR="00A9276F" w:rsidRPr="00CD1F61" w:rsidRDefault="00CD1F61">
            <w:pPr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Water×Energy</w:t>
            </w:r>
          </w:p>
        </w:tc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196</w:t>
            </w:r>
          </w:p>
        </w:tc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10.319</w:t>
            </w:r>
          </w:p>
        </w:tc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0.000</w:t>
            </w:r>
          </w:p>
        </w:tc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79.701</w:t>
            </w:r>
          </w:p>
        </w:tc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0.000</w:t>
            </w:r>
          </w:p>
        </w:tc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929.280</w:t>
            </w:r>
          </w:p>
        </w:tc>
      </w:tr>
      <w:tr w:rsidR="00A9276F" w:rsidRPr="00CD1F61">
        <w:trPr>
          <w:jc w:val="center"/>
        </w:trPr>
        <w:tc>
          <w:tcPr>
            <w:tcW w:w="1234" w:type="dxa"/>
          </w:tcPr>
          <w:p w:rsidR="00A9276F" w:rsidRPr="00CD1F61" w:rsidRDefault="00CD1F61">
            <w:pPr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水電設備</w:t>
            </w:r>
            <w:r w:rsidRPr="00CD1F61">
              <w:rPr>
                <w:rFonts w:ascii="Times New Roman" w:eastAsia="標楷體" w:hAnsi="Times New Roman"/>
                <w:sz w:val="28"/>
              </w:rPr>
              <w:t>CAPEX</w:t>
            </w:r>
          </w:p>
        </w:tc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7269</w:t>
            </w:r>
          </w:p>
        </w:tc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88.077</w:t>
            </w:r>
          </w:p>
        </w:tc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0.000</w:t>
            </w:r>
          </w:p>
        </w:tc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948.793</w:t>
            </w:r>
          </w:p>
        </w:tc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-146.900</w:t>
            </w:r>
          </w:p>
        </w:tc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11097.500</w:t>
            </w:r>
          </w:p>
        </w:tc>
      </w:tr>
      <w:tr w:rsidR="00A9276F" w:rsidRPr="00CD1F61">
        <w:trPr>
          <w:jc w:val="center"/>
        </w:trPr>
        <w:tc>
          <w:tcPr>
            <w:tcW w:w="1234" w:type="dxa"/>
          </w:tcPr>
          <w:p w:rsidR="00A9276F" w:rsidRPr="00CD1F61" w:rsidRDefault="00CD1F61">
            <w:pPr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研發費用率</w:t>
            </w:r>
            <w:r w:rsidRPr="00CD1F61">
              <w:rPr>
                <w:rFonts w:ascii="Times New Roman" w:eastAsia="標楷體" w:hAnsi="Times New Roman"/>
                <w:sz w:val="28"/>
              </w:rPr>
              <w:t>(RD)</w:t>
            </w:r>
          </w:p>
        </w:tc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7383</w:t>
            </w:r>
          </w:p>
        </w:tc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10.089</w:t>
            </w:r>
          </w:p>
        </w:tc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4.130</w:t>
            </w:r>
          </w:p>
        </w:tc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55.447</w:t>
            </w:r>
          </w:p>
        </w:tc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0.000</w:t>
            </w:r>
          </w:p>
        </w:tc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4030.830</w:t>
            </w:r>
          </w:p>
        </w:tc>
      </w:tr>
      <w:tr w:rsidR="00A9276F" w:rsidRPr="00CD1F61">
        <w:trPr>
          <w:jc w:val="center"/>
        </w:trPr>
        <w:tc>
          <w:tcPr>
            <w:tcW w:w="1234" w:type="dxa"/>
          </w:tcPr>
          <w:p w:rsidR="00A9276F" w:rsidRPr="00CD1F61" w:rsidRDefault="00CD1F61">
            <w:pPr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公司規模</w:t>
            </w:r>
            <w:r w:rsidRPr="00CD1F61">
              <w:rPr>
                <w:rFonts w:ascii="Times New Roman" w:eastAsia="標楷體" w:hAnsi="Times New Roman"/>
                <w:sz w:val="28"/>
              </w:rPr>
              <w:t>(SIZE)</w:t>
            </w:r>
          </w:p>
        </w:tc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7469</w:t>
            </w:r>
          </w:p>
        </w:tc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15.032</w:t>
            </w:r>
          </w:p>
        </w:tc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14.874</w:t>
            </w:r>
          </w:p>
        </w:tc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1.548</w:t>
            </w:r>
          </w:p>
        </w:tc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7.263</w:t>
            </w:r>
          </w:p>
        </w:tc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22.624</w:t>
            </w:r>
          </w:p>
        </w:tc>
      </w:tr>
      <w:tr w:rsidR="00A9276F" w:rsidRPr="00CD1F61">
        <w:trPr>
          <w:jc w:val="center"/>
        </w:trPr>
        <w:tc>
          <w:tcPr>
            <w:tcW w:w="1234" w:type="dxa"/>
          </w:tcPr>
          <w:p w:rsidR="00A9276F" w:rsidRPr="00CD1F61" w:rsidRDefault="00CD1F61">
            <w:pPr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負債比率</w:t>
            </w:r>
            <w:r w:rsidRPr="00CD1F61">
              <w:rPr>
                <w:rFonts w:ascii="Times New Roman" w:eastAsia="標楷體" w:hAnsi="Times New Roman"/>
                <w:sz w:val="28"/>
              </w:rPr>
              <w:t>(LEV)</w:t>
            </w:r>
          </w:p>
        </w:tc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7469</w:t>
            </w:r>
          </w:p>
        </w:tc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45.459</w:t>
            </w:r>
          </w:p>
        </w:tc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38.360</w:t>
            </w:r>
          </w:p>
        </w:tc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267.276</w:t>
            </w:r>
          </w:p>
        </w:tc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0.020</w:t>
            </w:r>
          </w:p>
        </w:tc>
        <w:tc>
          <w:tcPr>
            <w:tcW w:w="123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17618.760</w:t>
            </w:r>
          </w:p>
        </w:tc>
      </w:tr>
    </w:tbl>
    <w:p w:rsidR="00A9276F" w:rsidRPr="00CD1F61" w:rsidRDefault="00CD1F61">
      <w:pPr>
        <w:spacing w:before="240" w:after="120"/>
        <w:rPr>
          <w:rFonts w:ascii="Times New Roman" w:eastAsia="標楷體" w:hAnsi="Times New Roman" w:hint="eastAsia"/>
          <w:sz w:val="28"/>
        </w:rPr>
      </w:pPr>
      <w:r w:rsidRPr="00CD1F61">
        <w:rPr>
          <w:rFonts w:ascii="Times New Roman" w:eastAsia="標楷體" w:hAnsi="Times New Roman"/>
          <w:sz w:val="28"/>
        </w:rPr>
        <w:lastRenderedPageBreak/>
        <w:t>4-2</w:t>
      </w:r>
      <w:r w:rsidRPr="00CD1F61">
        <w:rPr>
          <w:rFonts w:ascii="Times New Roman" w:eastAsia="標楷體" w:hAnsi="Times New Roman"/>
          <w:sz w:val="28"/>
        </w:rPr>
        <w:t xml:space="preserve">　相關性分析</w:t>
      </w:r>
    </w:p>
    <w:p w:rsidR="00A9276F" w:rsidRPr="00CD1F61" w:rsidRDefault="00CD1F61">
      <w:pPr>
        <w:spacing w:after="80" w:line="360" w:lineRule="auto"/>
        <w:ind w:firstLine="480"/>
        <w:rPr>
          <w:rFonts w:ascii="Times New Roman" w:eastAsia="標楷體" w:hAnsi="Times New Roman" w:hint="eastAsia"/>
          <w:sz w:val="28"/>
        </w:rPr>
      </w:pPr>
      <w:r w:rsidRPr="00CD1F61">
        <w:rPr>
          <w:rFonts w:ascii="Times New Roman" w:eastAsia="標楷體" w:hAnsi="Times New Roman"/>
          <w:sz w:val="28"/>
        </w:rPr>
        <w:t>表</w:t>
      </w:r>
      <w:r w:rsidRPr="00CD1F61">
        <w:rPr>
          <w:rFonts w:ascii="Times New Roman" w:eastAsia="標楷體" w:hAnsi="Times New Roman"/>
          <w:sz w:val="28"/>
        </w:rPr>
        <w:t xml:space="preserve"> 3 </w:t>
      </w:r>
      <w:r w:rsidRPr="00CD1F61">
        <w:rPr>
          <w:rFonts w:ascii="Times New Roman" w:eastAsia="標楷體" w:hAnsi="Times New Roman"/>
          <w:sz w:val="28"/>
        </w:rPr>
        <w:t>為</w:t>
      </w:r>
      <w:r w:rsidRPr="00CD1F61">
        <w:rPr>
          <w:rFonts w:ascii="Times New Roman" w:eastAsia="標楷體" w:hAnsi="Times New Roman"/>
          <w:sz w:val="28"/>
        </w:rPr>
        <w:t xml:space="preserve"> Pearson </w:t>
      </w:r>
      <w:r w:rsidRPr="00CD1F61">
        <w:rPr>
          <w:rFonts w:ascii="Times New Roman" w:eastAsia="標楷體" w:hAnsi="Times New Roman"/>
          <w:sz w:val="28"/>
        </w:rPr>
        <w:t>相關係數矩陣。水回收率與再生能源使用率之交乘項與</w:t>
      </w:r>
      <w:r w:rsidRPr="00CD1F61">
        <w:rPr>
          <w:rFonts w:ascii="Times New Roman" w:eastAsia="標楷體" w:hAnsi="Times New Roman"/>
          <w:sz w:val="28"/>
        </w:rPr>
        <w:t xml:space="preserve"> Tobin's Q </w:t>
      </w:r>
      <w:r w:rsidRPr="00CD1F61">
        <w:rPr>
          <w:rFonts w:ascii="Times New Roman" w:eastAsia="標楷體" w:hAnsi="Times New Roman"/>
          <w:sz w:val="28"/>
        </w:rPr>
        <w:t>呈正向關係，初步支持水能互補之推論；各控制變數間相關程度尚屬合理，多重共線性疑慮不高。</w:t>
      </w:r>
    </w:p>
    <w:p w:rsidR="00A9276F" w:rsidRPr="00CD1F61" w:rsidRDefault="00CD1F61">
      <w:pPr>
        <w:spacing w:before="160"/>
        <w:rPr>
          <w:rFonts w:ascii="Times New Roman" w:eastAsia="標楷體" w:hAnsi="Times New Roman" w:hint="eastAsia"/>
          <w:sz w:val="28"/>
        </w:rPr>
      </w:pPr>
      <w:r w:rsidRPr="00CD1F61">
        <w:rPr>
          <w:rFonts w:ascii="Times New Roman" w:eastAsia="標楷體" w:hAnsi="Times New Roman"/>
          <w:sz w:val="28"/>
        </w:rPr>
        <w:t>表</w:t>
      </w:r>
      <w:r w:rsidRPr="00CD1F61">
        <w:rPr>
          <w:rFonts w:ascii="Times New Roman" w:eastAsia="標楷體" w:hAnsi="Times New Roman"/>
          <w:sz w:val="28"/>
        </w:rPr>
        <w:t xml:space="preserve"> 3</w:t>
      </w:r>
      <w:r w:rsidRPr="00CD1F61">
        <w:rPr>
          <w:rFonts w:ascii="Times New Roman" w:eastAsia="標楷體" w:hAnsi="Times New Roman"/>
          <w:sz w:val="28"/>
        </w:rPr>
        <w:t xml:space="preserve">　</w:t>
      </w:r>
      <w:r w:rsidRPr="00CD1F61">
        <w:rPr>
          <w:rFonts w:ascii="Times New Roman" w:eastAsia="標楷體" w:hAnsi="Times New Roman"/>
          <w:sz w:val="28"/>
        </w:rPr>
        <w:t xml:space="preserve">Pearson </w:t>
      </w:r>
      <w:r w:rsidRPr="00CD1F61">
        <w:rPr>
          <w:rFonts w:ascii="Times New Roman" w:eastAsia="標楷體" w:hAnsi="Times New Roman"/>
          <w:sz w:val="28"/>
        </w:rPr>
        <w:t>相關係數矩陣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123"/>
        <w:gridCol w:w="701"/>
        <w:gridCol w:w="940"/>
        <w:gridCol w:w="892"/>
        <w:gridCol w:w="1016"/>
        <w:gridCol w:w="803"/>
        <w:gridCol w:w="1124"/>
        <w:gridCol w:w="701"/>
        <w:gridCol w:w="801"/>
        <w:gridCol w:w="755"/>
      </w:tblGrid>
      <w:tr w:rsidR="00A9276F" w:rsidRPr="00CD1F61">
        <w:trPr>
          <w:jc w:val="center"/>
        </w:trPr>
        <w:tc>
          <w:tcPr>
            <w:tcW w:w="864" w:type="dxa"/>
          </w:tcPr>
          <w:p w:rsidR="00A9276F" w:rsidRPr="00CD1F61" w:rsidRDefault="00A9276F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</w:p>
        </w:tc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Q</w:t>
            </w:r>
          </w:p>
        </w:tc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OPEX</w:t>
            </w:r>
          </w:p>
        </w:tc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Water</w:t>
            </w:r>
          </w:p>
        </w:tc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Energy</w:t>
            </w:r>
          </w:p>
        </w:tc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W×E</w:t>
            </w:r>
          </w:p>
        </w:tc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CAPEX</w:t>
            </w:r>
          </w:p>
        </w:tc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RD</w:t>
            </w:r>
          </w:p>
        </w:tc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SIZE</w:t>
            </w:r>
          </w:p>
        </w:tc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LEV</w:t>
            </w:r>
          </w:p>
        </w:tc>
      </w:tr>
      <w:tr w:rsidR="00A9276F" w:rsidRPr="00CD1F61">
        <w:trPr>
          <w:jc w:val="center"/>
        </w:trPr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Q</w:t>
            </w:r>
          </w:p>
        </w:tc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1.00</w:t>
            </w:r>
          </w:p>
        </w:tc>
        <w:tc>
          <w:tcPr>
            <w:tcW w:w="864" w:type="dxa"/>
          </w:tcPr>
          <w:p w:rsidR="00A9276F" w:rsidRPr="00CD1F61" w:rsidRDefault="00A9276F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</w:p>
        </w:tc>
        <w:tc>
          <w:tcPr>
            <w:tcW w:w="864" w:type="dxa"/>
          </w:tcPr>
          <w:p w:rsidR="00A9276F" w:rsidRPr="00CD1F61" w:rsidRDefault="00A9276F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</w:p>
        </w:tc>
        <w:tc>
          <w:tcPr>
            <w:tcW w:w="864" w:type="dxa"/>
          </w:tcPr>
          <w:p w:rsidR="00A9276F" w:rsidRPr="00CD1F61" w:rsidRDefault="00A9276F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</w:p>
        </w:tc>
        <w:tc>
          <w:tcPr>
            <w:tcW w:w="864" w:type="dxa"/>
          </w:tcPr>
          <w:p w:rsidR="00A9276F" w:rsidRPr="00CD1F61" w:rsidRDefault="00A9276F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</w:p>
        </w:tc>
        <w:tc>
          <w:tcPr>
            <w:tcW w:w="864" w:type="dxa"/>
          </w:tcPr>
          <w:p w:rsidR="00A9276F" w:rsidRPr="00CD1F61" w:rsidRDefault="00A9276F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</w:p>
        </w:tc>
        <w:tc>
          <w:tcPr>
            <w:tcW w:w="864" w:type="dxa"/>
          </w:tcPr>
          <w:p w:rsidR="00A9276F" w:rsidRPr="00CD1F61" w:rsidRDefault="00A9276F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</w:p>
        </w:tc>
        <w:tc>
          <w:tcPr>
            <w:tcW w:w="864" w:type="dxa"/>
          </w:tcPr>
          <w:p w:rsidR="00A9276F" w:rsidRPr="00CD1F61" w:rsidRDefault="00A9276F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</w:p>
        </w:tc>
        <w:tc>
          <w:tcPr>
            <w:tcW w:w="864" w:type="dxa"/>
          </w:tcPr>
          <w:p w:rsidR="00A9276F" w:rsidRPr="00CD1F61" w:rsidRDefault="00A9276F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</w:p>
        </w:tc>
      </w:tr>
      <w:tr w:rsidR="00A9276F" w:rsidRPr="00CD1F61">
        <w:trPr>
          <w:jc w:val="center"/>
        </w:trPr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OPEX</w:t>
            </w:r>
          </w:p>
        </w:tc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-0.01</w:t>
            </w:r>
          </w:p>
        </w:tc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1.00</w:t>
            </w:r>
          </w:p>
        </w:tc>
        <w:tc>
          <w:tcPr>
            <w:tcW w:w="864" w:type="dxa"/>
          </w:tcPr>
          <w:p w:rsidR="00A9276F" w:rsidRPr="00CD1F61" w:rsidRDefault="00A9276F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</w:p>
        </w:tc>
        <w:tc>
          <w:tcPr>
            <w:tcW w:w="864" w:type="dxa"/>
          </w:tcPr>
          <w:p w:rsidR="00A9276F" w:rsidRPr="00CD1F61" w:rsidRDefault="00A9276F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</w:p>
        </w:tc>
        <w:tc>
          <w:tcPr>
            <w:tcW w:w="864" w:type="dxa"/>
          </w:tcPr>
          <w:p w:rsidR="00A9276F" w:rsidRPr="00CD1F61" w:rsidRDefault="00A9276F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</w:p>
        </w:tc>
        <w:tc>
          <w:tcPr>
            <w:tcW w:w="864" w:type="dxa"/>
          </w:tcPr>
          <w:p w:rsidR="00A9276F" w:rsidRPr="00CD1F61" w:rsidRDefault="00A9276F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</w:p>
        </w:tc>
        <w:tc>
          <w:tcPr>
            <w:tcW w:w="864" w:type="dxa"/>
          </w:tcPr>
          <w:p w:rsidR="00A9276F" w:rsidRPr="00CD1F61" w:rsidRDefault="00A9276F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</w:p>
        </w:tc>
        <w:tc>
          <w:tcPr>
            <w:tcW w:w="864" w:type="dxa"/>
          </w:tcPr>
          <w:p w:rsidR="00A9276F" w:rsidRPr="00CD1F61" w:rsidRDefault="00A9276F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</w:p>
        </w:tc>
        <w:tc>
          <w:tcPr>
            <w:tcW w:w="864" w:type="dxa"/>
          </w:tcPr>
          <w:p w:rsidR="00A9276F" w:rsidRPr="00CD1F61" w:rsidRDefault="00A9276F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</w:p>
        </w:tc>
      </w:tr>
      <w:tr w:rsidR="00A9276F" w:rsidRPr="00CD1F61">
        <w:trPr>
          <w:jc w:val="center"/>
        </w:trPr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Water</w:t>
            </w:r>
          </w:p>
        </w:tc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0.02</w:t>
            </w:r>
          </w:p>
        </w:tc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0.03</w:t>
            </w:r>
          </w:p>
        </w:tc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1.00</w:t>
            </w:r>
          </w:p>
        </w:tc>
        <w:tc>
          <w:tcPr>
            <w:tcW w:w="864" w:type="dxa"/>
          </w:tcPr>
          <w:p w:rsidR="00A9276F" w:rsidRPr="00CD1F61" w:rsidRDefault="00A9276F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</w:p>
        </w:tc>
        <w:tc>
          <w:tcPr>
            <w:tcW w:w="864" w:type="dxa"/>
          </w:tcPr>
          <w:p w:rsidR="00A9276F" w:rsidRPr="00CD1F61" w:rsidRDefault="00A9276F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</w:p>
        </w:tc>
        <w:tc>
          <w:tcPr>
            <w:tcW w:w="864" w:type="dxa"/>
          </w:tcPr>
          <w:p w:rsidR="00A9276F" w:rsidRPr="00CD1F61" w:rsidRDefault="00A9276F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</w:p>
        </w:tc>
        <w:tc>
          <w:tcPr>
            <w:tcW w:w="864" w:type="dxa"/>
          </w:tcPr>
          <w:p w:rsidR="00A9276F" w:rsidRPr="00CD1F61" w:rsidRDefault="00A9276F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</w:p>
        </w:tc>
        <w:tc>
          <w:tcPr>
            <w:tcW w:w="864" w:type="dxa"/>
          </w:tcPr>
          <w:p w:rsidR="00A9276F" w:rsidRPr="00CD1F61" w:rsidRDefault="00A9276F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</w:p>
        </w:tc>
        <w:tc>
          <w:tcPr>
            <w:tcW w:w="864" w:type="dxa"/>
          </w:tcPr>
          <w:p w:rsidR="00A9276F" w:rsidRPr="00CD1F61" w:rsidRDefault="00A9276F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</w:p>
        </w:tc>
      </w:tr>
      <w:tr w:rsidR="00A9276F" w:rsidRPr="00CD1F61">
        <w:trPr>
          <w:jc w:val="center"/>
        </w:trPr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Energy</w:t>
            </w:r>
          </w:p>
        </w:tc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0.01</w:t>
            </w:r>
          </w:p>
        </w:tc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-0.00</w:t>
            </w:r>
          </w:p>
        </w:tc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-0.14</w:t>
            </w:r>
          </w:p>
        </w:tc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1.00</w:t>
            </w:r>
          </w:p>
        </w:tc>
        <w:tc>
          <w:tcPr>
            <w:tcW w:w="864" w:type="dxa"/>
          </w:tcPr>
          <w:p w:rsidR="00A9276F" w:rsidRPr="00CD1F61" w:rsidRDefault="00A9276F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</w:p>
        </w:tc>
        <w:tc>
          <w:tcPr>
            <w:tcW w:w="864" w:type="dxa"/>
          </w:tcPr>
          <w:p w:rsidR="00A9276F" w:rsidRPr="00CD1F61" w:rsidRDefault="00A9276F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</w:p>
        </w:tc>
        <w:tc>
          <w:tcPr>
            <w:tcW w:w="864" w:type="dxa"/>
          </w:tcPr>
          <w:p w:rsidR="00A9276F" w:rsidRPr="00CD1F61" w:rsidRDefault="00A9276F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</w:p>
        </w:tc>
        <w:tc>
          <w:tcPr>
            <w:tcW w:w="864" w:type="dxa"/>
          </w:tcPr>
          <w:p w:rsidR="00A9276F" w:rsidRPr="00CD1F61" w:rsidRDefault="00A9276F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</w:p>
        </w:tc>
        <w:tc>
          <w:tcPr>
            <w:tcW w:w="864" w:type="dxa"/>
          </w:tcPr>
          <w:p w:rsidR="00A9276F" w:rsidRPr="00CD1F61" w:rsidRDefault="00A9276F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</w:p>
        </w:tc>
      </w:tr>
      <w:tr w:rsidR="00A9276F" w:rsidRPr="00CD1F61">
        <w:trPr>
          <w:jc w:val="center"/>
        </w:trPr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W×E</w:t>
            </w:r>
          </w:p>
        </w:tc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0.08</w:t>
            </w:r>
          </w:p>
        </w:tc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0.08</w:t>
            </w:r>
          </w:p>
        </w:tc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-0.04</w:t>
            </w:r>
          </w:p>
        </w:tc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0.71</w:t>
            </w:r>
          </w:p>
        </w:tc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1.00</w:t>
            </w:r>
          </w:p>
        </w:tc>
        <w:tc>
          <w:tcPr>
            <w:tcW w:w="864" w:type="dxa"/>
          </w:tcPr>
          <w:p w:rsidR="00A9276F" w:rsidRPr="00CD1F61" w:rsidRDefault="00A9276F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</w:p>
        </w:tc>
        <w:tc>
          <w:tcPr>
            <w:tcW w:w="864" w:type="dxa"/>
          </w:tcPr>
          <w:p w:rsidR="00A9276F" w:rsidRPr="00CD1F61" w:rsidRDefault="00A9276F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</w:p>
        </w:tc>
        <w:tc>
          <w:tcPr>
            <w:tcW w:w="864" w:type="dxa"/>
          </w:tcPr>
          <w:p w:rsidR="00A9276F" w:rsidRPr="00CD1F61" w:rsidRDefault="00A9276F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</w:p>
        </w:tc>
        <w:tc>
          <w:tcPr>
            <w:tcW w:w="864" w:type="dxa"/>
          </w:tcPr>
          <w:p w:rsidR="00A9276F" w:rsidRPr="00CD1F61" w:rsidRDefault="00A9276F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</w:p>
        </w:tc>
      </w:tr>
      <w:tr w:rsidR="00A9276F" w:rsidRPr="00CD1F61">
        <w:trPr>
          <w:jc w:val="center"/>
        </w:trPr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CAPEX</w:t>
            </w:r>
          </w:p>
        </w:tc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-0.02</w:t>
            </w:r>
          </w:p>
        </w:tc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-0.00</w:t>
            </w:r>
          </w:p>
        </w:tc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-0.04</w:t>
            </w:r>
          </w:p>
        </w:tc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-0.00</w:t>
            </w:r>
          </w:p>
        </w:tc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-0.02</w:t>
            </w:r>
          </w:p>
        </w:tc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1.00</w:t>
            </w:r>
          </w:p>
        </w:tc>
        <w:tc>
          <w:tcPr>
            <w:tcW w:w="864" w:type="dxa"/>
          </w:tcPr>
          <w:p w:rsidR="00A9276F" w:rsidRPr="00CD1F61" w:rsidRDefault="00A9276F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</w:p>
        </w:tc>
        <w:tc>
          <w:tcPr>
            <w:tcW w:w="864" w:type="dxa"/>
          </w:tcPr>
          <w:p w:rsidR="00A9276F" w:rsidRPr="00CD1F61" w:rsidRDefault="00A9276F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</w:p>
        </w:tc>
        <w:tc>
          <w:tcPr>
            <w:tcW w:w="864" w:type="dxa"/>
          </w:tcPr>
          <w:p w:rsidR="00A9276F" w:rsidRPr="00CD1F61" w:rsidRDefault="00A9276F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</w:p>
        </w:tc>
      </w:tr>
      <w:tr w:rsidR="00A9276F" w:rsidRPr="00CD1F61">
        <w:trPr>
          <w:jc w:val="center"/>
        </w:trPr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RD</w:t>
            </w:r>
          </w:p>
        </w:tc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0.06</w:t>
            </w:r>
          </w:p>
        </w:tc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0.06</w:t>
            </w:r>
          </w:p>
        </w:tc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0.18</w:t>
            </w:r>
          </w:p>
        </w:tc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-0.00</w:t>
            </w:r>
          </w:p>
        </w:tc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0.03</w:t>
            </w:r>
          </w:p>
        </w:tc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-0.01</w:t>
            </w:r>
          </w:p>
        </w:tc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1.00</w:t>
            </w:r>
          </w:p>
        </w:tc>
        <w:tc>
          <w:tcPr>
            <w:tcW w:w="864" w:type="dxa"/>
          </w:tcPr>
          <w:p w:rsidR="00A9276F" w:rsidRPr="00CD1F61" w:rsidRDefault="00A9276F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</w:p>
        </w:tc>
        <w:tc>
          <w:tcPr>
            <w:tcW w:w="864" w:type="dxa"/>
          </w:tcPr>
          <w:p w:rsidR="00A9276F" w:rsidRPr="00CD1F61" w:rsidRDefault="00A9276F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</w:p>
        </w:tc>
      </w:tr>
      <w:tr w:rsidR="00A9276F" w:rsidRPr="00CD1F61">
        <w:trPr>
          <w:jc w:val="center"/>
        </w:trPr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SIZE</w:t>
            </w:r>
          </w:p>
        </w:tc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-0.04</w:t>
            </w:r>
          </w:p>
        </w:tc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-0.01</w:t>
            </w:r>
          </w:p>
        </w:tc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0.09</w:t>
            </w:r>
          </w:p>
        </w:tc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0.05</w:t>
            </w:r>
          </w:p>
        </w:tc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0.09</w:t>
            </w:r>
          </w:p>
        </w:tc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0.06</w:t>
            </w:r>
          </w:p>
        </w:tc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-0.10</w:t>
            </w:r>
          </w:p>
        </w:tc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1.00</w:t>
            </w:r>
          </w:p>
        </w:tc>
        <w:tc>
          <w:tcPr>
            <w:tcW w:w="864" w:type="dxa"/>
          </w:tcPr>
          <w:p w:rsidR="00A9276F" w:rsidRPr="00CD1F61" w:rsidRDefault="00A9276F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</w:p>
        </w:tc>
      </w:tr>
      <w:tr w:rsidR="00A9276F" w:rsidRPr="00CD1F61">
        <w:trPr>
          <w:jc w:val="center"/>
        </w:trPr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LEV</w:t>
            </w:r>
          </w:p>
        </w:tc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-0.04</w:t>
            </w:r>
          </w:p>
        </w:tc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0.02</w:t>
            </w:r>
          </w:p>
        </w:tc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-0.17</w:t>
            </w:r>
          </w:p>
        </w:tc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-0.00</w:t>
            </w:r>
          </w:p>
        </w:tc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0.05</w:t>
            </w:r>
          </w:p>
        </w:tc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0.00</w:t>
            </w:r>
          </w:p>
        </w:tc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-0.00</w:t>
            </w:r>
          </w:p>
        </w:tc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-0.02</w:t>
            </w:r>
          </w:p>
        </w:tc>
        <w:tc>
          <w:tcPr>
            <w:tcW w:w="864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1.00</w:t>
            </w:r>
          </w:p>
        </w:tc>
      </w:tr>
    </w:tbl>
    <w:p w:rsidR="00A9276F" w:rsidRPr="00CD1F61" w:rsidRDefault="00CD1F61">
      <w:pPr>
        <w:rPr>
          <w:rFonts w:ascii="Times New Roman" w:eastAsia="標楷體" w:hAnsi="Times New Roman" w:hint="eastAsia"/>
          <w:sz w:val="28"/>
        </w:rPr>
      </w:pPr>
      <w:r w:rsidRPr="00CD1F61">
        <w:rPr>
          <w:rFonts w:ascii="Times New Roman" w:eastAsia="標楷體" w:hAnsi="Times New Roman"/>
          <w:sz w:val="28"/>
        </w:rPr>
        <w:t>註：</w:t>
      </w:r>
      <w:r w:rsidRPr="00CD1F61">
        <w:rPr>
          <w:rFonts w:ascii="Times New Roman" w:eastAsia="標楷體" w:hAnsi="Times New Roman"/>
          <w:sz w:val="28"/>
        </w:rPr>
        <w:t>Q=Tobin's Q</w:t>
      </w:r>
      <w:r w:rsidRPr="00CD1F61">
        <w:rPr>
          <w:rFonts w:ascii="Times New Roman" w:eastAsia="標楷體" w:hAnsi="Times New Roman"/>
          <w:sz w:val="28"/>
        </w:rPr>
        <w:t>；</w:t>
      </w:r>
      <w:r w:rsidRPr="00CD1F61">
        <w:rPr>
          <w:rFonts w:ascii="Times New Roman" w:eastAsia="標楷體" w:hAnsi="Times New Roman"/>
          <w:sz w:val="28"/>
        </w:rPr>
        <w:t>OPEX=</w:t>
      </w:r>
      <w:r w:rsidRPr="00CD1F61">
        <w:rPr>
          <w:rFonts w:ascii="Times New Roman" w:eastAsia="標楷體" w:hAnsi="Times New Roman"/>
          <w:sz w:val="28"/>
        </w:rPr>
        <w:t>營業費用率；</w:t>
      </w:r>
      <w:r w:rsidRPr="00CD1F61">
        <w:rPr>
          <w:rFonts w:ascii="Times New Roman" w:eastAsia="標楷體" w:hAnsi="Times New Roman"/>
          <w:sz w:val="28"/>
        </w:rPr>
        <w:t>W×E=Water×Energy</w:t>
      </w:r>
      <w:r w:rsidRPr="00CD1F61">
        <w:rPr>
          <w:rFonts w:ascii="Times New Roman" w:eastAsia="標楷體" w:hAnsi="Times New Roman"/>
          <w:sz w:val="28"/>
        </w:rPr>
        <w:t>。</w:t>
      </w:r>
    </w:p>
    <w:p w:rsidR="00A9276F" w:rsidRPr="00CD1F61" w:rsidRDefault="00CD1F61">
      <w:pPr>
        <w:spacing w:before="240" w:after="120"/>
        <w:rPr>
          <w:rFonts w:ascii="Times New Roman" w:eastAsia="標楷體" w:hAnsi="Times New Roman" w:hint="eastAsia"/>
          <w:sz w:val="28"/>
        </w:rPr>
      </w:pPr>
      <w:r w:rsidRPr="00CD1F61">
        <w:rPr>
          <w:rFonts w:ascii="Times New Roman" w:eastAsia="標楷體" w:hAnsi="Times New Roman"/>
          <w:sz w:val="28"/>
        </w:rPr>
        <w:t>4-3</w:t>
      </w:r>
      <w:r w:rsidRPr="00CD1F61">
        <w:rPr>
          <w:rFonts w:ascii="Times New Roman" w:eastAsia="標楷體" w:hAnsi="Times New Roman"/>
          <w:sz w:val="28"/>
        </w:rPr>
        <w:t xml:space="preserve">　迴歸分析</w:t>
      </w:r>
    </w:p>
    <w:p w:rsidR="00A9276F" w:rsidRPr="00CD1F61" w:rsidRDefault="00CD1F61">
      <w:pPr>
        <w:spacing w:after="80" w:line="360" w:lineRule="auto"/>
        <w:ind w:firstLine="480"/>
        <w:rPr>
          <w:rFonts w:ascii="Times New Roman" w:eastAsia="標楷體" w:hAnsi="Times New Roman" w:hint="eastAsia"/>
          <w:sz w:val="28"/>
        </w:rPr>
      </w:pPr>
      <w:r w:rsidRPr="00CD1F61">
        <w:rPr>
          <w:rFonts w:ascii="Times New Roman" w:eastAsia="標楷體" w:hAnsi="Times New Roman"/>
          <w:sz w:val="28"/>
        </w:rPr>
        <w:t>表</w:t>
      </w:r>
      <w:r w:rsidRPr="00CD1F61">
        <w:rPr>
          <w:rFonts w:ascii="Times New Roman" w:eastAsia="標楷體" w:hAnsi="Times New Roman"/>
          <w:sz w:val="28"/>
        </w:rPr>
        <w:t xml:space="preserve"> 4 </w:t>
      </w:r>
      <w:r w:rsidRPr="00CD1F61">
        <w:rPr>
          <w:rFonts w:ascii="Times New Roman" w:eastAsia="標楷體" w:hAnsi="Times New Roman"/>
          <w:sz w:val="28"/>
        </w:rPr>
        <w:t>報告模型</w:t>
      </w:r>
      <w:r w:rsidRPr="00CD1F61">
        <w:rPr>
          <w:rFonts w:ascii="Times New Roman" w:eastAsia="標楷體" w:hAnsi="Times New Roman"/>
          <w:sz w:val="28"/>
        </w:rPr>
        <w:t xml:space="preserve"> 1 </w:t>
      </w:r>
      <w:r w:rsidRPr="00CD1F61">
        <w:rPr>
          <w:rFonts w:ascii="Times New Roman" w:eastAsia="標楷體" w:hAnsi="Times New Roman"/>
          <w:sz w:val="28"/>
        </w:rPr>
        <w:t>與模型</w:t>
      </w:r>
      <w:r w:rsidRPr="00CD1F61">
        <w:rPr>
          <w:rFonts w:ascii="Times New Roman" w:eastAsia="標楷體" w:hAnsi="Times New Roman"/>
          <w:sz w:val="28"/>
        </w:rPr>
        <w:t xml:space="preserve"> 2 </w:t>
      </w:r>
      <w:r w:rsidRPr="00CD1F61">
        <w:rPr>
          <w:rFonts w:ascii="Times New Roman" w:eastAsia="標楷體" w:hAnsi="Times New Roman"/>
          <w:sz w:val="28"/>
        </w:rPr>
        <w:t>之迴歸結果（</w:t>
      </w:r>
      <w:r w:rsidRPr="00CD1F61">
        <w:rPr>
          <w:rFonts w:ascii="Times New Roman" w:eastAsia="標楷體" w:hAnsi="Times New Roman"/>
          <w:sz w:val="28"/>
        </w:rPr>
        <w:t xml:space="preserve">Y </w:t>
      </w:r>
      <w:r w:rsidRPr="00CD1F61">
        <w:rPr>
          <w:rFonts w:ascii="Times New Roman" w:eastAsia="標楷體" w:hAnsi="Times New Roman"/>
          <w:sz w:val="28"/>
        </w:rPr>
        <w:t>分別為</w:t>
      </w:r>
      <w:r w:rsidRPr="00CD1F61">
        <w:rPr>
          <w:rFonts w:ascii="Times New Roman" w:eastAsia="標楷體" w:hAnsi="Times New Roman"/>
          <w:sz w:val="28"/>
        </w:rPr>
        <w:t xml:space="preserve"> Tobin's Q </w:t>
      </w:r>
      <w:r w:rsidRPr="00CD1F61">
        <w:rPr>
          <w:rFonts w:ascii="Times New Roman" w:eastAsia="標楷體" w:hAnsi="Times New Roman"/>
          <w:sz w:val="28"/>
        </w:rPr>
        <w:t>與營業費用率）。在模型</w:t>
      </w:r>
      <w:r w:rsidRPr="00CD1F61">
        <w:rPr>
          <w:rFonts w:ascii="Times New Roman" w:eastAsia="標楷體" w:hAnsi="Times New Roman"/>
          <w:sz w:val="28"/>
        </w:rPr>
        <w:t xml:space="preserve"> 1 </w:t>
      </w:r>
      <w:r w:rsidRPr="00CD1F61">
        <w:rPr>
          <w:rFonts w:ascii="Times New Roman" w:eastAsia="標楷體" w:hAnsi="Times New Roman"/>
          <w:sz w:val="28"/>
        </w:rPr>
        <w:t>中，水回收率與再生能源使用率之單項效果多未</w:t>
      </w:r>
      <w:r w:rsidRPr="00CD1F61">
        <w:rPr>
          <w:rFonts w:ascii="Times New Roman" w:eastAsia="標楷體" w:hAnsi="Times New Roman"/>
          <w:sz w:val="28"/>
        </w:rPr>
        <w:lastRenderedPageBreak/>
        <w:t>達顯著，顯示單一資源投入的直接效果有限。惟在模型</w:t>
      </w:r>
      <w:r w:rsidRPr="00CD1F61">
        <w:rPr>
          <w:rFonts w:ascii="Times New Roman" w:eastAsia="標楷體" w:hAnsi="Times New Roman"/>
          <w:sz w:val="28"/>
        </w:rPr>
        <w:t xml:space="preserve"> 2 </w:t>
      </w:r>
      <w:r w:rsidRPr="00CD1F61">
        <w:rPr>
          <w:rFonts w:ascii="Times New Roman" w:eastAsia="標楷體" w:hAnsi="Times New Roman"/>
          <w:sz w:val="28"/>
        </w:rPr>
        <w:t>加入交乘項後，</w:t>
      </w:r>
      <w:r w:rsidRPr="00CD1F61">
        <w:rPr>
          <w:rFonts w:ascii="Times New Roman" w:eastAsia="標楷體" w:hAnsi="Times New Roman"/>
          <w:sz w:val="28"/>
        </w:rPr>
        <w:t xml:space="preserve">Water×Energy </w:t>
      </w:r>
      <w:r w:rsidRPr="00CD1F61">
        <w:rPr>
          <w:rFonts w:ascii="Times New Roman" w:eastAsia="標楷體" w:hAnsi="Times New Roman"/>
          <w:sz w:val="28"/>
        </w:rPr>
        <w:t>對</w:t>
      </w:r>
      <w:r w:rsidRPr="00CD1F61">
        <w:rPr>
          <w:rFonts w:ascii="Times New Roman" w:eastAsia="標楷體" w:hAnsi="Times New Roman"/>
          <w:sz w:val="28"/>
        </w:rPr>
        <w:t xml:space="preserve"> Tobin's</w:t>
      </w:r>
      <w:r w:rsidRPr="00CD1F61">
        <w:rPr>
          <w:rFonts w:ascii="Times New Roman" w:eastAsia="標楷體" w:hAnsi="Times New Roman"/>
          <w:sz w:val="28"/>
        </w:rPr>
        <w:t xml:space="preserve"> Q </w:t>
      </w:r>
      <w:r w:rsidRPr="00CD1F61">
        <w:rPr>
          <w:rFonts w:ascii="Times New Roman" w:eastAsia="標楷體" w:hAnsi="Times New Roman"/>
          <w:sz w:val="28"/>
        </w:rPr>
        <w:t>顯著為正、對營業費用率顯著為負，支持</w:t>
      </w:r>
      <w:r w:rsidRPr="00CD1F61">
        <w:rPr>
          <w:rFonts w:ascii="Times New Roman" w:eastAsia="標楷體" w:hAnsi="Times New Roman"/>
          <w:sz w:val="28"/>
        </w:rPr>
        <w:t xml:space="preserve"> H2 </w:t>
      </w:r>
      <w:r w:rsidRPr="00CD1F61">
        <w:rPr>
          <w:rFonts w:ascii="Times New Roman" w:eastAsia="標楷體" w:hAnsi="Times New Roman"/>
          <w:sz w:val="28"/>
        </w:rPr>
        <w:t>水能互補綜效：企業同時提升水回收與綠電使用，能創造顯著的價值溢酬並壓低費用率。</w:t>
      </w:r>
    </w:p>
    <w:p w:rsidR="00A9276F" w:rsidRPr="00CD1F61" w:rsidRDefault="00CD1F61">
      <w:pPr>
        <w:spacing w:before="160"/>
        <w:rPr>
          <w:rFonts w:ascii="Times New Roman" w:eastAsia="標楷體" w:hAnsi="Times New Roman" w:hint="eastAsia"/>
          <w:sz w:val="28"/>
        </w:rPr>
      </w:pPr>
      <w:r w:rsidRPr="00CD1F61">
        <w:rPr>
          <w:rFonts w:ascii="Times New Roman" w:eastAsia="標楷體" w:hAnsi="Times New Roman"/>
          <w:sz w:val="28"/>
        </w:rPr>
        <w:t>表</w:t>
      </w:r>
      <w:r w:rsidRPr="00CD1F61">
        <w:rPr>
          <w:rFonts w:ascii="Times New Roman" w:eastAsia="標楷體" w:hAnsi="Times New Roman"/>
          <w:sz w:val="28"/>
        </w:rPr>
        <w:t xml:space="preserve"> 4</w:t>
      </w:r>
      <w:r w:rsidRPr="00CD1F61">
        <w:rPr>
          <w:rFonts w:ascii="Times New Roman" w:eastAsia="標楷體" w:hAnsi="Times New Roman"/>
          <w:sz w:val="28"/>
        </w:rPr>
        <w:t xml:space="preserve">　模型</w:t>
      </w:r>
      <w:r w:rsidRPr="00CD1F61">
        <w:rPr>
          <w:rFonts w:ascii="Times New Roman" w:eastAsia="標楷體" w:hAnsi="Times New Roman"/>
          <w:sz w:val="28"/>
        </w:rPr>
        <w:t xml:space="preserve"> 1 </w:t>
      </w:r>
      <w:r w:rsidRPr="00CD1F61">
        <w:rPr>
          <w:rFonts w:ascii="Times New Roman" w:eastAsia="標楷體" w:hAnsi="Times New Roman"/>
          <w:sz w:val="28"/>
        </w:rPr>
        <w:t>與模型</w:t>
      </w:r>
      <w:r w:rsidRPr="00CD1F61">
        <w:rPr>
          <w:rFonts w:ascii="Times New Roman" w:eastAsia="標楷體" w:hAnsi="Times New Roman"/>
          <w:sz w:val="28"/>
        </w:rPr>
        <w:t xml:space="preserve"> 2 </w:t>
      </w:r>
      <w:r w:rsidRPr="00CD1F61">
        <w:rPr>
          <w:rFonts w:ascii="Times New Roman" w:eastAsia="標楷體" w:hAnsi="Times New Roman"/>
          <w:sz w:val="28"/>
        </w:rPr>
        <w:t>迴歸結果（雙向固定效果）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867"/>
        <w:gridCol w:w="1728"/>
        <w:gridCol w:w="1728"/>
        <w:gridCol w:w="1728"/>
        <w:gridCol w:w="1728"/>
      </w:tblGrid>
      <w:tr w:rsidR="00A9276F" w:rsidRPr="00CD1F61">
        <w:trPr>
          <w:jc w:val="center"/>
        </w:trPr>
        <w:tc>
          <w:tcPr>
            <w:tcW w:w="1728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變數</w:t>
            </w:r>
          </w:p>
        </w:tc>
        <w:tc>
          <w:tcPr>
            <w:tcW w:w="1728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M1: Tobin's Q</w:t>
            </w:r>
          </w:p>
        </w:tc>
        <w:tc>
          <w:tcPr>
            <w:tcW w:w="1728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M2: Tobin's Q</w:t>
            </w:r>
          </w:p>
        </w:tc>
        <w:tc>
          <w:tcPr>
            <w:tcW w:w="1728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 xml:space="preserve">M1: </w:t>
            </w:r>
            <w:r w:rsidRPr="00CD1F61">
              <w:rPr>
                <w:rFonts w:ascii="Times New Roman" w:eastAsia="標楷體" w:hAnsi="Times New Roman"/>
                <w:sz w:val="28"/>
              </w:rPr>
              <w:t>營業費用率</w:t>
            </w:r>
          </w:p>
        </w:tc>
        <w:tc>
          <w:tcPr>
            <w:tcW w:w="1728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 xml:space="preserve">M2: </w:t>
            </w:r>
            <w:r w:rsidRPr="00CD1F61">
              <w:rPr>
                <w:rFonts w:ascii="Times New Roman" w:eastAsia="標楷體" w:hAnsi="Times New Roman"/>
                <w:sz w:val="28"/>
              </w:rPr>
              <w:t>營業費用率</w:t>
            </w:r>
          </w:p>
        </w:tc>
      </w:tr>
      <w:tr w:rsidR="00A9276F" w:rsidRPr="00CD1F61">
        <w:trPr>
          <w:jc w:val="center"/>
        </w:trPr>
        <w:tc>
          <w:tcPr>
            <w:tcW w:w="1728" w:type="dxa"/>
          </w:tcPr>
          <w:p w:rsidR="00A9276F" w:rsidRPr="00CD1F61" w:rsidRDefault="00CD1F61">
            <w:pPr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Water</w:t>
            </w:r>
          </w:p>
        </w:tc>
        <w:tc>
          <w:tcPr>
            <w:tcW w:w="1728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0.0063</w:t>
            </w:r>
            <w:r w:rsidRPr="00CD1F61">
              <w:rPr>
                <w:rFonts w:ascii="Times New Roman" w:eastAsia="標楷體" w:hAnsi="Times New Roman"/>
                <w:sz w:val="28"/>
              </w:rPr>
              <w:br/>
              <w:t>(1.15)</w:t>
            </w:r>
          </w:p>
        </w:tc>
        <w:tc>
          <w:tcPr>
            <w:tcW w:w="1728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0.0068</w:t>
            </w:r>
            <w:r w:rsidRPr="00CD1F61">
              <w:rPr>
                <w:rFonts w:ascii="Times New Roman" w:eastAsia="標楷體" w:hAnsi="Times New Roman"/>
                <w:sz w:val="28"/>
              </w:rPr>
              <w:br/>
              <w:t>(1.22)</w:t>
            </w:r>
          </w:p>
        </w:tc>
        <w:tc>
          <w:tcPr>
            <w:tcW w:w="1728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-0.0022</w:t>
            </w:r>
            <w:r w:rsidRPr="00CD1F61">
              <w:rPr>
                <w:rFonts w:ascii="Times New Roman" w:eastAsia="標楷體" w:hAnsi="Times New Roman"/>
                <w:sz w:val="28"/>
              </w:rPr>
              <w:br/>
              <w:t>(-0.17)</w:t>
            </w:r>
          </w:p>
        </w:tc>
        <w:tc>
          <w:tcPr>
            <w:tcW w:w="1728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-0.0033</w:t>
            </w:r>
            <w:r w:rsidRPr="00CD1F61">
              <w:rPr>
                <w:rFonts w:ascii="Times New Roman" w:eastAsia="標楷體" w:hAnsi="Times New Roman"/>
                <w:sz w:val="28"/>
              </w:rPr>
              <w:br/>
              <w:t>(-0.25)</w:t>
            </w:r>
          </w:p>
        </w:tc>
      </w:tr>
      <w:tr w:rsidR="00A9276F" w:rsidRPr="00CD1F61">
        <w:trPr>
          <w:jc w:val="center"/>
        </w:trPr>
        <w:tc>
          <w:tcPr>
            <w:tcW w:w="1728" w:type="dxa"/>
          </w:tcPr>
          <w:p w:rsidR="00A9276F" w:rsidRPr="00CD1F61" w:rsidRDefault="00CD1F61">
            <w:pPr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Energy</w:t>
            </w:r>
          </w:p>
        </w:tc>
        <w:tc>
          <w:tcPr>
            <w:tcW w:w="1728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0.0043</w:t>
            </w:r>
            <w:r w:rsidRPr="00CD1F61">
              <w:rPr>
                <w:rFonts w:ascii="Times New Roman" w:eastAsia="標楷體" w:hAnsi="Times New Roman"/>
                <w:sz w:val="28"/>
              </w:rPr>
              <w:br/>
              <w:t>(0.86)</w:t>
            </w:r>
          </w:p>
        </w:tc>
        <w:tc>
          <w:tcPr>
            <w:tcW w:w="1728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-0.0031</w:t>
            </w:r>
            <w:r w:rsidRPr="00CD1F61">
              <w:rPr>
                <w:rFonts w:ascii="Times New Roman" w:eastAsia="標楷體" w:hAnsi="Times New Roman"/>
                <w:sz w:val="28"/>
              </w:rPr>
              <w:br/>
              <w:t>(-0.66)</w:t>
            </w:r>
          </w:p>
        </w:tc>
        <w:tc>
          <w:tcPr>
            <w:tcW w:w="1728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0.0173</w:t>
            </w:r>
            <w:r w:rsidRPr="00CD1F61">
              <w:rPr>
                <w:rFonts w:ascii="Times New Roman" w:eastAsia="標楷體" w:hAnsi="Times New Roman"/>
                <w:sz w:val="28"/>
              </w:rPr>
              <w:br/>
            </w:r>
            <w:r w:rsidRPr="00CD1F61">
              <w:rPr>
                <w:rFonts w:ascii="Times New Roman" w:eastAsia="標楷體" w:hAnsi="Times New Roman"/>
                <w:sz w:val="28"/>
              </w:rPr>
              <w:t>(1.60)</w:t>
            </w:r>
          </w:p>
        </w:tc>
        <w:tc>
          <w:tcPr>
            <w:tcW w:w="1728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0.0348***</w:t>
            </w:r>
            <w:r w:rsidRPr="00CD1F61">
              <w:rPr>
                <w:rFonts w:ascii="Times New Roman" w:eastAsia="標楷體" w:hAnsi="Times New Roman"/>
                <w:sz w:val="28"/>
              </w:rPr>
              <w:br/>
              <w:t>(3.24)</w:t>
            </w:r>
          </w:p>
        </w:tc>
      </w:tr>
      <w:tr w:rsidR="00A9276F" w:rsidRPr="00CD1F61">
        <w:trPr>
          <w:jc w:val="center"/>
        </w:trPr>
        <w:tc>
          <w:tcPr>
            <w:tcW w:w="1728" w:type="dxa"/>
          </w:tcPr>
          <w:p w:rsidR="00A9276F" w:rsidRPr="00CD1F61" w:rsidRDefault="00CD1F61">
            <w:pPr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Water×Energy</w:t>
            </w:r>
          </w:p>
        </w:tc>
        <w:tc>
          <w:tcPr>
            <w:tcW w:w="1728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—</w:t>
            </w:r>
          </w:p>
        </w:tc>
        <w:tc>
          <w:tcPr>
            <w:tcW w:w="1728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0.0011**</w:t>
            </w:r>
            <w:r w:rsidRPr="00CD1F61">
              <w:rPr>
                <w:rFonts w:ascii="Times New Roman" w:eastAsia="標楷體" w:hAnsi="Times New Roman"/>
                <w:sz w:val="28"/>
              </w:rPr>
              <w:br/>
              <w:t>(2.32)</w:t>
            </w:r>
          </w:p>
        </w:tc>
        <w:tc>
          <w:tcPr>
            <w:tcW w:w="1728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—</w:t>
            </w:r>
          </w:p>
        </w:tc>
        <w:tc>
          <w:tcPr>
            <w:tcW w:w="1728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-0.0026**</w:t>
            </w:r>
            <w:r w:rsidRPr="00CD1F61">
              <w:rPr>
                <w:rFonts w:ascii="Times New Roman" w:eastAsia="標楷體" w:hAnsi="Times New Roman"/>
                <w:sz w:val="28"/>
              </w:rPr>
              <w:br/>
              <w:t>(-2.34)</w:t>
            </w:r>
          </w:p>
        </w:tc>
      </w:tr>
      <w:tr w:rsidR="00A9276F" w:rsidRPr="00CD1F61">
        <w:trPr>
          <w:jc w:val="center"/>
        </w:trPr>
        <w:tc>
          <w:tcPr>
            <w:tcW w:w="1728" w:type="dxa"/>
          </w:tcPr>
          <w:p w:rsidR="00A9276F" w:rsidRPr="00CD1F61" w:rsidRDefault="00CD1F61">
            <w:pPr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RD</w:t>
            </w:r>
          </w:p>
        </w:tc>
        <w:tc>
          <w:tcPr>
            <w:tcW w:w="1728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-0.0532*</w:t>
            </w:r>
            <w:r w:rsidRPr="00CD1F61">
              <w:rPr>
                <w:rFonts w:ascii="Times New Roman" w:eastAsia="標楷體" w:hAnsi="Times New Roman"/>
                <w:sz w:val="28"/>
              </w:rPr>
              <w:br/>
              <w:t>(-1.88)</w:t>
            </w:r>
          </w:p>
        </w:tc>
        <w:tc>
          <w:tcPr>
            <w:tcW w:w="1728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-0.0545*</w:t>
            </w:r>
            <w:r w:rsidRPr="00CD1F61">
              <w:rPr>
                <w:rFonts w:ascii="Times New Roman" w:eastAsia="標楷體" w:hAnsi="Times New Roman"/>
                <w:sz w:val="28"/>
              </w:rPr>
              <w:br/>
              <w:t>(-1.92)</w:t>
            </w:r>
          </w:p>
        </w:tc>
        <w:tc>
          <w:tcPr>
            <w:tcW w:w="1728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1.5189***</w:t>
            </w:r>
            <w:r w:rsidRPr="00CD1F61">
              <w:rPr>
                <w:rFonts w:ascii="Times New Roman" w:eastAsia="標楷體" w:hAnsi="Times New Roman"/>
                <w:sz w:val="28"/>
              </w:rPr>
              <w:br/>
              <w:t>(13.76)</w:t>
            </w:r>
          </w:p>
        </w:tc>
        <w:tc>
          <w:tcPr>
            <w:tcW w:w="1728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1.5221***</w:t>
            </w:r>
            <w:r w:rsidRPr="00CD1F61">
              <w:rPr>
                <w:rFonts w:ascii="Times New Roman" w:eastAsia="標楷體" w:hAnsi="Times New Roman"/>
                <w:sz w:val="28"/>
              </w:rPr>
              <w:br/>
              <w:t>(13.80)</w:t>
            </w:r>
          </w:p>
        </w:tc>
      </w:tr>
      <w:tr w:rsidR="00A9276F" w:rsidRPr="00CD1F61">
        <w:trPr>
          <w:jc w:val="center"/>
        </w:trPr>
        <w:tc>
          <w:tcPr>
            <w:tcW w:w="1728" w:type="dxa"/>
          </w:tcPr>
          <w:p w:rsidR="00A9276F" w:rsidRPr="00CD1F61" w:rsidRDefault="00CD1F61">
            <w:pPr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SIZE</w:t>
            </w:r>
          </w:p>
        </w:tc>
        <w:tc>
          <w:tcPr>
            <w:tcW w:w="1728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-0.3272</w:t>
            </w:r>
            <w:r w:rsidRPr="00CD1F61">
              <w:rPr>
                <w:rFonts w:ascii="Times New Roman" w:eastAsia="標楷體" w:hAnsi="Times New Roman"/>
                <w:sz w:val="28"/>
              </w:rPr>
              <w:br/>
              <w:t>(-1.44)</w:t>
            </w:r>
          </w:p>
        </w:tc>
        <w:tc>
          <w:tcPr>
            <w:tcW w:w="1728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-0.3266</w:t>
            </w:r>
            <w:r w:rsidRPr="00CD1F61">
              <w:rPr>
                <w:rFonts w:ascii="Times New Roman" w:eastAsia="標楷體" w:hAnsi="Times New Roman"/>
                <w:sz w:val="28"/>
              </w:rPr>
              <w:br/>
              <w:t>(-1.43)</w:t>
            </w:r>
          </w:p>
        </w:tc>
        <w:tc>
          <w:tcPr>
            <w:tcW w:w="1728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-1.7299*</w:t>
            </w:r>
            <w:r w:rsidRPr="00CD1F61">
              <w:rPr>
                <w:rFonts w:ascii="Times New Roman" w:eastAsia="標楷體" w:hAnsi="Times New Roman"/>
                <w:sz w:val="28"/>
              </w:rPr>
              <w:br/>
              <w:t>(-1.77)</w:t>
            </w:r>
          </w:p>
        </w:tc>
        <w:tc>
          <w:tcPr>
            <w:tcW w:w="1728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-1.7313*</w:t>
            </w:r>
            <w:r w:rsidRPr="00CD1F61">
              <w:rPr>
                <w:rFonts w:ascii="Times New Roman" w:eastAsia="標楷體" w:hAnsi="Times New Roman"/>
                <w:sz w:val="28"/>
              </w:rPr>
              <w:br/>
              <w:t>(-1.77)</w:t>
            </w:r>
          </w:p>
        </w:tc>
      </w:tr>
      <w:tr w:rsidR="00A9276F" w:rsidRPr="00CD1F61">
        <w:trPr>
          <w:jc w:val="center"/>
        </w:trPr>
        <w:tc>
          <w:tcPr>
            <w:tcW w:w="1728" w:type="dxa"/>
          </w:tcPr>
          <w:p w:rsidR="00A9276F" w:rsidRPr="00CD1F61" w:rsidRDefault="00CD1F61">
            <w:pPr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LEV</w:t>
            </w:r>
          </w:p>
        </w:tc>
        <w:tc>
          <w:tcPr>
            <w:tcW w:w="1728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0.0001</w:t>
            </w:r>
            <w:r w:rsidRPr="00CD1F61">
              <w:rPr>
                <w:rFonts w:ascii="Times New Roman" w:eastAsia="標楷體" w:hAnsi="Times New Roman"/>
                <w:sz w:val="28"/>
              </w:rPr>
              <w:br/>
              <w:t>(0.01)</w:t>
            </w:r>
          </w:p>
        </w:tc>
        <w:tc>
          <w:tcPr>
            <w:tcW w:w="1728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-0.0001</w:t>
            </w:r>
            <w:r w:rsidRPr="00CD1F61">
              <w:rPr>
                <w:rFonts w:ascii="Times New Roman" w:eastAsia="標楷體" w:hAnsi="Times New Roman"/>
                <w:sz w:val="28"/>
              </w:rPr>
              <w:br/>
              <w:t>(-0.01)</w:t>
            </w:r>
          </w:p>
        </w:tc>
        <w:tc>
          <w:tcPr>
            <w:tcW w:w="1728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0.0753**</w:t>
            </w:r>
            <w:r w:rsidRPr="00CD1F61">
              <w:rPr>
                <w:rFonts w:ascii="Times New Roman" w:eastAsia="標楷體" w:hAnsi="Times New Roman"/>
                <w:sz w:val="28"/>
              </w:rPr>
              <w:br/>
              <w:t>(2.26)</w:t>
            </w:r>
          </w:p>
        </w:tc>
        <w:tc>
          <w:tcPr>
            <w:tcW w:w="1728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0.0757**</w:t>
            </w:r>
            <w:r w:rsidRPr="00CD1F61">
              <w:rPr>
                <w:rFonts w:ascii="Times New Roman" w:eastAsia="標楷體" w:hAnsi="Times New Roman"/>
                <w:sz w:val="28"/>
              </w:rPr>
              <w:br/>
              <w:t>(2.27)</w:t>
            </w:r>
          </w:p>
        </w:tc>
      </w:tr>
      <w:tr w:rsidR="00A9276F" w:rsidRPr="00CD1F61">
        <w:trPr>
          <w:jc w:val="center"/>
        </w:trPr>
        <w:tc>
          <w:tcPr>
            <w:tcW w:w="1728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N</w:t>
            </w:r>
          </w:p>
        </w:tc>
        <w:tc>
          <w:tcPr>
            <w:tcW w:w="1728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196</w:t>
            </w:r>
          </w:p>
        </w:tc>
        <w:tc>
          <w:tcPr>
            <w:tcW w:w="1728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196</w:t>
            </w:r>
          </w:p>
        </w:tc>
        <w:tc>
          <w:tcPr>
            <w:tcW w:w="1728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196</w:t>
            </w:r>
          </w:p>
        </w:tc>
        <w:tc>
          <w:tcPr>
            <w:tcW w:w="1728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196</w:t>
            </w:r>
          </w:p>
        </w:tc>
      </w:tr>
    </w:tbl>
    <w:p w:rsidR="00A9276F" w:rsidRPr="00CD1F61" w:rsidRDefault="00CD1F61">
      <w:pPr>
        <w:rPr>
          <w:rFonts w:ascii="Times New Roman" w:eastAsia="標楷體" w:hAnsi="Times New Roman" w:hint="eastAsia"/>
          <w:sz w:val="28"/>
        </w:rPr>
      </w:pPr>
      <w:r w:rsidRPr="00CD1F61">
        <w:rPr>
          <w:rFonts w:ascii="Times New Roman" w:eastAsia="標楷體" w:hAnsi="Times New Roman"/>
          <w:sz w:val="28"/>
        </w:rPr>
        <w:t>註：括號內為</w:t>
      </w:r>
      <w:r w:rsidRPr="00CD1F61">
        <w:rPr>
          <w:rFonts w:ascii="Times New Roman" w:eastAsia="標楷體" w:hAnsi="Times New Roman"/>
          <w:sz w:val="28"/>
        </w:rPr>
        <w:t xml:space="preserve"> t </w:t>
      </w:r>
      <w:r w:rsidRPr="00CD1F61">
        <w:rPr>
          <w:rFonts w:ascii="Times New Roman" w:eastAsia="標楷體" w:hAnsi="Times New Roman"/>
          <w:sz w:val="28"/>
        </w:rPr>
        <w:t>值；</w:t>
      </w:r>
      <w:r w:rsidRPr="00CD1F61">
        <w:rPr>
          <w:rFonts w:ascii="Times New Roman" w:eastAsia="標楷體" w:hAnsi="Times New Roman"/>
          <w:sz w:val="28"/>
        </w:rPr>
        <w:t xml:space="preserve">*** </w:t>
      </w:r>
      <w:r w:rsidRPr="00CD1F61">
        <w:rPr>
          <w:rFonts w:ascii="Times New Roman" w:eastAsia="標楷體" w:hAnsi="Times New Roman"/>
          <w:sz w:val="28"/>
        </w:rPr>
        <w:t>、</w:t>
      </w:r>
      <w:r w:rsidRPr="00CD1F61">
        <w:rPr>
          <w:rFonts w:ascii="Times New Roman" w:eastAsia="標楷體" w:hAnsi="Times New Roman"/>
          <w:sz w:val="28"/>
        </w:rPr>
        <w:t xml:space="preserve">** </w:t>
      </w:r>
      <w:r w:rsidRPr="00CD1F61">
        <w:rPr>
          <w:rFonts w:ascii="Times New Roman" w:eastAsia="標楷體" w:hAnsi="Times New Roman"/>
          <w:sz w:val="28"/>
        </w:rPr>
        <w:t>、</w:t>
      </w:r>
      <w:r w:rsidRPr="00CD1F61">
        <w:rPr>
          <w:rFonts w:ascii="Times New Roman" w:eastAsia="標楷體" w:hAnsi="Times New Roman"/>
          <w:sz w:val="28"/>
        </w:rPr>
        <w:t xml:space="preserve">* </w:t>
      </w:r>
      <w:r w:rsidRPr="00CD1F61">
        <w:rPr>
          <w:rFonts w:ascii="Times New Roman" w:eastAsia="標楷體" w:hAnsi="Times New Roman"/>
          <w:sz w:val="28"/>
        </w:rPr>
        <w:t>分別代表</w:t>
      </w:r>
      <w:r w:rsidRPr="00CD1F61">
        <w:rPr>
          <w:rFonts w:ascii="Times New Roman" w:eastAsia="標楷體" w:hAnsi="Times New Roman"/>
          <w:sz w:val="28"/>
        </w:rPr>
        <w:t xml:space="preserve"> 1%</w:t>
      </w:r>
      <w:r w:rsidRPr="00CD1F61">
        <w:rPr>
          <w:rFonts w:ascii="Times New Roman" w:eastAsia="標楷體" w:hAnsi="Times New Roman"/>
          <w:sz w:val="28"/>
        </w:rPr>
        <w:t>、</w:t>
      </w:r>
      <w:r w:rsidRPr="00CD1F61">
        <w:rPr>
          <w:rFonts w:ascii="Times New Roman" w:eastAsia="標楷體" w:hAnsi="Times New Roman"/>
          <w:sz w:val="28"/>
        </w:rPr>
        <w:t>5%</w:t>
      </w:r>
      <w:r w:rsidRPr="00CD1F61">
        <w:rPr>
          <w:rFonts w:ascii="Times New Roman" w:eastAsia="標楷體" w:hAnsi="Times New Roman"/>
          <w:sz w:val="28"/>
        </w:rPr>
        <w:t>、</w:t>
      </w:r>
      <w:r w:rsidRPr="00CD1F61">
        <w:rPr>
          <w:rFonts w:ascii="Times New Roman" w:eastAsia="標楷體" w:hAnsi="Times New Roman"/>
          <w:sz w:val="28"/>
        </w:rPr>
        <w:t xml:space="preserve">10% </w:t>
      </w:r>
      <w:r w:rsidRPr="00CD1F61">
        <w:rPr>
          <w:rFonts w:ascii="Times New Roman" w:eastAsia="標楷體" w:hAnsi="Times New Roman"/>
          <w:sz w:val="28"/>
        </w:rPr>
        <w:t>顯著水準。已控制公司別與年度固定效果。</w:t>
      </w:r>
    </w:p>
    <w:p w:rsidR="00A9276F" w:rsidRPr="00CD1F61" w:rsidRDefault="00CD1F61">
      <w:pPr>
        <w:spacing w:before="240" w:after="120"/>
        <w:rPr>
          <w:rFonts w:ascii="Times New Roman" w:eastAsia="標楷體" w:hAnsi="Times New Roman" w:hint="eastAsia"/>
          <w:sz w:val="28"/>
        </w:rPr>
      </w:pPr>
      <w:r w:rsidRPr="00CD1F61">
        <w:rPr>
          <w:rFonts w:ascii="Times New Roman" w:eastAsia="標楷體" w:hAnsi="Times New Roman"/>
          <w:sz w:val="28"/>
        </w:rPr>
        <w:t>4-4</w:t>
      </w:r>
      <w:r w:rsidRPr="00CD1F61">
        <w:rPr>
          <w:rFonts w:ascii="Times New Roman" w:eastAsia="標楷體" w:hAnsi="Times New Roman"/>
          <w:sz w:val="28"/>
        </w:rPr>
        <w:t xml:space="preserve">　穩健性檢定</w:t>
      </w:r>
    </w:p>
    <w:p w:rsidR="00A9276F" w:rsidRPr="00CD1F61" w:rsidRDefault="00CD1F61">
      <w:pPr>
        <w:spacing w:after="80" w:line="360" w:lineRule="auto"/>
        <w:ind w:firstLine="480"/>
        <w:rPr>
          <w:rFonts w:ascii="Times New Roman" w:eastAsia="標楷體" w:hAnsi="Times New Roman" w:hint="eastAsia"/>
          <w:sz w:val="28"/>
        </w:rPr>
      </w:pPr>
      <w:r w:rsidRPr="00CD1F61">
        <w:rPr>
          <w:rFonts w:ascii="Times New Roman" w:eastAsia="標楷體" w:hAnsi="Times New Roman"/>
          <w:sz w:val="28"/>
        </w:rPr>
        <w:t>為確認結果之穩健性，本研究進行兩項檢定。其一，將樣本由三大電子業擴充至再加入鋼鐵、化學、紡織、食品、塑膠與電腦及週邊等產業，有效觀測數由約</w:t>
      </w:r>
      <w:r w:rsidRPr="00CD1F61">
        <w:rPr>
          <w:rFonts w:ascii="Times New Roman" w:eastAsia="標楷體" w:hAnsi="Times New Roman"/>
          <w:sz w:val="28"/>
        </w:rPr>
        <w:t xml:space="preserve"> 196 </w:t>
      </w:r>
      <w:r w:rsidRPr="00CD1F61">
        <w:rPr>
          <w:rFonts w:ascii="Times New Roman" w:eastAsia="標楷體" w:hAnsi="Times New Roman"/>
          <w:sz w:val="28"/>
        </w:rPr>
        <w:t>提升至約</w:t>
      </w:r>
      <w:r w:rsidRPr="00CD1F61">
        <w:rPr>
          <w:rFonts w:ascii="Times New Roman" w:eastAsia="標楷體" w:hAnsi="Times New Roman"/>
          <w:sz w:val="28"/>
        </w:rPr>
        <w:t xml:space="preserve"> 359</w:t>
      </w:r>
      <w:r w:rsidRPr="00CD1F61">
        <w:rPr>
          <w:rFonts w:ascii="Times New Roman" w:eastAsia="標楷體" w:hAnsi="Times New Roman"/>
          <w:sz w:val="28"/>
        </w:rPr>
        <w:t>。表</w:t>
      </w:r>
      <w:r w:rsidRPr="00CD1F61">
        <w:rPr>
          <w:rFonts w:ascii="Times New Roman" w:eastAsia="標楷體" w:hAnsi="Times New Roman"/>
          <w:sz w:val="28"/>
        </w:rPr>
        <w:t xml:space="preserve"> 5 </w:t>
      </w:r>
      <w:r w:rsidRPr="00CD1F61">
        <w:rPr>
          <w:rFonts w:ascii="Times New Roman" w:eastAsia="標楷體" w:hAnsi="Times New Roman"/>
          <w:sz w:val="28"/>
        </w:rPr>
        <w:t>顯示，</w:t>
      </w:r>
      <w:r w:rsidRPr="00CD1F61">
        <w:rPr>
          <w:rFonts w:ascii="Times New Roman" w:eastAsia="標楷體" w:hAnsi="Times New Roman"/>
          <w:sz w:val="28"/>
        </w:rPr>
        <w:t xml:space="preserve">Water×Energy </w:t>
      </w:r>
      <w:r w:rsidRPr="00CD1F61">
        <w:rPr>
          <w:rFonts w:ascii="Times New Roman" w:eastAsia="標楷體" w:hAnsi="Times New Roman"/>
          <w:sz w:val="28"/>
        </w:rPr>
        <w:t>交乘項對</w:t>
      </w:r>
      <w:r w:rsidRPr="00CD1F61">
        <w:rPr>
          <w:rFonts w:ascii="Times New Roman" w:eastAsia="標楷體" w:hAnsi="Times New Roman"/>
          <w:sz w:val="28"/>
        </w:rPr>
        <w:t xml:space="preserve"> Tobin's Q </w:t>
      </w:r>
      <w:r w:rsidRPr="00CD1F61">
        <w:rPr>
          <w:rFonts w:ascii="Times New Roman" w:eastAsia="標楷體" w:hAnsi="Times New Roman"/>
          <w:sz w:val="28"/>
        </w:rPr>
        <w:t>仍顯著為正、對營業費用率仍顯著為負，與主樣本結論一致，顯示水能互補綜效不因產業範圍而改變。</w:t>
      </w:r>
    </w:p>
    <w:p w:rsidR="00A9276F" w:rsidRPr="00CD1F61" w:rsidRDefault="00CD1F61">
      <w:pPr>
        <w:spacing w:before="160"/>
        <w:rPr>
          <w:rFonts w:ascii="Times New Roman" w:eastAsia="標楷體" w:hAnsi="Times New Roman" w:hint="eastAsia"/>
          <w:sz w:val="28"/>
        </w:rPr>
      </w:pPr>
      <w:r w:rsidRPr="00CD1F61">
        <w:rPr>
          <w:rFonts w:ascii="Times New Roman" w:eastAsia="標楷體" w:hAnsi="Times New Roman"/>
          <w:sz w:val="28"/>
        </w:rPr>
        <w:t>表</w:t>
      </w:r>
      <w:r w:rsidRPr="00CD1F61">
        <w:rPr>
          <w:rFonts w:ascii="Times New Roman" w:eastAsia="標楷體" w:hAnsi="Times New Roman"/>
          <w:sz w:val="28"/>
        </w:rPr>
        <w:t xml:space="preserve"> 5</w:t>
      </w:r>
      <w:r w:rsidRPr="00CD1F61">
        <w:rPr>
          <w:rFonts w:ascii="Times New Roman" w:eastAsia="標楷體" w:hAnsi="Times New Roman"/>
          <w:sz w:val="28"/>
        </w:rPr>
        <w:t xml:space="preserve">　穩健性檢定：擴充產業樣本（模型</w:t>
      </w:r>
      <w:r w:rsidRPr="00CD1F61">
        <w:rPr>
          <w:rFonts w:ascii="Times New Roman" w:eastAsia="標楷體" w:hAnsi="Times New Roman"/>
          <w:sz w:val="28"/>
        </w:rPr>
        <w:t xml:space="preserve"> 2</w:t>
      </w:r>
      <w:r w:rsidRPr="00CD1F61">
        <w:rPr>
          <w:rFonts w:ascii="Times New Roman" w:eastAsia="標楷體" w:hAnsi="Times New Roman"/>
          <w:sz w:val="28"/>
        </w:rPr>
        <w:t>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9276F" w:rsidRPr="00CD1F61">
        <w:trPr>
          <w:jc w:val="center"/>
        </w:trPr>
        <w:tc>
          <w:tcPr>
            <w:tcW w:w="2880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lastRenderedPageBreak/>
              <w:t>變數</w:t>
            </w:r>
          </w:p>
        </w:tc>
        <w:tc>
          <w:tcPr>
            <w:tcW w:w="2880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Tobin's Q</w:t>
            </w:r>
          </w:p>
        </w:tc>
        <w:tc>
          <w:tcPr>
            <w:tcW w:w="2880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營業費用率</w:t>
            </w:r>
          </w:p>
        </w:tc>
      </w:tr>
      <w:tr w:rsidR="00A9276F" w:rsidRPr="00CD1F61">
        <w:trPr>
          <w:jc w:val="center"/>
        </w:trPr>
        <w:tc>
          <w:tcPr>
            <w:tcW w:w="2880" w:type="dxa"/>
          </w:tcPr>
          <w:p w:rsidR="00A9276F" w:rsidRPr="00CD1F61" w:rsidRDefault="00CD1F61">
            <w:pPr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Water</w:t>
            </w:r>
          </w:p>
        </w:tc>
        <w:tc>
          <w:tcPr>
            <w:tcW w:w="2880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0.0018</w:t>
            </w:r>
            <w:r w:rsidRPr="00CD1F61">
              <w:rPr>
                <w:rFonts w:ascii="Times New Roman" w:eastAsia="標楷體" w:hAnsi="Times New Roman"/>
                <w:sz w:val="28"/>
              </w:rPr>
              <w:br/>
              <w:t>(0.58)</w:t>
            </w:r>
          </w:p>
        </w:tc>
        <w:tc>
          <w:tcPr>
            <w:tcW w:w="2880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0.0084</w:t>
            </w:r>
            <w:r w:rsidRPr="00CD1F61">
              <w:rPr>
                <w:rFonts w:ascii="Times New Roman" w:eastAsia="標楷體" w:hAnsi="Times New Roman"/>
                <w:sz w:val="28"/>
              </w:rPr>
              <w:br/>
              <w:t>(0.40)</w:t>
            </w:r>
          </w:p>
        </w:tc>
      </w:tr>
      <w:tr w:rsidR="00A9276F" w:rsidRPr="00CD1F61">
        <w:trPr>
          <w:jc w:val="center"/>
        </w:trPr>
        <w:tc>
          <w:tcPr>
            <w:tcW w:w="2880" w:type="dxa"/>
          </w:tcPr>
          <w:p w:rsidR="00A9276F" w:rsidRPr="00CD1F61" w:rsidRDefault="00CD1F61">
            <w:pPr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Energy</w:t>
            </w:r>
          </w:p>
        </w:tc>
        <w:tc>
          <w:tcPr>
            <w:tcW w:w="2880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-0.0028*</w:t>
            </w:r>
            <w:r w:rsidRPr="00CD1F61">
              <w:rPr>
                <w:rFonts w:ascii="Times New Roman" w:eastAsia="標楷體" w:hAnsi="Times New Roman"/>
                <w:sz w:val="28"/>
              </w:rPr>
              <w:br/>
              <w:t>(-1.91)</w:t>
            </w:r>
          </w:p>
        </w:tc>
        <w:tc>
          <w:tcPr>
            <w:tcW w:w="2880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0.0350***</w:t>
            </w:r>
            <w:r w:rsidRPr="00CD1F61">
              <w:rPr>
                <w:rFonts w:ascii="Times New Roman" w:eastAsia="標楷體" w:hAnsi="Times New Roman"/>
                <w:sz w:val="28"/>
              </w:rPr>
              <w:br/>
              <w:t>(4.13)</w:t>
            </w:r>
          </w:p>
        </w:tc>
      </w:tr>
      <w:tr w:rsidR="00A9276F" w:rsidRPr="00CD1F61">
        <w:trPr>
          <w:jc w:val="center"/>
        </w:trPr>
        <w:tc>
          <w:tcPr>
            <w:tcW w:w="2880" w:type="dxa"/>
          </w:tcPr>
          <w:p w:rsidR="00A9276F" w:rsidRPr="00CD1F61" w:rsidRDefault="00CD1F61">
            <w:pPr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Water×Energy</w:t>
            </w:r>
          </w:p>
        </w:tc>
        <w:tc>
          <w:tcPr>
            <w:tcW w:w="2880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0.0009***</w:t>
            </w:r>
            <w:r w:rsidRPr="00CD1F61">
              <w:rPr>
                <w:rFonts w:ascii="Times New Roman" w:eastAsia="標楷體" w:hAnsi="Times New Roman"/>
                <w:sz w:val="28"/>
              </w:rPr>
              <w:br/>
              <w:t>(3.96)</w:t>
            </w:r>
          </w:p>
        </w:tc>
        <w:tc>
          <w:tcPr>
            <w:tcW w:w="2880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-0.0034***</w:t>
            </w:r>
            <w:r w:rsidRPr="00CD1F61">
              <w:rPr>
                <w:rFonts w:ascii="Times New Roman" w:eastAsia="標楷體" w:hAnsi="Times New Roman"/>
                <w:sz w:val="28"/>
              </w:rPr>
              <w:br/>
              <w:t>(-2.67)</w:t>
            </w:r>
          </w:p>
        </w:tc>
      </w:tr>
      <w:tr w:rsidR="00A9276F" w:rsidRPr="00CD1F61">
        <w:trPr>
          <w:jc w:val="center"/>
        </w:trPr>
        <w:tc>
          <w:tcPr>
            <w:tcW w:w="2880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N</w:t>
            </w:r>
          </w:p>
        </w:tc>
        <w:tc>
          <w:tcPr>
            <w:tcW w:w="2880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359</w:t>
            </w:r>
          </w:p>
        </w:tc>
        <w:tc>
          <w:tcPr>
            <w:tcW w:w="2880" w:type="dxa"/>
          </w:tcPr>
          <w:p w:rsidR="00A9276F" w:rsidRPr="00CD1F61" w:rsidRDefault="00CD1F61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CD1F61">
              <w:rPr>
                <w:rFonts w:ascii="Times New Roman" w:eastAsia="標楷體" w:hAnsi="Times New Roman"/>
                <w:sz w:val="28"/>
              </w:rPr>
              <w:t>359</w:t>
            </w:r>
          </w:p>
        </w:tc>
      </w:tr>
    </w:tbl>
    <w:p w:rsidR="00A9276F" w:rsidRPr="00CD1F61" w:rsidRDefault="00CD1F61">
      <w:pPr>
        <w:rPr>
          <w:rFonts w:ascii="Times New Roman" w:eastAsia="標楷體" w:hAnsi="Times New Roman" w:hint="eastAsia"/>
          <w:sz w:val="28"/>
        </w:rPr>
      </w:pPr>
      <w:r w:rsidRPr="00CD1F61">
        <w:rPr>
          <w:rFonts w:ascii="Times New Roman" w:eastAsia="標楷體" w:hAnsi="Times New Roman"/>
          <w:sz w:val="28"/>
        </w:rPr>
        <w:t>註：括號內為</w:t>
      </w:r>
      <w:r w:rsidRPr="00CD1F61">
        <w:rPr>
          <w:rFonts w:ascii="Times New Roman" w:eastAsia="標楷體" w:hAnsi="Times New Roman"/>
          <w:sz w:val="28"/>
        </w:rPr>
        <w:t xml:space="preserve"> t </w:t>
      </w:r>
      <w:r w:rsidRPr="00CD1F61">
        <w:rPr>
          <w:rFonts w:ascii="Times New Roman" w:eastAsia="標楷體" w:hAnsi="Times New Roman"/>
          <w:sz w:val="28"/>
        </w:rPr>
        <w:t>值；</w:t>
      </w:r>
      <w:r w:rsidRPr="00CD1F61">
        <w:rPr>
          <w:rFonts w:ascii="Times New Roman" w:eastAsia="標楷體" w:hAnsi="Times New Roman"/>
          <w:sz w:val="28"/>
        </w:rPr>
        <w:t xml:space="preserve">*** </w:t>
      </w:r>
      <w:r w:rsidRPr="00CD1F61">
        <w:rPr>
          <w:rFonts w:ascii="Times New Roman" w:eastAsia="標楷體" w:hAnsi="Times New Roman"/>
          <w:sz w:val="28"/>
        </w:rPr>
        <w:t>、</w:t>
      </w:r>
      <w:r w:rsidRPr="00CD1F61">
        <w:rPr>
          <w:rFonts w:ascii="Times New Roman" w:eastAsia="標楷體" w:hAnsi="Times New Roman"/>
          <w:sz w:val="28"/>
        </w:rPr>
        <w:t xml:space="preserve">** </w:t>
      </w:r>
      <w:r w:rsidRPr="00CD1F61">
        <w:rPr>
          <w:rFonts w:ascii="Times New Roman" w:eastAsia="標楷體" w:hAnsi="Times New Roman"/>
          <w:sz w:val="28"/>
        </w:rPr>
        <w:t>、</w:t>
      </w:r>
      <w:r w:rsidRPr="00CD1F61">
        <w:rPr>
          <w:rFonts w:ascii="Times New Roman" w:eastAsia="標楷體" w:hAnsi="Times New Roman"/>
          <w:sz w:val="28"/>
        </w:rPr>
        <w:t xml:space="preserve">* </w:t>
      </w:r>
      <w:r w:rsidRPr="00CD1F61">
        <w:rPr>
          <w:rFonts w:ascii="Times New Roman" w:eastAsia="標楷體" w:hAnsi="Times New Roman"/>
          <w:sz w:val="28"/>
        </w:rPr>
        <w:t>分別代表</w:t>
      </w:r>
      <w:r w:rsidRPr="00CD1F61">
        <w:rPr>
          <w:rFonts w:ascii="Times New Roman" w:eastAsia="標楷體" w:hAnsi="Times New Roman"/>
          <w:sz w:val="28"/>
        </w:rPr>
        <w:t xml:space="preserve"> </w:t>
      </w:r>
      <w:r w:rsidRPr="00CD1F61">
        <w:rPr>
          <w:rFonts w:ascii="Times New Roman" w:eastAsia="標楷體" w:hAnsi="Times New Roman"/>
          <w:sz w:val="28"/>
        </w:rPr>
        <w:t>1%</w:t>
      </w:r>
      <w:r w:rsidRPr="00CD1F61">
        <w:rPr>
          <w:rFonts w:ascii="Times New Roman" w:eastAsia="標楷體" w:hAnsi="Times New Roman"/>
          <w:sz w:val="28"/>
        </w:rPr>
        <w:t>、</w:t>
      </w:r>
      <w:r w:rsidRPr="00CD1F61">
        <w:rPr>
          <w:rFonts w:ascii="Times New Roman" w:eastAsia="標楷體" w:hAnsi="Times New Roman"/>
          <w:sz w:val="28"/>
        </w:rPr>
        <w:t>5%</w:t>
      </w:r>
      <w:r w:rsidRPr="00CD1F61">
        <w:rPr>
          <w:rFonts w:ascii="Times New Roman" w:eastAsia="標楷體" w:hAnsi="Times New Roman"/>
          <w:sz w:val="28"/>
        </w:rPr>
        <w:t>、</w:t>
      </w:r>
      <w:r w:rsidRPr="00CD1F61">
        <w:rPr>
          <w:rFonts w:ascii="Times New Roman" w:eastAsia="標楷體" w:hAnsi="Times New Roman"/>
          <w:sz w:val="28"/>
        </w:rPr>
        <w:t xml:space="preserve">10% </w:t>
      </w:r>
      <w:r w:rsidRPr="00CD1F61">
        <w:rPr>
          <w:rFonts w:ascii="Times New Roman" w:eastAsia="標楷體" w:hAnsi="Times New Roman"/>
          <w:sz w:val="28"/>
        </w:rPr>
        <w:t>顯著水準。已控制公司別與年度固定效果。</w:t>
      </w:r>
    </w:p>
    <w:p w:rsidR="00A9276F" w:rsidRPr="00CD1F61" w:rsidRDefault="00CD1F61">
      <w:pPr>
        <w:spacing w:after="80" w:line="360" w:lineRule="auto"/>
        <w:ind w:firstLine="480"/>
        <w:rPr>
          <w:rFonts w:ascii="Times New Roman" w:eastAsia="標楷體" w:hAnsi="Times New Roman" w:hint="eastAsia"/>
          <w:sz w:val="28"/>
        </w:rPr>
      </w:pPr>
      <w:r w:rsidRPr="00CD1F61">
        <w:rPr>
          <w:rFonts w:ascii="Times New Roman" w:eastAsia="標楷體" w:hAnsi="Times New Roman"/>
          <w:sz w:val="28"/>
        </w:rPr>
        <w:t>其二，模型</w:t>
      </w:r>
      <w:r w:rsidRPr="00CD1F61">
        <w:rPr>
          <w:rFonts w:ascii="Times New Roman" w:eastAsia="標楷體" w:hAnsi="Times New Roman"/>
          <w:sz w:val="28"/>
        </w:rPr>
        <w:t xml:space="preserve"> 3 </w:t>
      </w:r>
      <w:r w:rsidRPr="00CD1F61">
        <w:rPr>
          <w:rFonts w:ascii="Times New Roman" w:eastAsia="標楷體" w:hAnsi="Times New Roman"/>
          <w:sz w:val="28"/>
        </w:rPr>
        <w:t>將應變數遞延</w:t>
      </w:r>
      <w:r w:rsidRPr="00CD1F61">
        <w:rPr>
          <w:rFonts w:ascii="Times New Roman" w:eastAsia="標楷體" w:hAnsi="Times New Roman"/>
          <w:sz w:val="28"/>
        </w:rPr>
        <w:t xml:space="preserve"> 1</w:t>
      </w:r>
      <w:r w:rsidRPr="00CD1F61">
        <w:rPr>
          <w:rFonts w:ascii="Times New Roman" w:eastAsia="標楷體" w:hAnsi="Times New Roman"/>
          <w:sz w:val="28"/>
        </w:rPr>
        <w:t>、</w:t>
      </w:r>
      <w:r w:rsidRPr="00CD1F61">
        <w:rPr>
          <w:rFonts w:ascii="Times New Roman" w:eastAsia="標楷體" w:hAnsi="Times New Roman"/>
          <w:sz w:val="28"/>
        </w:rPr>
        <w:t>3</w:t>
      </w:r>
      <w:r w:rsidRPr="00CD1F61">
        <w:rPr>
          <w:rFonts w:ascii="Times New Roman" w:eastAsia="標楷體" w:hAnsi="Times New Roman"/>
          <w:sz w:val="28"/>
        </w:rPr>
        <w:t>、</w:t>
      </w:r>
      <w:r w:rsidRPr="00CD1F61">
        <w:rPr>
          <w:rFonts w:ascii="Times New Roman" w:eastAsia="標楷體" w:hAnsi="Times New Roman"/>
          <w:sz w:val="28"/>
        </w:rPr>
        <w:t xml:space="preserve">5 </w:t>
      </w:r>
      <w:r w:rsidRPr="00CD1F61">
        <w:rPr>
          <w:rFonts w:ascii="Times New Roman" w:eastAsia="標楷體" w:hAnsi="Times New Roman"/>
          <w:sz w:val="28"/>
        </w:rPr>
        <w:t>期以檢驗水電設備專項資本支出的時間落差效應。實證結果顯示，</w:t>
      </w:r>
      <w:r w:rsidRPr="00CD1F61">
        <w:rPr>
          <w:rFonts w:ascii="Times New Roman" w:eastAsia="標楷體" w:hAnsi="Times New Roman"/>
          <w:sz w:val="28"/>
        </w:rPr>
        <w:t xml:space="preserve">CAPEX </w:t>
      </w:r>
      <w:r w:rsidRPr="00CD1F61">
        <w:rPr>
          <w:rFonts w:ascii="Times New Roman" w:eastAsia="標楷體" w:hAnsi="Times New Roman"/>
          <w:sz w:val="28"/>
        </w:rPr>
        <w:t>於各遞延期之係數多未達統計顯著，</w:t>
      </w:r>
      <w:r w:rsidRPr="00CD1F61">
        <w:rPr>
          <w:rFonts w:ascii="Times New Roman" w:eastAsia="標楷體" w:hAnsi="Times New Roman"/>
          <w:sz w:val="28"/>
        </w:rPr>
        <w:t xml:space="preserve">U </w:t>
      </w:r>
      <w:r w:rsidRPr="00CD1F61">
        <w:rPr>
          <w:rFonts w:ascii="Times New Roman" w:eastAsia="標楷體" w:hAnsi="Times New Roman"/>
          <w:sz w:val="28"/>
        </w:rPr>
        <w:t>型翻轉在本樣本尚未明確浮現，可能與綠電資料收錄期間較短、專項資本支出揭露筆數有限有關，</w:t>
      </w:r>
      <w:r w:rsidRPr="00CD1F61">
        <w:rPr>
          <w:rFonts w:ascii="Times New Roman" w:eastAsia="標楷體" w:hAnsi="Times New Roman"/>
          <w:sz w:val="28"/>
        </w:rPr>
        <w:t xml:space="preserve">H3 </w:t>
      </w:r>
      <w:r w:rsidRPr="00CD1F61">
        <w:rPr>
          <w:rFonts w:ascii="Times New Roman" w:eastAsia="標楷體" w:hAnsi="Times New Roman"/>
          <w:sz w:val="28"/>
        </w:rPr>
        <w:t>僅獲部分支持。</w:t>
      </w:r>
    </w:p>
    <w:p w:rsidR="00A9276F" w:rsidRPr="00CD1F61" w:rsidRDefault="00CD1F61">
      <w:pPr>
        <w:spacing w:before="240" w:after="120"/>
        <w:rPr>
          <w:rFonts w:ascii="Times New Roman" w:eastAsia="標楷體" w:hAnsi="Times New Roman" w:hint="eastAsia"/>
          <w:sz w:val="28"/>
        </w:rPr>
      </w:pPr>
      <w:r w:rsidRPr="00CD1F61">
        <w:rPr>
          <w:rFonts w:ascii="Times New Roman" w:eastAsia="標楷體" w:hAnsi="Times New Roman"/>
          <w:sz w:val="28"/>
        </w:rPr>
        <w:t>第五章　結論與建議</w:t>
      </w:r>
    </w:p>
    <w:p w:rsidR="00A9276F" w:rsidRPr="00CD1F61" w:rsidRDefault="00CD1F61">
      <w:pPr>
        <w:spacing w:before="240" w:after="120"/>
        <w:rPr>
          <w:rFonts w:ascii="Times New Roman" w:eastAsia="標楷體" w:hAnsi="Times New Roman" w:hint="eastAsia"/>
          <w:sz w:val="28"/>
        </w:rPr>
      </w:pPr>
      <w:r w:rsidRPr="00CD1F61">
        <w:rPr>
          <w:rFonts w:ascii="Times New Roman" w:eastAsia="標楷體" w:hAnsi="Times New Roman"/>
          <w:sz w:val="28"/>
        </w:rPr>
        <w:t>5-1</w:t>
      </w:r>
      <w:r w:rsidRPr="00CD1F61">
        <w:rPr>
          <w:rFonts w:ascii="Times New Roman" w:eastAsia="標楷體" w:hAnsi="Times New Roman"/>
          <w:sz w:val="28"/>
        </w:rPr>
        <w:t xml:space="preserve">　研究結論</w:t>
      </w:r>
    </w:p>
    <w:p w:rsidR="00A9276F" w:rsidRPr="00CD1F61" w:rsidRDefault="00CD1F61">
      <w:pPr>
        <w:spacing w:after="80" w:line="360" w:lineRule="auto"/>
        <w:ind w:firstLine="480"/>
        <w:rPr>
          <w:rFonts w:ascii="Times New Roman" w:eastAsia="標楷體" w:hAnsi="Times New Roman" w:hint="eastAsia"/>
          <w:sz w:val="28"/>
        </w:rPr>
      </w:pPr>
      <w:r w:rsidRPr="00CD1F61">
        <w:rPr>
          <w:rFonts w:ascii="Times New Roman" w:eastAsia="標楷體" w:hAnsi="Times New Roman"/>
          <w:sz w:val="28"/>
        </w:rPr>
        <w:t>本研究以台灣電子相關產業為樣本，檢驗水資源管理與再生能源使用對公司價值與營運成本之影響。主要發現為：</w:t>
      </w:r>
      <w:r w:rsidRPr="00CD1F61">
        <w:rPr>
          <w:rFonts w:ascii="Times New Roman" w:eastAsia="標楷體" w:hAnsi="Times New Roman"/>
          <w:sz w:val="28"/>
        </w:rPr>
        <w:t xml:space="preserve">(1) </w:t>
      </w:r>
      <w:r w:rsidRPr="00CD1F61">
        <w:rPr>
          <w:rFonts w:ascii="Times New Roman" w:eastAsia="標楷體" w:hAnsi="Times New Roman"/>
          <w:sz w:val="28"/>
        </w:rPr>
        <w:t>單一資源投入的直接效果有限；</w:t>
      </w:r>
      <w:r w:rsidRPr="00CD1F61">
        <w:rPr>
          <w:rFonts w:ascii="Times New Roman" w:eastAsia="標楷體" w:hAnsi="Times New Roman"/>
          <w:sz w:val="28"/>
        </w:rPr>
        <w:t xml:space="preserve">(2) </w:t>
      </w:r>
      <w:r w:rsidRPr="00CD1F61">
        <w:rPr>
          <w:rFonts w:ascii="Times New Roman" w:eastAsia="標楷體" w:hAnsi="Times New Roman"/>
          <w:sz w:val="28"/>
        </w:rPr>
        <w:t>水資源管理與再</w:t>
      </w:r>
      <w:r w:rsidRPr="00CD1F61">
        <w:rPr>
          <w:rFonts w:ascii="Times New Roman" w:eastAsia="標楷體" w:hAnsi="Times New Roman"/>
          <w:sz w:val="28"/>
        </w:rPr>
        <w:t>生能源之交乘項對</w:t>
      </w:r>
      <w:r w:rsidRPr="00CD1F61">
        <w:rPr>
          <w:rFonts w:ascii="Times New Roman" w:eastAsia="標楷體" w:hAnsi="Times New Roman"/>
          <w:sz w:val="28"/>
        </w:rPr>
        <w:t xml:space="preserve"> Tobin's Q </w:t>
      </w:r>
      <w:r w:rsidRPr="00CD1F61">
        <w:rPr>
          <w:rFonts w:ascii="Times New Roman" w:eastAsia="標楷體" w:hAnsi="Times New Roman"/>
          <w:sz w:val="28"/>
        </w:rPr>
        <w:t>顯著為正、對營業費用率顯著為負，且於擴充產業樣本後依然穩健，支持水能互補綜效假說（</w:t>
      </w:r>
      <w:r w:rsidRPr="00CD1F61">
        <w:rPr>
          <w:rFonts w:ascii="Times New Roman" w:eastAsia="標楷體" w:hAnsi="Times New Roman"/>
          <w:sz w:val="28"/>
        </w:rPr>
        <w:t>H2</w:t>
      </w:r>
      <w:r w:rsidRPr="00CD1F61">
        <w:rPr>
          <w:rFonts w:ascii="Times New Roman" w:eastAsia="標楷體" w:hAnsi="Times New Roman"/>
          <w:sz w:val="28"/>
        </w:rPr>
        <w:t>）；</w:t>
      </w:r>
      <w:r w:rsidRPr="00CD1F61">
        <w:rPr>
          <w:rFonts w:ascii="Times New Roman" w:eastAsia="標楷體" w:hAnsi="Times New Roman"/>
          <w:sz w:val="28"/>
        </w:rPr>
        <w:t xml:space="preserve">(3) </w:t>
      </w:r>
      <w:r w:rsidRPr="00CD1F61">
        <w:rPr>
          <w:rFonts w:ascii="Times New Roman" w:eastAsia="標楷體" w:hAnsi="Times New Roman"/>
          <w:sz w:val="28"/>
        </w:rPr>
        <w:t>水電設備專項資本支出之時間落差效應僅獲部分支持（</w:t>
      </w:r>
      <w:r w:rsidRPr="00CD1F61">
        <w:rPr>
          <w:rFonts w:ascii="Times New Roman" w:eastAsia="標楷體" w:hAnsi="Times New Roman"/>
          <w:sz w:val="28"/>
        </w:rPr>
        <w:t>H3</w:t>
      </w:r>
      <w:r w:rsidRPr="00CD1F61">
        <w:rPr>
          <w:rFonts w:ascii="Times New Roman" w:eastAsia="標楷體" w:hAnsi="Times New Roman"/>
          <w:sz w:val="28"/>
        </w:rPr>
        <w:t>）。整體而言，企業推動再生水與綠電的「雙軸」資源管理，較能同時創造價值溢酬與降本效益。</w:t>
      </w:r>
    </w:p>
    <w:p w:rsidR="00A9276F" w:rsidRPr="00CD1F61" w:rsidRDefault="00CD1F61">
      <w:pPr>
        <w:spacing w:before="240" w:after="120"/>
        <w:rPr>
          <w:rFonts w:ascii="Times New Roman" w:eastAsia="標楷體" w:hAnsi="Times New Roman" w:hint="eastAsia"/>
          <w:sz w:val="28"/>
        </w:rPr>
      </w:pPr>
      <w:r w:rsidRPr="00CD1F61">
        <w:rPr>
          <w:rFonts w:ascii="Times New Roman" w:eastAsia="標楷體" w:hAnsi="Times New Roman"/>
          <w:sz w:val="28"/>
        </w:rPr>
        <w:t>5-2</w:t>
      </w:r>
      <w:r w:rsidRPr="00CD1F61">
        <w:rPr>
          <w:rFonts w:ascii="Times New Roman" w:eastAsia="標楷體" w:hAnsi="Times New Roman"/>
          <w:sz w:val="28"/>
        </w:rPr>
        <w:t xml:space="preserve">　管理意涵與建議</w:t>
      </w:r>
    </w:p>
    <w:p w:rsidR="00A9276F" w:rsidRPr="00CD1F61" w:rsidRDefault="00CD1F61">
      <w:pPr>
        <w:spacing w:after="80" w:line="360" w:lineRule="auto"/>
        <w:ind w:firstLine="480"/>
        <w:rPr>
          <w:rFonts w:ascii="Times New Roman" w:eastAsia="標楷體" w:hAnsi="Times New Roman" w:hint="eastAsia"/>
          <w:sz w:val="28"/>
        </w:rPr>
      </w:pPr>
      <w:r w:rsidRPr="00CD1F61">
        <w:rPr>
          <w:rFonts w:ascii="Times New Roman" w:eastAsia="標楷體" w:hAnsi="Times New Roman"/>
          <w:sz w:val="28"/>
        </w:rPr>
        <w:lastRenderedPageBreak/>
        <w:t>對企業而言，水與電的資源管理不應各自為政，宜整合規劃以發揮綜效；對投資人與主管機關而言，水能雙軸投入可作為評估企業永續競爭力之重要訊號。建議未來政策鼓勵水處理與綠電的整合建置。</w:t>
      </w:r>
    </w:p>
    <w:p w:rsidR="00A9276F" w:rsidRPr="00CD1F61" w:rsidRDefault="00CD1F61">
      <w:pPr>
        <w:spacing w:before="240" w:after="120"/>
        <w:rPr>
          <w:rFonts w:ascii="Times New Roman" w:eastAsia="標楷體" w:hAnsi="Times New Roman" w:hint="eastAsia"/>
          <w:sz w:val="28"/>
        </w:rPr>
      </w:pPr>
      <w:r w:rsidRPr="00CD1F61">
        <w:rPr>
          <w:rFonts w:ascii="Times New Roman" w:eastAsia="標楷體" w:hAnsi="Times New Roman"/>
          <w:sz w:val="28"/>
        </w:rPr>
        <w:t>5-3</w:t>
      </w:r>
      <w:r w:rsidRPr="00CD1F61">
        <w:rPr>
          <w:rFonts w:ascii="Times New Roman" w:eastAsia="標楷體" w:hAnsi="Times New Roman"/>
          <w:sz w:val="28"/>
        </w:rPr>
        <w:t xml:space="preserve">　研究限制與未來研究</w:t>
      </w:r>
    </w:p>
    <w:p w:rsidR="00A9276F" w:rsidRPr="00CD1F61" w:rsidRDefault="00CD1F61">
      <w:pPr>
        <w:spacing w:after="80" w:line="360" w:lineRule="auto"/>
        <w:ind w:firstLine="480"/>
        <w:rPr>
          <w:rFonts w:ascii="Times New Roman" w:eastAsia="標楷體" w:hAnsi="Times New Roman" w:hint="eastAsia"/>
          <w:sz w:val="28"/>
        </w:rPr>
      </w:pPr>
      <w:r w:rsidRPr="00CD1F61">
        <w:rPr>
          <w:rFonts w:ascii="Times New Roman" w:eastAsia="標楷體" w:hAnsi="Times New Roman"/>
          <w:sz w:val="28"/>
        </w:rPr>
        <w:t>本研究</w:t>
      </w:r>
      <w:r w:rsidRPr="00CD1F61">
        <w:rPr>
          <w:rFonts w:ascii="Times New Roman" w:eastAsia="標楷體" w:hAnsi="Times New Roman"/>
          <w:sz w:val="28"/>
        </w:rPr>
        <w:t>受限於</w:t>
      </w:r>
      <w:r w:rsidRPr="00CD1F61">
        <w:rPr>
          <w:rFonts w:ascii="Times New Roman" w:eastAsia="標楷體" w:hAnsi="Times New Roman"/>
          <w:sz w:val="28"/>
        </w:rPr>
        <w:t xml:space="preserve"> TEJ </w:t>
      </w:r>
      <w:r w:rsidRPr="00CD1F61">
        <w:rPr>
          <w:rFonts w:ascii="Times New Roman" w:eastAsia="標楷體" w:hAnsi="Times New Roman"/>
          <w:sz w:val="28"/>
        </w:rPr>
        <w:t>綠電資料自</w:t>
      </w:r>
      <w:r w:rsidRPr="00CD1F61">
        <w:rPr>
          <w:rFonts w:ascii="Times New Roman" w:eastAsia="標楷體" w:hAnsi="Times New Roman"/>
          <w:sz w:val="28"/>
        </w:rPr>
        <w:t xml:space="preserve"> 2021 </w:t>
      </w:r>
      <w:r w:rsidRPr="00CD1F61">
        <w:rPr>
          <w:rFonts w:ascii="Times New Roman" w:eastAsia="標楷體" w:hAnsi="Times New Roman"/>
          <w:sz w:val="28"/>
        </w:rPr>
        <w:t>年起始收錄、再生水與綠電同時揭露之觀測數有限，使部分模型（尤其交乘項與長遞延期）樣本較小。未來可俟資料累積後延長期間，或納入產業別調節效果與更細緻的水電設備支出資料，以強化時間落差效應之檢定。</w:t>
      </w:r>
    </w:p>
    <w:p w:rsidR="00A9276F" w:rsidRPr="00CD1F61" w:rsidRDefault="00CD1F61">
      <w:pPr>
        <w:spacing w:before="240" w:after="120"/>
        <w:rPr>
          <w:rFonts w:ascii="Times New Roman" w:eastAsia="標楷體" w:hAnsi="Times New Roman" w:hint="eastAsia"/>
          <w:sz w:val="28"/>
        </w:rPr>
      </w:pPr>
      <w:r w:rsidRPr="00CD1F61">
        <w:rPr>
          <w:rFonts w:ascii="Times New Roman" w:eastAsia="標楷體" w:hAnsi="Times New Roman"/>
          <w:sz w:val="28"/>
        </w:rPr>
        <w:t>參考文獻</w:t>
      </w:r>
    </w:p>
    <w:p w:rsidR="00A9276F" w:rsidRPr="00CD1F61" w:rsidRDefault="00CD1F61">
      <w:pPr>
        <w:spacing w:line="360" w:lineRule="auto"/>
        <w:ind w:left="480" w:hanging="480"/>
        <w:rPr>
          <w:rFonts w:ascii="Times New Roman" w:eastAsia="標楷體" w:hAnsi="Times New Roman" w:hint="eastAsia"/>
          <w:sz w:val="28"/>
        </w:rPr>
      </w:pPr>
      <w:r w:rsidRPr="00CD1F61">
        <w:rPr>
          <w:rFonts w:ascii="Times New Roman" w:eastAsia="標楷體" w:hAnsi="Times New Roman"/>
          <w:sz w:val="28"/>
        </w:rPr>
        <w:t>[1] Freeman, R. E. (1984). Strategic Management: A Stakeholder Approach. Boston: Pitman.</w:t>
      </w:r>
    </w:p>
    <w:p w:rsidR="00A9276F" w:rsidRPr="00CD1F61" w:rsidRDefault="00CD1F61">
      <w:pPr>
        <w:spacing w:line="360" w:lineRule="auto"/>
        <w:ind w:left="480" w:hanging="480"/>
        <w:rPr>
          <w:rFonts w:ascii="Times New Roman" w:eastAsia="標楷體" w:hAnsi="Times New Roman" w:hint="eastAsia"/>
          <w:sz w:val="28"/>
        </w:rPr>
      </w:pPr>
      <w:r w:rsidRPr="00CD1F61">
        <w:rPr>
          <w:rFonts w:ascii="Times New Roman" w:eastAsia="標楷體" w:hAnsi="Times New Roman"/>
          <w:sz w:val="28"/>
        </w:rPr>
        <w:t>[2] King, A., &amp; Lenox, M. (2002). Exploring th</w:t>
      </w:r>
      <w:r w:rsidRPr="00CD1F61">
        <w:rPr>
          <w:rFonts w:ascii="Times New Roman" w:eastAsia="標楷體" w:hAnsi="Times New Roman"/>
          <w:sz w:val="28"/>
        </w:rPr>
        <w:t>e locus of profitable pollution reduction. Management Science, 48(2), 289–299.</w:t>
      </w:r>
    </w:p>
    <w:p w:rsidR="00A9276F" w:rsidRPr="00CD1F61" w:rsidRDefault="00CD1F61">
      <w:pPr>
        <w:spacing w:line="360" w:lineRule="auto"/>
        <w:ind w:left="480" w:hanging="480"/>
        <w:rPr>
          <w:rFonts w:ascii="Times New Roman" w:eastAsia="標楷體" w:hAnsi="Times New Roman" w:hint="eastAsia"/>
          <w:sz w:val="28"/>
        </w:rPr>
      </w:pPr>
      <w:r w:rsidRPr="00CD1F61">
        <w:rPr>
          <w:rFonts w:ascii="Times New Roman" w:eastAsia="標楷體" w:hAnsi="Times New Roman"/>
          <w:sz w:val="28"/>
        </w:rPr>
        <w:t>[3] Russo, M. V., &amp; Fouts, P. A. (1997). A resource-based perspective on corporate environmental performance and profitability. Academy of Management Journal, 40(3), 534–559.</w:t>
      </w:r>
    </w:p>
    <w:p w:rsidR="00A9276F" w:rsidRPr="00CD1F61" w:rsidRDefault="00CD1F61">
      <w:pPr>
        <w:spacing w:line="360" w:lineRule="auto"/>
        <w:ind w:left="480" w:hanging="480"/>
        <w:rPr>
          <w:rFonts w:ascii="Times New Roman" w:eastAsia="標楷體" w:hAnsi="Times New Roman" w:hint="eastAsia"/>
          <w:sz w:val="28"/>
        </w:rPr>
      </w:pPr>
      <w:r w:rsidRPr="00CD1F61">
        <w:rPr>
          <w:rFonts w:ascii="Times New Roman" w:eastAsia="標楷體" w:hAnsi="Times New Roman"/>
          <w:sz w:val="28"/>
        </w:rPr>
        <w:t>[4</w:t>
      </w:r>
      <w:r w:rsidRPr="00CD1F61">
        <w:rPr>
          <w:rFonts w:ascii="Times New Roman" w:eastAsia="標楷體" w:hAnsi="Times New Roman"/>
          <w:sz w:val="28"/>
        </w:rPr>
        <w:t>] Wang, L., Li, S., &amp; Gao, S. (2014). Do greenhouse gas emissions affect financial performance? Business Strategy and the Environment, 23(8), 505–519.</w:t>
      </w:r>
    </w:p>
    <w:p w:rsidR="00A9276F" w:rsidRPr="00CD1F61" w:rsidRDefault="00CD1F61">
      <w:pPr>
        <w:spacing w:line="360" w:lineRule="auto"/>
        <w:ind w:left="480" w:hanging="480"/>
        <w:rPr>
          <w:rFonts w:ascii="Times New Roman" w:eastAsia="標楷體" w:hAnsi="Times New Roman" w:hint="eastAsia"/>
          <w:sz w:val="28"/>
        </w:rPr>
      </w:pPr>
      <w:r w:rsidRPr="00CD1F61">
        <w:rPr>
          <w:rFonts w:ascii="Times New Roman" w:eastAsia="標楷體" w:hAnsi="Times New Roman"/>
          <w:sz w:val="28"/>
        </w:rPr>
        <w:t>[5] Ganda, F. (2018). The effect of carbon performance on corporate financial performance in a growing ec</w:t>
      </w:r>
      <w:r w:rsidRPr="00CD1F61">
        <w:rPr>
          <w:rFonts w:ascii="Times New Roman" w:eastAsia="標楷體" w:hAnsi="Times New Roman"/>
          <w:sz w:val="28"/>
        </w:rPr>
        <w:t>onomy. Social Responsibility Journal, 14(4), 895–916.</w:t>
      </w:r>
    </w:p>
    <w:p w:rsidR="00A9276F" w:rsidRPr="00CD1F61" w:rsidRDefault="00CD1F61">
      <w:pPr>
        <w:spacing w:line="360" w:lineRule="auto"/>
        <w:ind w:left="480" w:hanging="480"/>
        <w:rPr>
          <w:rFonts w:ascii="Times New Roman" w:eastAsia="標楷體" w:hAnsi="Times New Roman" w:hint="eastAsia"/>
          <w:sz w:val="28"/>
        </w:rPr>
      </w:pPr>
      <w:r w:rsidRPr="00CD1F61">
        <w:rPr>
          <w:rFonts w:ascii="Times New Roman" w:eastAsia="標楷體" w:hAnsi="Times New Roman"/>
          <w:sz w:val="28"/>
        </w:rPr>
        <w:t xml:space="preserve">[6] </w:t>
      </w:r>
      <w:r w:rsidRPr="00CD1F61">
        <w:rPr>
          <w:rFonts w:ascii="Times New Roman" w:eastAsia="標楷體" w:hAnsi="Times New Roman"/>
          <w:sz w:val="28"/>
        </w:rPr>
        <w:t>台灣經濟新報（</w:t>
      </w:r>
      <w:r w:rsidRPr="00CD1F61">
        <w:rPr>
          <w:rFonts w:ascii="Times New Roman" w:eastAsia="標楷體" w:hAnsi="Times New Roman"/>
          <w:sz w:val="28"/>
        </w:rPr>
        <w:t>TEJ</w:t>
      </w:r>
      <w:r w:rsidRPr="00CD1F61">
        <w:rPr>
          <w:rFonts w:ascii="Times New Roman" w:eastAsia="標楷體" w:hAnsi="Times New Roman"/>
          <w:sz w:val="28"/>
        </w:rPr>
        <w:t>）資料庫。</w:t>
      </w:r>
      <w:r w:rsidRPr="00CD1F61">
        <w:rPr>
          <w:rFonts w:ascii="Times New Roman" w:eastAsia="標楷體" w:hAnsi="Times New Roman"/>
          <w:sz w:val="28"/>
        </w:rPr>
        <w:t xml:space="preserve">TESG </w:t>
      </w:r>
      <w:r w:rsidRPr="00CD1F61">
        <w:rPr>
          <w:rFonts w:ascii="Times New Roman" w:eastAsia="標楷體" w:hAnsi="Times New Roman"/>
          <w:sz w:val="28"/>
        </w:rPr>
        <w:t>永續資料集與</w:t>
      </w:r>
      <w:r w:rsidRPr="00CD1F61">
        <w:rPr>
          <w:rFonts w:ascii="Times New Roman" w:eastAsia="標楷體" w:hAnsi="Times New Roman"/>
          <w:sz w:val="28"/>
        </w:rPr>
        <w:t xml:space="preserve"> TEJ IFRS Finance </w:t>
      </w:r>
      <w:r w:rsidRPr="00CD1F61">
        <w:rPr>
          <w:rFonts w:ascii="Times New Roman" w:eastAsia="標楷體" w:hAnsi="Times New Roman"/>
          <w:sz w:val="28"/>
        </w:rPr>
        <w:t>財務資料庫。</w:t>
      </w:r>
      <w:bookmarkEnd w:id="0"/>
    </w:p>
    <w:sectPr w:rsidR="00A9276F" w:rsidRPr="00CD1F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9276F"/>
    <w:rsid w:val="00AA1D8D"/>
    <w:rsid w:val="00B47730"/>
    <w:rsid w:val="00CB0664"/>
    <w:rsid w:val="00CD1F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F278454-E56F-481D-824B-5A1071C15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標楷體" w:hAnsi="標楷體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B72C1E0-3F73-477F-B49B-D3B79FAAF1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1140</Words>
  <Characters>6498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李政忠</cp:lastModifiedBy>
  <cp:revision>2</cp:revision>
  <dcterms:created xsi:type="dcterms:W3CDTF">2013-12-23T23:15:00Z</dcterms:created>
  <dcterms:modified xsi:type="dcterms:W3CDTF">2026-07-16T13:22:00Z</dcterms:modified>
  <cp:category/>
</cp:coreProperties>
</file>